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4"/>
          <w:szCs w:val="24"/>
          <w:color w:val="auto"/>
        </w:rPr>
      </w:pPr>
    </w:p>
    <w:p>
      <w:pPr>
        <w:jc w:val="center"/>
        <w:ind w:left="340" w:right="380"/>
        <w:spacing w:after="0"/>
        <w:rPr>
          <w:sz w:val="20"/>
          <w:szCs w:val="20"/>
          <w:color w:val="auto"/>
        </w:rPr>
      </w:pPr>
      <w:r>
        <w:rPr>
          <w:rFonts w:ascii="Arial" w:cs="Arial" w:eastAsia="Arial" w:hAnsi="Arial"/>
          <w:sz w:val="15"/>
          <w:szCs w:val="15"/>
          <w:b w:val="1"/>
          <w:bCs w:val="1"/>
          <w:color w:val="auto"/>
        </w:rPr>
        <w:t>As confidentially submitted to the Securities and Exchange Commission on January 21, 2020. This draft registration statement has not been publicly filed with the Securities and Exchange Commission and all information herein remains strictly confidential.</w:t>
      </w:r>
    </w:p>
    <w:p>
      <w:pPr>
        <w:spacing w:after="0" w:line="143" w:lineRule="exact"/>
        <w:rPr>
          <w:sz w:val="24"/>
          <w:szCs w:val="24"/>
          <w:color w:val="auto"/>
        </w:rPr>
      </w:pPr>
    </w:p>
    <w:p>
      <w:pPr>
        <w:ind w:left="8520"/>
        <w:spacing w:after="0"/>
        <w:rPr>
          <w:sz w:val="20"/>
          <w:szCs w:val="20"/>
          <w:color w:val="auto"/>
        </w:rPr>
      </w:pPr>
      <w:r>
        <w:rPr>
          <w:rFonts w:ascii="Arial" w:cs="Arial" w:eastAsia="Arial" w:hAnsi="Arial"/>
          <w:sz w:val="15"/>
          <w:szCs w:val="15"/>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66675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73025</wp:posOffset>
            </wp:positionV>
            <wp:extent cx="2279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106045</wp:posOffset>
            </wp:positionV>
            <wp:extent cx="2279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KEROS THERAPEUTICS,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71120</wp:posOffset>
            </wp:positionV>
            <wp:extent cx="227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75" w:lineRule="exact"/>
        <w:rPr>
          <w:sz w:val="24"/>
          <w:szCs w:val="24"/>
          <w:color w:val="auto"/>
        </w:rPr>
      </w:pPr>
    </w:p>
    <w:tbl>
      <w:tblPr>
        <w:tblLayout w:type="fixed"/>
        <w:tblInd w:w="1060" w:type="dxa"/>
        <w:tblCellMar>
          <w:top w:w="0" w:type="dxa"/>
          <w:left w:w="0" w:type="dxa"/>
          <w:bottom w:w="0" w:type="dxa"/>
          <w:right w:w="0" w:type="dxa"/>
        </w:tblCellMar>
      </w:tblPr>
      <w:tr>
        <w:trPr>
          <w:trHeight w:val="177"/>
        </w:trPr>
        <w:tc>
          <w:tcPr>
            <w:tcW w:w="2780" w:type="dxa"/>
            <w:vAlign w:val="bottom"/>
          </w:tcPr>
          <w:p>
            <w:pPr>
              <w:jc w:val="center"/>
              <w:ind w:right="1012"/>
              <w:spacing w:after="0"/>
              <w:rPr>
                <w:sz w:val="20"/>
                <w:szCs w:val="20"/>
                <w:color w:val="auto"/>
              </w:rPr>
            </w:pPr>
            <w:r>
              <w:rPr>
                <w:rFonts w:ascii="Arial" w:cs="Arial" w:eastAsia="Arial" w:hAnsi="Arial"/>
                <w:sz w:val="15"/>
                <w:szCs w:val="15"/>
                <w:b w:val="1"/>
                <w:bCs w:val="1"/>
                <w:color w:val="auto"/>
              </w:rPr>
              <w:t>Delaware</w:t>
            </w:r>
          </w:p>
        </w:tc>
        <w:tc>
          <w:tcPr>
            <w:tcW w:w="386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380" w:type="dxa"/>
            <w:vAlign w:val="bottom"/>
          </w:tcPr>
          <w:p>
            <w:pPr>
              <w:jc w:val="center"/>
              <w:ind w:left="1052"/>
              <w:spacing w:after="0"/>
              <w:rPr>
                <w:sz w:val="20"/>
                <w:szCs w:val="20"/>
                <w:color w:val="auto"/>
              </w:rPr>
            </w:pPr>
            <w:r>
              <w:rPr>
                <w:rFonts w:ascii="Arial" w:cs="Arial" w:eastAsia="Arial" w:hAnsi="Arial"/>
                <w:sz w:val="15"/>
                <w:szCs w:val="15"/>
                <w:b w:val="1"/>
                <w:bCs w:val="1"/>
                <w:color w:val="auto"/>
                <w:w w:val="97"/>
              </w:rPr>
              <w:t>81-1173868</w:t>
            </w:r>
          </w:p>
        </w:tc>
      </w:tr>
      <w:tr>
        <w:trPr>
          <w:trHeight w:val="144"/>
        </w:trPr>
        <w:tc>
          <w:tcPr>
            <w:tcW w:w="2780" w:type="dxa"/>
            <w:vAlign w:val="bottom"/>
          </w:tcPr>
          <w:p>
            <w:pPr>
              <w:jc w:val="center"/>
              <w:ind w:right="1012"/>
              <w:spacing w:after="0" w:line="144" w:lineRule="exact"/>
              <w:rPr>
                <w:sz w:val="20"/>
                <w:szCs w:val="20"/>
                <w:color w:val="auto"/>
              </w:rPr>
            </w:pPr>
            <w:r>
              <w:rPr>
                <w:rFonts w:ascii="Arial" w:cs="Arial" w:eastAsia="Arial" w:hAnsi="Arial"/>
                <w:sz w:val="13"/>
                <w:szCs w:val="13"/>
                <w:color w:val="auto"/>
                <w:w w:val="99"/>
              </w:rPr>
              <w:t>(State or other jurisdiction of</w:t>
            </w:r>
          </w:p>
        </w:tc>
        <w:tc>
          <w:tcPr>
            <w:tcW w:w="3860" w:type="dxa"/>
            <w:vAlign w:val="bottom"/>
          </w:tcPr>
          <w:p>
            <w:pPr>
              <w:jc w:val="center"/>
              <w:spacing w:after="0" w:line="144" w:lineRule="exact"/>
              <w:rPr>
                <w:sz w:val="20"/>
                <w:szCs w:val="20"/>
                <w:color w:val="auto"/>
              </w:rPr>
            </w:pPr>
            <w:r>
              <w:rPr>
                <w:rFonts w:ascii="Arial" w:cs="Arial" w:eastAsia="Arial" w:hAnsi="Arial"/>
                <w:sz w:val="13"/>
                <w:szCs w:val="13"/>
                <w:color w:val="auto"/>
              </w:rPr>
              <w:t>(Primary Standard Industrial</w:t>
            </w:r>
          </w:p>
        </w:tc>
        <w:tc>
          <w:tcPr>
            <w:tcW w:w="2380" w:type="dxa"/>
            <w:vAlign w:val="bottom"/>
          </w:tcPr>
          <w:p>
            <w:pPr>
              <w:jc w:val="center"/>
              <w:ind w:left="1052"/>
              <w:spacing w:after="0" w:line="144" w:lineRule="exact"/>
              <w:rPr>
                <w:sz w:val="20"/>
                <w:szCs w:val="20"/>
                <w:color w:val="auto"/>
              </w:rPr>
            </w:pPr>
            <w:r>
              <w:rPr>
                <w:rFonts w:ascii="Arial" w:cs="Arial" w:eastAsia="Arial" w:hAnsi="Arial"/>
                <w:sz w:val="13"/>
                <w:szCs w:val="13"/>
                <w:color w:val="auto"/>
                <w:w w:val="98"/>
              </w:rPr>
              <w:t>(I.R.S. Employer</w:t>
            </w:r>
          </w:p>
        </w:tc>
      </w:tr>
      <w:tr>
        <w:trPr>
          <w:trHeight w:val="156"/>
        </w:trPr>
        <w:tc>
          <w:tcPr>
            <w:tcW w:w="2780" w:type="dxa"/>
            <w:vAlign w:val="bottom"/>
          </w:tcPr>
          <w:p>
            <w:pPr>
              <w:jc w:val="center"/>
              <w:ind w:right="1012"/>
              <w:spacing w:after="0"/>
              <w:rPr>
                <w:sz w:val="20"/>
                <w:szCs w:val="20"/>
                <w:color w:val="auto"/>
              </w:rPr>
            </w:pPr>
            <w:r>
              <w:rPr>
                <w:rFonts w:ascii="Arial" w:cs="Arial" w:eastAsia="Arial" w:hAnsi="Arial"/>
                <w:sz w:val="13"/>
                <w:szCs w:val="13"/>
                <w:color w:val="auto"/>
              </w:rPr>
              <w:t>incorporation or organization)</w:t>
            </w:r>
          </w:p>
        </w:tc>
        <w:tc>
          <w:tcPr>
            <w:tcW w:w="3860" w:type="dxa"/>
            <w:vAlign w:val="bottom"/>
          </w:tcPr>
          <w:p>
            <w:pPr>
              <w:jc w:val="center"/>
              <w:spacing w:after="0"/>
              <w:rPr>
                <w:sz w:val="20"/>
                <w:szCs w:val="20"/>
                <w:color w:val="auto"/>
              </w:rPr>
            </w:pPr>
            <w:r>
              <w:rPr>
                <w:rFonts w:ascii="Arial" w:cs="Arial" w:eastAsia="Arial" w:hAnsi="Arial"/>
                <w:sz w:val="13"/>
                <w:szCs w:val="13"/>
                <w:color w:val="auto"/>
              </w:rPr>
              <w:t>Classification Code Number)</w:t>
            </w:r>
          </w:p>
        </w:tc>
        <w:tc>
          <w:tcPr>
            <w:tcW w:w="2380" w:type="dxa"/>
            <w:vAlign w:val="bottom"/>
          </w:tcPr>
          <w:p>
            <w:pPr>
              <w:jc w:val="center"/>
              <w:ind w:left="1052"/>
              <w:spacing w:after="0"/>
              <w:rPr>
                <w:sz w:val="20"/>
                <w:szCs w:val="20"/>
                <w:color w:val="auto"/>
              </w:rPr>
            </w:pPr>
            <w:r>
              <w:rPr>
                <w:rFonts w:ascii="Arial" w:cs="Arial" w:eastAsia="Arial" w:hAnsi="Arial"/>
                <w:sz w:val="13"/>
                <w:szCs w:val="13"/>
                <w:color w:val="auto"/>
                <w:w w:val="99"/>
              </w:rPr>
              <w:t>Identification Number)</w:t>
            </w: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99 Hayden Avenue, Suite 120, Building 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Lexington, Massachusetts 02421</w:t>
      </w:r>
    </w:p>
    <w:p>
      <w:pPr>
        <w:jc w:val="center"/>
        <w:spacing w:after="0" w:line="225" w:lineRule="auto"/>
        <w:rPr>
          <w:sz w:val="20"/>
          <w:szCs w:val="20"/>
          <w:color w:val="auto"/>
        </w:rPr>
      </w:pPr>
      <w:r>
        <w:rPr>
          <w:rFonts w:ascii="Arial" w:cs="Arial" w:eastAsia="Arial" w:hAnsi="Arial"/>
          <w:sz w:val="14"/>
          <w:szCs w:val="14"/>
          <w:b w:val="1"/>
          <w:bCs w:val="1"/>
          <w:color w:val="auto"/>
        </w:rPr>
        <w:t>Tel: (617) 314-6297</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71120</wp:posOffset>
            </wp:positionV>
            <wp:extent cx="227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Jasbir Seehra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jc w:val="center"/>
        <w:spacing w:after="0" w:line="233" w:lineRule="auto"/>
        <w:rPr>
          <w:sz w:val="20"/>
          <w:szCs w:val="20"/>
          <w:color w:val="auto"/>
        </w:rPr>
      </w:pPr>
      <w:r>
        <w:rPr>
          <w:rFonts w:ascii="Arial" w:cs="Arial" w:eastAsia="Arial" w:hAnsi="Arial"/>
          <w:sz w:val="14"/>
          <w:szCs w:val="14"/>
          <w:b w:val="1"/>
          <w:bCs w:val="1"/>
          <w:color w:val="auto"/>
        </w:rPr>
        <w:t>Keros Therapeutics, Inc.</w:t>
      </w:r>
    </w:p>
    <w:p>
      <w:pPr>
        <w:jc w:val="center"/>
        <w:spacing w:after="0" w:line="234" w:lineRule="auto"/>
        <w:rPr>
          <w:sz w:val="20"/>
          <w:szCs w:val="20"/>
          <w:color w:val="auto"/>
        </w:rPr>
      </w:pPr>
      <w:r>
        <w:rPr>
          <w:rFonts w:ascii="Arial" w:cs="Arial" w:eastAsia="Arial" w:hAnsi="Arial"/>
          <w:sz w:val="14"/>
          <w:szCs w:val="14"/>
          <w:b w:val="1"/>
          <w:bCs w:val="1"/>
          <w:color w:val="auto"/>
        </w:rPr>
        <w:t>99 Hayden Avenue, Suite 120, Building E</w:t>
      </w:r>
    </w:p>
    <w:p>
      <w:pPr>
        <w:jc w:val="center"/>
        <w:spacing w:after="0" w:line="233" w:lineRule="auto"/>
        <w:rPr>
          <w:sz w:val="20"/>
          <w:szCs w:val="20"/>
          <w:color w:val="auto"/>
        </w:rPr>
      </w:pPr>
      <w:r>
        <w:rPr>
          <w:rFonts w:ascii="Arial" w:cs="Arial" w:eastAsia="Arial" w:hAnsi="Arial"/>
          <w:sz w:val="14"/>
          <w:szCs w:val="14"/>
          <w:b w:val="1"/>
          <w:bCs w:val="1"/>
          <w:color w:val="auto"/>
        </w:rPr>
        <w:t>Lexington, Massachusetts 02421</w:t>
      </w:r>
    </w:p>
    <w:p>
      <w:pPr>
        <w:jc w:val="center"/>
        <w:spacing w:after="0" w:line="226" w:lineRule="auto"/>
        <w:rPr>
          <w:sz w:val="20"/>
          <w:szCs w:val="20"/>
          <w:color w:val="auto"/>
        </w:rPr>
      </w:pPr>
      <w:r>
        <w:rPr>
          <w:rFonts w:ascii="Arial" w:cs="Arial" w:eastAsia="Arial" w:hAnsi="Arial"/>
          <w:sz w:val="14"/>
          <w:szCs w:val="14"/>
          <w:b w:val="1"/>
          <w:bCs w:val="1"/>
          <w:color w:val="auto"/>
        </w:rPr>
        <w:t>Tel: (617) 314-6297</w:t>
      </w:r>
    </w:p>
    <w:p>
      <w:pPr>
        <w:jc w:val="center"/>
        <w:spacing w:after="0" w:line="230" w:lineRule="auto"/>
        <w:rPr>
          <w:sz w:val="20"/>
          <w:szCs w:val="20"/>
          <w:color w:val="auto"/>
        </w:rPr>
      </w:pPr>
      <w:r>
        <w:rPr>
          <w:rFonts w:ascii="Arial" w:cs="Arial" w:eastAsia="Arial" w:hAnsi="Arial"/>
          <w:sz w:val="13"/>
          <w:szCs w:val="13"/>
          <w:color w:val="auto"/>
        </w:rPr>
        <w:t>(Name, address, including zip code, and telephone number, including area code, of agent for service)</w:t>
      </w:r>
    </w:p>
    <w:p>
      <w:pPr>
        <w:jc w:val="center"/>
        <w:spacing w:after="0"/>
        <w:rPr>
          <w:sz w:val="20"/>
          <w:szCs w:val="20"/>
          <w:color w:val="auto"/>
        </w:rPr>
      </w:pPr>
      <w:r>
        <w:rPr>
          <w:rFonts w:ascii="Arial" w:cs="Arial" w:eastAsia="Arial" w:hAnsi="Arial"/>
          <w:sz w:val="13"/>
          <w:szCs w:val="13"/>
          <w:b w:val="1"/>
          <w:bCs w:val="1"/>
          <w:color w:val="auto"/>
        </w:rPr>
        <w:t>Copies to:</w:t>
      </w:r>
    </w:p>
    <w:p>
      <w:pPr>
        <w:spacing w:after="0" w:line="44" w:lineRule="exact"/>
        <w:rPr>
          <w:sz w:val="24"/>
          <w:szCs w:val="24"/>
          <w:color w:val="auto"/>
        </w:rPr>
      </w:pPr>
    </w:p>
    <w:tbl>
      <w:tblPr>
        <w:tblLayout w:type="fixed"/>
        <w:tblInd w:w="1820" w:type="dxa"/>
        <w:tblCellMar>
          <w:top w:w="0" w:type="dxa"/>
          <w:left w:w="0" w:type="dxa"/>
          <w:bottom w:w="0" w:type="dxa"/>
          <w:right w:w="0" w:type="dxa"/>
        </w:tblCellMar>
      </w:tblPr>
      <w:tr>
        <w:trPr>
          <w:trHeight w:val="161"/>
        </w:trPr>
        <w:tc>
          <w:tcPr>
            <w:tcW w:w="3840" w:type="dxa"/>
            <w:vAlign w:val="bottom"/>
          </w:tcPr>
          <w:p>
            <w:pPr>
              <w:jc w:val="center"/>
              <w:ind w:right="1770"/>
              <w:spacing w:after="0"/>
              <w:rPr>
                <w:sz w:val="20"/>
                <w:szCs w:val="20"/>
                <w:color w:val="auto"/>
              </w:rPr>
            </w:pPr>
            <w:r>
              <w:rPr>
                <w:rFonts w:ascii="Arial" w:cs="Arial" w:eastAsia="Arial" w:hAnsi="Arial"/>
                <w:sz w:val="14"/>
                <w:szCs w:val="14"/>
                <w:b w:val="1"/>
                <w:bCs w:val="1"/>
                <w:color w:val="auto"/>
                <w:w w:val="98"/>
              </w:rPr>
              <w:t>Marc A. Recht</w:t>
            </w:r>
          </w:p>
        </w:tc>
        <w:tc>
          <w:tcPr>
            <w:tcW w:w="3820" w:type="dxa"/>
            <w:vAlign w:val="bottom"/>
          </w:tcPr>
          <w:p>
            <w:pPr>
              <w:jc w:val="center"/>
              <w:ind w:left="1770"/>
              <w:spacing w:after="0"/>
              <w:rPr>
                <w:sz w:val="20"/>
                <w:szCs w:val="20"/>
                <w:color w:val="auto"/>
              </w:rPr>
            </w:pPr>
            <w:r>
              <w:rPr>
                <w:rFonts w:ascii="Arial" w:cs="Arial" w:eastAsia="Arial" w:hAnsi="Arial"/>
                <w:sz w:val="14"/>
                <w:szCs w:val="14"/>
                <w:b w:val="1"/>
                <w:bCs w:val="1"/>
                <w:color w:val="auto"/>
                <w:w w:val="99"/>
              </w:rPr>
              <w:t>Peter N. Handrinos</w:t>
            </w:r>
          </w:p>
        </w:tc>
      </w:tr>
      <w:tr>
        <w:trPr>
          <w:trHeight w:val="157"/>
        </w:trPr>
        <w:tc>
          <w:tcPr>
            <w:tcW w:w="3840" w:type="dxa"/>
            <w:vAlign w:val="bottom"/>
          </w:tcPr>
          <w:p>
            <w:pPr>
              <w:jc w:val="center"/>
              <w:ind w:right="1770"/>
              <w:spacing w:after="0" w:line="157" w:lineRule="exact"/>
              <w:rPr>
                <w:sz w:val="20"/>
                <w:szCs w:val="20"/>
                <w:color w:val="auto"/>
              </w:rPr>
            </w:pPr>
            <w:r>
              <w:rPr>
                <w:rFonts w:ascii="Arial" w:cs="Arial" w:eastAsia="Arial" w:hAnsi="Arial"/>
                <w:sz w:val="14"/>
                <w:szCs w:val="14"/>
                <w:b w:val="1"/>
                <w:bCs w:val="1"/>
                <w:color w:val="auto"/>
                <w:w w:val="98"/>
              </w:rPr>
              <w:t>Ryan S. Sansom</w:t>
            </w:r>
          </w:p>
        </w:tc>
        <w:tc>
          <w:tcPr>
            <w:tcW w:w="3820" w:type="dxa"/>
            <w:vAlign w:val="bottom"/>
          </w:tcPr>
          <w:p>
            <w:pPr>
              <w:jc w:val="center"/>
              <w:ind w:left="1790"/>
              <w:spacing w:after="0" w:line="157" w:lineRule="exact"/>
              <w:rPr>
                <w:sz w:val="20"/>
                <w:szCs w:val="20"/>
                <w:color w:val="auto"/>
              </w:rPr>
            </w:pPr>
            <w:r>
              <w:rPr>
                <w:rFonts w:ascii="Arial" w:cs="Arial" w:eastAsia="Arial" w:hAnsi="Arial"/>
                <w:sz w:val="14"/>
                <w:szCs w:val="14"/>
                <w:b w:val="1"/>
                <w:bCs w:val="1"/>
                <w:color w:val="auto"/>
                <w:w w:val="99"/>
              </w:rPr>
              <w:t>Nathan Ajiashvili</w:t>
            </w:r>
          </w:p>
        </w:tc>
      </w:tr>
      <w:tr>
        <w:trPr>
          <w:trHeight w:val="157"/>
        </w:trPr>
        <w:tc>
          <w:tcPr>
            <w:tcW w:w="3840" w:type="dxa"/>
            <w:vAlign w:val="bottom"/>
          </w:tcPr>
          <w:p>
            <w:pPr>
              <w:jc w:val="center"/>
              <w:ind w:right="1790"/>
              <w:spacing w:after="0" w:line="157" w:lineRule="exact"/>
              <w:rPr>
                <w:sz w:val="20"/>
                <w:szCs w:val="20"/>
                <w:color w:val="auto"/>
              </w:rPr>
            </w:pPr>
            <w:r>
              <w:rPr>
                <w:rFonts w:ascii="Arial" w:cs="Arial" w:eastAsia="Arial" w:hAnsi="Arial"/>
                <w:sz w:val="14"/>
                <w:szCs w:val="14"/>
                <w:b w:val="1"/>
                <w:bCs w:val="1"/>
                <w:color w:val="auto"/>
                <w:w w:val="99"/>
              </w:rPr>
              <w:t>Brandon Fenn</w:t>
            </w:r>
          </w:p>
        </w:tc>
        <w:tc>
          <w:tcPr>
            <w:tcW w:w="3820" w:type="dxa"/>
            <w:vAlign w:val="bottom"/>
          </w:tcPr>
          <w:p>
            <w:pPr>
              <w:jc w:val="center"/>
              <w:ind w:left="1770"/>
              <w:spacing w:after="0" w:line="157" w:lineRule="exact"/>
              <w:rPr>
                <w:sz w:val="20"/>
                <w:szCs w:val="20"/>
                <w:color w:val="auto"/>
              </w:rPr>
            </w:pPr>
            <w:r>
              <w:rPr>
                <w:rFonts w:ascii="Arial" w:cs="Arial" w:eastAsia="Arial" w:hAnsi="Arial"/>
                <w:sz w:val="14"/>
                <w:szCs w:val="14"/>
                <w:b w:val="1"/>
                <w:bCs w:val="1"/>
                <w:color w:val="auto"/>
                <w:w w:val="98"/>
              </w:rPr>
              <w:t>Latham &amp; Watkins LLP</w:t>
            </w:r>
          </w:p>
        </w:tc>
      </w:tr>
      <w:tr>
        <w:trPr>
          <w:trHeight w:val="157"/>
        </w:trPr>
        <w:tc>
          <w:tcPr>
            <w:tcW w:w="3840" w:type="dxa"/>
            <w:vAlign w:val="bottom"/>
          </w:tcPr>
          <w:p>
            <w:pPr>
              <w:jc w:val="center"/>
              <w:ind w:right="1790"/>
              <w:spacing w:after="0" w:line="157" w:lineRule="exact"/>
              <w:rPr>
                <w:sz w:val="20"/>
                <w:szCs w:val="20"/>
                <w:color w:val="auto"/>
              </w:rPr>
            </w:pPr>
            <w:r>
              <w:rPr>
                <w:rFonts w:ascii="Arial" w:cs="Arial" w:eastAsia="Arial" w:hAnsi="Arial"/>
                <w:sz w:val="14"/>
                <w:szCs w:val="14"/>
                <w:b w:val="1"/>
                <w:bCs w:val="1"/>
                <w:color w:val="auto"/>
                <w:w w:val="99"/>
              </w:rPr>
              <w:t>Esther Cho</w:t>
            </w:r>
          </w:p>
        </w:tc>
        <w:tc>
          <w:tcPr>
            <w:tcW w:w="3820" w:type="dxa"/>
            <w:vAlign w:val="bottom"/>
          </w:tcPr>
          <w:p>
            <w:pPr>
              <w:jc w:val="center"/>
              <w:ind w:left="1790"/>
              <w:spacing w:after="0" w:line="157" w:lineRule="exact"/>
              <w:rPr>
                <w:sz w:val="20"/>
                <w:szCs w:val="20"/>
                <w:color w:val="auto"/>
              </w:rPr>
            </w:pPr>
            <w:r>
              <w:rPr>
                <w:rFonts w:ascii="Arial" w:cs="Arial" w:eastAsia="Arial" w:hAnsi="Arial"/>
                <w:sz w:val="14"/>
                <w:szCs w:val="14"/>
                <w:b w:val="1"/>
                <w:bCs w:val="1"/>
                <w:color w:val="auto"/>
                <w:w w:val="99"/>
              </w:rPr>
              <w:t>200 Clarendon Street</w:t>
            </w:r>
          </w:p>
        </w:tc>
      </w:tr>
      <w:tr>
        <w:trPr>
          <w:trHeight w:val="157"/>
        </w:trPr>
        <w:tc>
          <w:tcPr>
            <w:tcW w:w="3840" w:type="dxa"/>
            <w:vAlign w:val="bottom"/>
          </w:tcPr>
          <w:p>
            <w:pPr>
              <w:jc w:val="center"/>
              <w:ind w:right="1770"/>
              <w:spacing w:after="0" w:line="157" w:lineRule="exact"/>
              <w:rPr>
                <w:sz w:val="20"/>
                <w:szCs w:val="20"/>
                <w:color w:val="auto"/>
              </w:rPr>
            </w:pPr>
            <w:r>
              <w:rPr>
                <w:rFonts w:ascii="Arial" w:cs="Arial" w:eastAsia="Arial" w:hAnsi="Arial"/>
                <w:sz w:val="14"/>
                <w:szCs w:val="14"/>
                <w:b w:val="1"/>
                <w:bCs w:val="1"/>
                <w:color w:val="auto"/>
                <w:w w:val="98"/>
              </w:rPr>
              <w:t>Cooley LLP</w:t>
            </w:r>
          </w:p>
        </w:tc>
        <w:tc>
          <w:tcPr>
            <w:tcW w:w="3820" w:type="dxa"/>
            <w:vAlign w:val="bottom"/>
          </w:tcPr>
          <w:p>
            <w:pPr>
              <w:jc w:val="center"/>
              <w:ind w:left="1770"/>
              <w:spacing w:after="0" w:line="157" w:lineRule="exact"/>
              <w:rPr>
                <w:sz w:val="20"/>
                <w:szCs w:val="20"/>
                <w:color w:val="auto"/>
              </w:rPr>
            </w:pPr>
            <w:r>
              <w:rPr>
                <w:rFonts w:ascii="Arial" w:cs="Arial" w:eastAsia="Arial" w:hAnsi="Arial"/>
                <w:sz w:val="14"/>
                <w:szCs w:val="14"/>
                <w:b w:val="1"/>
                <w:bCs w:val="1"/>
                <w:color w:val="auto"/>
                <w:w w:val="99"/>
              </w:rPr>
              <w:t>Boston, Massachusetts 02116</w:t>
            </w:r>
          </w:p>
        </w:tc>
      </w:tr>
      <w:tr>
        <w:trPr>
          <w:trHeight w:val="157"/>
        </w:trPr>
        <w:tc>
          <w:tcPr>
            <w:tcW w:w="3840" w:type="dxa"/>
            <w:vAlign w:val="bottom"/>
          </w:tcPr>
          <w:p>
            <w:pPr>
              <w:jc w:val="center"/>
              <w:ind w:right="1790"/>
              <w:spacing w:after="0" w:line="157" w:lineRule="exact"/>
              <w:rPr>
                <w:sz w:val="20"/>
                <w:szCs w:val="20"/>
                <w:color w:val="auto"/>
              </w:rPr>
            </w:pPr>
            <w:r>
              <w:rPr>
                <w:rFonts w:ascii="Arial" w:cs="Arial" w:eastAsia="Arial" w:hAnsi="Arial"/>
                <w:sz w:val="14"/>
                <w:szCs w:val="14"/>
                <w:b w:val="1"/>
                <w:bCs w:val="1"/>
                <w:color w:val="auto"/>
                <w:w w:val="99"/>
              </w:rPr>
              <w:t>500 Boylston Street</w:t>
            </w:r>
          </w:p>
        </w:tc>
        <w:tc>
          <w:tcPr>
            <w:tcW w:w="3820" w:type="dxa"/>
            <w:vAlign w:val="bottom"/>
          </w:tcPr>
          <w:p>
            <w:pPr>
              <w:jc w:val="center"/>
              <w:ind w:left="1790"/>
              <w:spacing w:after="0" w:line="157" w:lineRule="exact"/>
              <w:rPr>
                <w:sz w:val="20"/>
                <w:szCs w:val="20"/>
                <w:color w:val="auto"/>
              </w:rPr>
            </w:pPr>
            <w:r>
              <w:rPr>
                <w:rFonts w:ascii="Arial" w:cs="Arial" w:eastAsia="Arial" w:hAnsi="Arial"/>
                <w:sz w:val="14"/>
                <w:szCs w:val="14"/>
                <w:b w:val="1"/>
                <w:bCs w:val="1"/>
                <w:color w:val="auto"/>
              </w:rPr>
              <w:t>(617) 948-6000</w:t>
            </w:r>
          </w:p>
        </w:tc>
      </w:tr>
      <w:tr>
        <w:trPr>
          <w:trHeight w:val="157"/>
        </w:trPr>
        <w:tc>
          <w:tcPr>
            <w:tcW w:w="3840" w:type="dxa"/>
            <w:vAlign w:val="bottom"/>
          </w:tcPr>
          <w:p>
            <w:pPr>
              <w:jc w:val="center"/>
              <w:ind w:right="1790"/>
              <w:spacing w:after="0" w:line="157" w:lineRule="exact"/>
              <w:rPr>
                <w:sz w:val="20"/>
                <w:szCs w:val="20"/>
                <w:color w:val="auto"/>
              </w:rPr>
            </w:pPr>
            <w:r>
              <w:rPr>
                <w:rFonts w:ascii="Arial" w:cs="Arial" w:eastAsia="Arial" w:hAnsi="Arial"/>
                <w:sz w:val="14"/>
                <w:szCs w:val="14"/>
                <w:b w:val="1"/>
                <w:bCs w:val="1"/>
                <w:color w:val="auto"/>
                <w:w w:val="99"/>
              </w:rPr>
              <w:t>Boston, Massachusetts 02116</w:t>
            </w:r>
          </w:p>
        </w:tc>
        <w:tc>
          <w:tcPr>
            <w:tcW w:w="3820" w:type="dxa"/>
            <w:vAlign w:val="bottom"/>
          </w:tcPr>
          <w:p>
            <w:pPr>
              <w:spacing w:after="0"/>
              <w:rPr>
                <w:sz w:val="13"/>
                <w:szCs w:val="13"/>
                <w:color w:val="auto"/>
              </w:rPr>
            </w:pPr>
          </w:p>
        </w:tc>
      </w:tr>
      <w:tr>
        <w:trPr>
          <w:trHeight w:val="184"/>
        </w:trPr>
        <w:tc>
          <w:tcPr>
            <w:tcW w:w="3840" w:type="dxa"/>
            <w:vAlign w:val="bottom"/>
          </w:tcPr>
          <w:p>
            <w:pPr>
              <w:jc w:val="center"/>
              <w:ind w:right="1770"/>
              <w:spacing w:after="0"/>
              <w:rPr>
                <w:sz w:val="20"/>
                <w:szCs w:val="20"/>
                <w:color w:val="auto"/>
              </w:rPr>
            </w:pPr>
            <w:r>
              <w:rPr>
                <w:rFonts w:ascii="Arial" w:cs="Arial" w:eastAsia="Arial" w:hAnsi="Arial"/>
                <w:sz w:val="14"/>
                <w:szCs w:val="14"/>
                <w:b w:val="1"/>
                <w:bCs w:val="1"/>
                <w:color w:val="auto"/>
              </w:rPr>
              <w:t>(617) 937-2300</w:t>
            </w:r>
          </w:p>
        </w:tc>
        <w:tc>
          <w:tcPr>
            <w:tcW w:w="3820" w:type="dxa"/>
            <w:vAlign w:val="bottom"/>
          </w:tcPr>
          <w:p>
            <w:pPr>
              <w:spacing w:after="0"/>
              <w:rPr>
                <w:sz w:val="15"/>
                <w:szCs w:val="15"/>
                <w:color w:val="auto"/>
              </w:rPr>
            </w:pPr>
          </w:p>
        </w:tc>
      </w:tr>
    </w:tbl>
    <w:p>
      <w:pPr>
        <w:spacing w:after="0" w:line="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79375</wp:posOffset>
            </wp:positionV>
            <wp:extent cx="2279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74" w:lineRule="exact"/>
        <w:rPr>
          <w:sz w:val="24"/>
          <w:szCs w:val="24"/>
          <w:color w:val="auto"/>
        </w:rPr>
      </w:pPr>
    </w:p>
    <w:p>
      <w:pPr>
        <w:ind w:right="40"/>
        <w:spacing w:after="0" w:line="17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right="720"/>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right="180"/>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right="180"/>
        <w:spacing w:after="0" w:line="17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right="20"/>
        <w:spacing w:after="0" w:line="24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7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30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0" w:lineRule="exact"/>
        <w:rPr>
          <w:sz w:val="24"/>
          <w:szCs w:val="24"/>
          <w:color w:val="auto"/>
        </w:rPr>
      </w:pPr>
    </w:p>
    <w:p>
      <w:pPr>
        <w:ind w:right="660"/>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in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64135</wp:posOffset>
            </wp:positionV>
            <wp:extent cx="2279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66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r>
      <w:tr>
        <w:trPr>
          <w:trHeight w:val="119"/>
        </w:trPr>
        <w:tc>
          <w:tcPr>
            <w:tcW w:w="5660" w:type="dxa"/>
            <w:vAlign w:val="bottom"/>
            <w:tcBorders>
              <w:right w:val="single" w:sz="8" w:color="auto"/>
            </w:tcBorders>
          </w:tcPr>
          <w:p>
            <w:pPr>
              <w:spacing w:after="0"/>
              <w:rPr>
                <w:sz w:val="10"/>
                <w:szCs w:val="10"/>
                <w:color w:val="auto"/>
              </w:rPr>
            </w:pPr>
          </w:p>
        </w:tc>
        <w:tc>
          <w:tcPr>
            <w:tcW w:w="3480" w:type="dxa"/>
            <w:vAlign w:val="bottom"/>
            <w:tcBorders>
              <w:right w:val="single" w:sz="8" w:color="auto"/>
            </w:tcBorders>
          </w:tcPr>
          <w:p>
            <w:pPr>
              <w:jc w:val="center"/>
              <w:ind w:left="10"/>
              <w:spacing w:after="0" w:line="119" w:lineRule="exact"/>
              <w:rPr>
                <w:sz w:val="20"/>
                <w:szCs w:val="20"/>
                <w:color w:val="auto"/>
              </w:rPr>
            </w:pPr>
            <w:r>
              <w:rPr>
                <w:rFonts w:ascii="Arial" w:cs="Arial" w:eastAsia="Arial" w:hAnsi="Arial"/>
                <w:sz w:val="13"/>
                <w:szCs w:val="13"/>
                <w:b w:val="1"/>
                <w:bCs w:val="1"/>
                <w:color w:val="auto"/>
              </w:rPr>
              <w:t>PROPOSED MAXIMUM</w:t>
            </w:r>
          </w:p>
        </w:tc>
        <w:tc>
          <w:tcPr>
            <w:tcW w:w="2100" w:type="dxa"/>
            <w:vAlign w:val="bottom"/>
          </w:tcPr>
          <w:p>
            <w:pPr>
              <w:jc w:val="center"/>
              <w:ind w:left="30"/>
              <w:spacing w:after="0" w:line="119" w:lineRule="exact"/>
              <w:rPr>
                <w:sz w:val="20"/>
                <w:szCs w:val="20"/>
                <w:color w:val="auto"/>
              </w:rPr>
            </w:pPr>
            <w:r>
              <w:rPr>
                <w:rFonts w:ascii="Arial" w:cs="Arial" w:eastAsia="Arial" w:hAnsi="Arial"/>
                <w:sz w:val="13"/>
                <w:szCs w:val="13"/>
                <w:b w:val="1"/>
                <w:bCs w:val="1"/>
                <w:color w:val="auto"/>
              </w:rPr>
              <w:t>AMOUNT OF</w:t>
            </w:r>
          </w:p>
        </w:tc>
      </w:tr>
      <w:tr>
        <w:trPr>
          <w:trHeight w:val="173"/>
        </w:trPr>
        <w:tc>
          <w:tcPr>
            <w:tcW w:w="566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TITLE OF SECURITIES BEING REGISTERED</w:t>
            </w:r>
          </w:p>
        </w:tc>
        <w:tc>
          <w:tcPr>
            <w:tcW w:w="3480" w:type="dxa"/>
            <w:vAlign w:val="bottom"/>
            <w:tcBorders>
              <w:bottom w:val="single" w:sz="8" w:color="auto"/>
              <w:right w:val="single" w:sz="8" w:color="auto"/>
            </w:tcBorders>
          </w:tcPr>
          <w:p>
            <w:pPr>
              <w:jc w:val="center"/>
              <w:ind w:left="10"/>
              <w:spacing w:after="0" w:line="173" w:lineRule="exact"/>
              <w:rPr>
                <w:sz w:val="20"/>
                <w:szCs w:val="20"/>
                <w:color w:val="auto"/>
              </w:rPr>
            </w:pPr>
            <w:r>
              <w:rPr>
                <w:rFonts w:ascii="Arial" w:cs="Arial" w:eastAsia="Arial" w:hAnsi="Arial"/>
                <w:sz w:val="12"/>
                <w:szCs w:val="12"/>
                <w:b w:val="1"/>
                <w:bCs w:val="1"/>
                <w:color w:val="auto"/>
              </w:rPr>
              <w:t xml:space="preserve">AGGREGATE OFFERING PRICE </w:t>
            </w:r>
            <w:r>
              <w:rPr>
                <w:rFonts w:ascii="Arial" w:cs="Arial" w:eastAsia="Arial" w:hAnsi="Arial"/>
                <w:sz w:val="20"/>
                <w:szCs w:val="20"/>
                <w:b w:val="1"/>
                <w:bCs w:val="1"/>
                <w:color w:val="auto"/>
                <w:vertAlign w:val="superscript"/>
              </w:rPr>
              <w:t>(1)</w:t>
            </w:r>
          </w:p>
        </w:tc>
        <w:tc>
          <w:tcPr>
            <w:tcW w:w="2100" w:type="dxa"/>
            <w:vAlign w:val="bottom"/>
            <w:tcBorders>
              <w:bottom w:val="single" w:sz="8" w:color="auto"/>
            </w:tcBorders>
          </w:tcPr>
          <w:p>
            <w:pPr>
              <w:jc w:val="center"/>
              <w:ind w:left="30"/>
              <w:spacing w:after="0" w:line="173" w:lineRule="exact"/>
              <w:rPr>
                <w:sz w:val="20"/>
                <w:szCs w:val="20"/>
                <w:color w:val="auto"/>
              </w:rPr>
            </w:pPr>
            <w:r>
              <w:rPr>
                <w:rFonts w:ascii="Arial" w:cs="Arial" w:eastAsia="Arial" w:hAnsi="Arial"/>
                <w:sz w:val="12"/>
                <w:szCs w:val="12"/>
                <w:b w:val="1"/>
                <w:bCs w:val="1"/>
                <w:color w:val="auto"/>
              </w:rPr>
              <w:t xml:space="preserve">REGISTRATION FEE </w:t>
            </w:r>
            <w:r>
              <w:rPr>
                <w:rFonts w:ascii="Arial" w:cs="Arial" w:eastAsia="Arial" w:hAnsi="Arial"/>
                <w:sz w:val="20"/>
                <w:szCs w:val="20"/>
                <w:b w:val="1"/>
                <w:bCs w:val="1"/>
                <w:color w:val="auto"/>
                <w:vertAlign w:val="superscript"/>
              </w:rPr>
              <w:t>(2)</w:t>
            </w:r>
          </w:p>
        </w:tc>
      </w:tr>
      <w:tr>
        <w:trPr>
          <w:trHeight w:val="176"/>
        </w:trPr>
        <w:tc>
          <w:tcPr>
            <w:tcW w:w="5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3480" w:type="dxa"/>
            <w:vAlign w:val="bottom"/>
            <w:tcBorders>
              <w:bottom w:val="single" w:sz="8" w:color="auto"/>
              <w:right w:val="single" w:sz="8" w:color="auto"/>
            </w:tcBorders>
          </w:tcPr>
          <w:p>
            <w:pPr>
              <w:jc w:val="right"/>
              <w:ind w:right="2890"/>
              <w:spacing w:after="0" w:line="176" w:lineRule="exact"/>
              <w:rPr>
                <w:sz w:val="20"/>
                <w:szCs w:val="20"/>
                <w:color w:val="auto"/>
              </w:rPr>
            </w:pPr>
            <w:r>
              <w:rPr>
                <w:rFonts w:ascii="Arial" w:cs="Arial" w:eastAsia="Arial" w:hAnsi="Arial"/>
                <w:sz w:val="17"/>
                <w:szCs w:val="17"/>
                <w:color w:val="auto"/>
              </w:rPr>
              <w:t>$</w:t>
            </w:r>
          </w:p>
        </w:tc>
        <w:tc>
          <w:tcPr>
            <w:tcW w:w="2100" w:type="dxa"/>
            <w:vAlign w:val="bottom"/>
            <w:tcBorders>
              <w:bottom w:val="single" w:sz="8" w:color="auto"/>
            </w:tcBorders>
          </w:tcPr>
          <w:p>
            <w:pPr>
              <w:jc w:val="right"/>
              <w:ind w:right="1650"/>
              <w:spacing w:after="0" w:line="176" w:lineRule="exact"/>
              <w:rPr>
                <w:sz w:val="20"/>
                <w:szCs w:val="20"/>
                <w:color w:val="auto"/>
              </w:rPr>
            </w:pPr>
            <w:r>
              <w:rPr>
                <w:rFonts w:ascii="Arial" w:cs="Arial" w:eastAsia="Arial" w:hAnsi="Arial"/>
                <w:sz w:val="17"/>
                <w:szCs w:val="17"/>
                <w:color w:val="auto"/>
              </w:rPr>
              <w:t>$</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440" w:right="40" w:hanging="292"/>
        <w:spacing w:after="0" w:line="181" w:lineRule="auto"/>
        <w:tabs>
          <w:tab w:leader="none" w:pos="44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Estimated solely for purposes of computing the amount of the registration fee pursuant to Rule 457(o) under the Securities Act of 1933, as amended. Includes the offering price of additional shares that the underwriters have the option to purchase.</w:t>
      </w:r>
    </w:p>
    <w:p>
      <w:pPr>
        <w:spacing w:after="0" w:line="1" w:lineRule="exact"/>
        <w:rPr>
          <w:rFonts w:ascii="Arial" w:cs="Arial" w:eastAsia="Arial" w:hAnsi="Arial"/>
          <w:sz w:val="23"/>
          <w:szCs w:val="23"/>
          <w:color w:val="auto"/>
          <w:vertAlign w:val="superscript"/>
        </w:rPr>
      </w:pPr>
    </w:p>
    <w:p>
      <w:pPr>
        <w:ind w:left="440" w:hanging="292"/>
        <w:spacing w:after="0" w:line="184" w:lineRule="auto"/>
        <w:tabs>
          <w:tab w:leader="none" w:pos="440" w:val="left"/>
        </w:tabs>
        <w:numPr>
          <w:ilvl w:val="0"/>
          <w:numId w:val="1"/>
        </w:numPr>
        <w:rPr>
          <w:rFonts w:ascii="Arial" w:cs="Arial" w:eastAsia="Arial" w:hAnsi="Arial"/>
          <w:sz w:val="19"/>
          <w:szCs w:val="19"/>
          <w:color w:val="auto"/>
          <w:vertAlign w:val="superscript"/>
        </w:rPr>
      </w:pPr>
      <w:r>
        <w:rPr>
          <w:rFonts w:ascii="Arial" w:cs="Arial" w:eastAsia="Arial" w:hAnsi="Arial"/>
          <w:sz w:val="12"/>
          <w:szCs w:val="12"/>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2431415</wp:posOffset>
            </wp:positionH>
            <wp:positionV relativeFrom="paragraph">
              <wp:posOffset>64770</wp:posOffset>
            </wp:positionV>
            <wp:extent cx="2279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129"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67310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EXPLANATORY NOTE</w:t>
      </w:r>
    </w:p>
    <w:p>
      <w:pPr>
        <w:spacing w:after="0" w:line="330"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Pursuant to the applicable provisions of the Fixing America’s Surface Transportation Act, we are omitting our consolidated financial statements as of and for the year ended December 31, 2017 and the nine months ended September 30, 2019 and 2018. While this financial information is otherwise required by Regulation S-X, we reasonably believe that it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1120"/>
          </w:cols>
          <w:pgMar w:left="320" w:top="448" w:right="4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b w:val="1"/>
          <w:bCs w:val="1"/>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13" w:lineRule="exact"/>
        <w:rPr>
          <w:sz w:val="20"/>
          <w:szCs w:val="20"/>
          <w:color w:val="auto"/>
        </w:rPr>
      </w:pPr>
    </w:p>
    <w:tbl>
      <w:tblPr>
        <w:tblLayout w:type="fixed"/>
        <w:tblInd w:w="680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7"/>
                <w:szCs w:val="17"/>
                <w:color w:val="C21128"/>
              </w:rPr>
              <w:t>SUBJECT TO COMPLETION, DATED</w:t>
            </w:r>
          </w:p>
        </w:tc>
        <w:tc>
          <w:tcPr>
            <w:tcW w:w="980" w:type="dxa"/>
            <w:vAlign w:val="bottom"/>
          </w:tcPr>
          <w:p>
            <w:pPr>
              <w:jc w:val="right"/>
              <w:spacing w:after="0"/>
              <w:rPr>
                <w:sz w:val="20"/>
                <w:szCs w:val="20"/>
                <w:color w:val="auto"/>
              </w:rPr>
            </w:pPr>
            <w:r>
              <w:rPr>
                <w:rFonts w:ascii="Arial" w:cs="Arial" w:eastAsia="Arial" w:hAnsi="Arial"/>
                <w:sz w:val="17"/>
                <w:szCs w:val="17"/>
                <w:color w:val="C21128"/>
              </w:rPr>
              <w:t>, 2020</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312" w:lineRule="exact"/>
        <w:rPr>
          <w:sz w:val="20"/>
          <w:szCs w:val="20"/>
          <w:color w:val="auto"/>
        </w:rPr>
      </w:pPr>
    </w:p>
    <w:p>
      <w:pPr>
        <w:ind w:left="5620"/>
        <w:spacing w:after="0"/>
        <w:rPr>
          <w:sz w:val="20"/>
          <w:szCs w:val="20"/>
          <w:color w:val="auto"/>
        </w:rPr>
      </w:pPr>
      <w:r>
        <w:rPr>
          <w:rFonts w:ascii="Arial" w:cs="Arial" w:eastAsia="Arial" w:hAnsi="Arial"/>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175895</wp:posOffset>
            </wp:positionV>
            <wp:extent cx="2105660" cy="472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566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Common Stock</w:t>
      </w:r>
    </w:p>
    <w:p>
      <w:pPr>
        <w:sectPr>
          <w:pgSz w:w="11900" w:h="16838" w:orient="portrait"/>
          <w:cols w:equalWidth="0" w:num="1">
            <w:col w:w="11240"/>
          </w:cols>
          <w:pgMar w:left="320" w:top="448" w:right="3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are offering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This is our initial public offering of our common stock.</w:t>
      </w:r>
    </w:p>
    <w:p>
      <w:pPr>
        <w:spacing w:after="0" w:line="157" w:lineRule="exact"/>
        <w:rPr>
          <w:sz w:val="20"/>
          <w:szCs w:val="20"/>
          <w:color w:val="auto"/>
        </w:rPr>
      </w:pPr>
    </w:p>
    <w:p>
      <w:pPr>
        <w:sectPr>
          <w:pgSz w:w="11900" w:h="16838" w:orient="portrait"/>
          <w:cols w:equalWidth="0" w:num="2">
            <w:col w:w="1340" w:space="720"/>
            <w:col w:w="9180"/>
          </w:cols>
          <w:pgMar w:left="320" w:top="448" w:right="339" w:bottom="1440" w:gutter="0" w:footer="0" w:header="0"/>
          <w:type w:val="continuous"/>
        </w:sectPr>
      </w:pPr>
    </w:p>
    <w:p>
      <w:pPr>
        <w:spacing w:after="0"/>
        <w:rPr>
          <w:sz w:val="20"/>
          <w:szCs w:val="20"/>
          <w:color w:val="auto"/>
        </w:rPr>
      </w:pPr>
      <w:r>
        <w:rPr>
          <w:rFonts w:ascii="Arial" w:cs="Arial" w:eastAsia="Arial" w:hAnsi="Arial"/>
          <w:sz w:val="17"/>
          <w:szCs w:val="17"/>
          <w:color w:val="auto"/>
        </w:rPr>
        <w:t>Prior to this offering, there has been no public market for our shares. We expect that the initial public offering price will be between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w:t>
      </w:r>
    </w:p>
    <w:p>
      <w:pPr>
        <w:spacing w:after="0" w:line="25" w:lineRule="exact"/>
        <w:rPr>
          <w:sz w:val="20"/>
          <w:szCs w:val="20"/>
          <w:color w:val="auto"/>
        </w:rPr>
      </w:pPr>
    </w:p>
    <w:p>
      <w:pPr>
        <w:sectPr>
          <w:pgSz w:w="11900" w:h="16838" w:orient="portrait"/>
          <w:cols w:equalWidth="0" w:num="2">
            <w:col w:w="10140" w:space="440"/>
            <w:col w:w="660"/>
          </w:cols>
          <w:pgMar w:left="320" w:top="448" w:right="339" w:bottom="1440" w:gutter="0" w:footer="0" w:header="0"/>
          <w:type w:val="continuous"/>
        </w:sectPr>
      </w:pPr>
    </w:p>
    <w:p>
      <w:pPr>
        <w:ind w:left="480" w:hanging="476"/>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 share. We intend to apply to list our common stock on the Nasdaq Global Market under the symbol “KROS.”</w:t>
      </w:r>
    </w:p>
    <w:p>
      <w:pPr>
        <w:spacing w:after="0" w:line="143"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We are an “emerging growth company” under the federal securities laws and, as such, we have elected to comply with certain reduced public company reporting requirements for this prospectus and for future filings.</w:t>
      </w:r>
    </w:p>
    <w:p>
      <w:pPr>
        <w:spacing w:after="0" w:line="160" w:lineRule="exact"/>
        <w:rPr>
          <w:sz w:val="20"/>
          <w:szCs w:val="20"/>
          <w:color w:val="auto"/>
        </w:rPr>
      </w:pPr>
    </w:p>
    <w:p>
      <w:pPr>
        <w:ind w:right="260"/>
        <w:spacing w:after="0" w:line="284"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starting on page 11 of this prospectus.</w:t>
      </w:r>
    </w:p>
    <w:p>
      <w:pPr>
        <w:spacing w:after="0" w:line="138"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97"/>
              </w:rPr>
              <w:t>PER SHARE</w:t>
            </w:r>
          </w:p>
        </w:tc>
        <w:tc>
          <w:tcPr>
            <w:tcW w:w="5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89"/>
        </w:trPr>
        <w:tc>
          <w:tcPr>
            <w:tcW w:w="7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Public offering price</w:t>
            </w:r>
          </w:p>
        </w:tc>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82"/>
              <w:spacing w:after="0" w:line="189" w:lineRule="exact"/>
              <w:rPr>
                <w:sz w:val="20"/>
                <w:szCs w:val="20"/>
                <w:color w:val="auto"/>
              </w:rPr>
            </w:pPr>
            <w:r>
              <w:rPr>
                <w:rFonts w:ascii="Arial" w:cs="Arial" w:eastAsia="Arial" w:hAnsi="Arial"/>
                <w:sz w:val="17"/>
                <w:szCs w:val="17"/>
                <w:b w:val="1"/>
                <w:bCs w:val="1"/>
                <w:color w:val="auto"/>
                <w:w w:val="84"/>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7320" w:type="dxa"/>
            <w:vAlign w:val="bottom"/>
          </w:tcPr>
          <w:p>
            <w:pPr>
              <w:spacing w:after="0"/>
              <w:rPr>
                <w:sz w:val="20"/>
                <w:szCs w:val="20"/>
                <w:color w:val="auto"/>
              </w:rPr>
            </w:pPr>
            <w:r>
              <w:rPr>
                <w:rFonts w:ascii="Arial" w:cs="Arial" w:eastAsia="Arial" w:hAnsi="Arial"/>
                <w:sz w:val="17"/>
                <w:szCs w:val="17"/>
                <w:b w:val="1"/>
                <w:bCs w:val="1"/>
                <w:color w:val="auto"/>
              </w:rPr>
              <w:t xml:space="preserve">Underwriting discounts and commissions </w:t>
            </w:r>
            <w:r>
              <w:rPr>
                <w:rFonts w:ascii="Arial" w:cs="Arial" w:eastAsia="Arial" w:hAnsi="Arial"/>
                <w:sz w:val="14"/>
                <w:szCs w:val="14"/>
                <w:b w:val="1"/>
                <w:bCs w:val="1"/>
                <w:color w:val="auto"/>
              </w:rPr>
              <w:t>(1)</w:t>
            </w:r>
          </w:p>
        </w:tc>
        <w:tc>
          <w:tcPr>
            <w:tcW w:w="820" w:type="dxa"/>
            <w:vAlign w:val="bottom"/>
          </w:tcPr>
          <w:p>
            <w:pPr>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582"/>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r>
      <w:tr>
        <w:trPr>
          <w:trHeight w:val="19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Proceeds, before expenses, to us</w:t>
            </w:r>
          </w:p>
        </w:tc>
        <w:tc>
          <w:tcPr>
            <w:tcW w:w="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shd w:val="clear" w:color="auto" w:fill="CCEEFF"/>
          </w:tcPr>
          <w:p>
            <w:pPr>
              <w:jc w:val="right"/>
              <w:ind w:right="582"/>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157480</wp:posOffset>
            </wp:positionV>
            <wp:extent cx="7136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55" w:lineRule="exact"/>
        <w:rPr>
          <w:sz w:val="20"/>
          <w:szCs w:val="20"/>
          <w:color w:val="auto"/>
        </w:rPr>
      </w:pPr>
    </w:p>
    <w:p>
      <w:pPr>
        <w:ind w:left="440" w:hanging="292"/>
        <w:spacing w:after="0"/>
        <w:tabs>
          <w:tab w:leader="none" w:pos="44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We refer you to “Underwriting” beginning on page 158 for additional information regarding underwriting compensation.</w:t>
      </w:r>
    </w:p>
    <w:p>
      <w:pPr>
        <w:sectPr>
          <w:pgSz w:w="11900" w:h="16838" w:orient="portrait"/>
          <w:cols w:equalWidth="0" w:num="1">
            <w:col w:w="11240"/>
          </w:cols>
          <w:pgMar w:left="320" w:top="448"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Delivery of the shares of common stock is expected to be made on or about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2020.</w:t>
      </w:r>
    </w:p>
    <w:p>
      <w:pPr>
        <w:spacing w:after="0" w:line="200" w:lineRule="exact"/>
        <w:rPr>
          <w:sz w:val="20"/>
          <w:szCs w:val="20"/>
          <w:color w:val="auto"/>
        </w:rPr>
      </w:pPr>
    </w:p>
    <w:p>
      <w:pPr>
        <w:sectPr>
          <w:pgSz w:w="11900" w:h="16838" w:orient="portrait"/>
          <w:cols w:equalWidth="0" w:num="2">
            <w:col w:w="6120" w:space="720"/>
            <w:col w:w="4400"/>
          </w:cols>
          <w:pgMar w:left="320" w:top="448" w:right="339" w:bottom="1440" w:gutter="0" w:footer="0" w:header="0"/>
          <w:type w:val="continuous"/>
        </w:sectPr>
      </w:pPr>
    </w:p>
    <w:p>
      <w:pPr>
        <w:spacing w:after="0" w:line="9"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have granted the underwriters an option for a period of 30 days to purchase an additional shares of our common stock. If the underwriters exercise the option in full, the total underwriting discounts and commissions payable by us will be $ , and the total proceeds to us, before expenses, will be $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Joint Book-Running Managers</w:t>
      </w:r>
    </w:p>
    <w:p>
      <w:pPr>
        <w:sectPr>
          <w:pgSz w:w="11900" w:h="16838" w:orient="portrait"/>
          <w:cols w:equalWidth="0" w:num="1">
            <w:col w:w="11240"/>
          </w:cols>
          <w:pgMar w:left="320" w:top="448"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Jefferies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Piper Sandler</w:t>
      </w:r>
    </w:p>
    <w:p>
      <w:pPr>
        <w:spacing w:after="0" w:line="200" w:lineRule="exact"/>
        <w:rPr>
          <w:sz w:val="20"/>
          <w:szCs w:val="20"/>
          <w:color w:val="auto"/>
        </w:rPr>
      </w:pPr>
    </w:p>
    <w:p>
      <w:pPr>
        <w:sectPr>
          <w:pgSz w:w="11900" w:h="16838" w:orient="portrait"/>
          <w:cols w:equalWidth="0" w:num="3">
            <w:col w:w="4220" w:space="720"/>
            <w:col w:w="3780" w:space="720"/>
            <w:col w:w="1800"/>
          </w:cols>
          <w:pgMar w:left="320" w:top="448"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H.C. Wainwright &amp; Co.</w:t>
      </w:r>
    </w:p>
    <w:p>
      <w:pPr>
        <w:spacing w:after="0" w:line="200" w:lineRule="exact"/>
        <w:rPr>
          <w:sz w:val="20"/>
          <w:szCs w:val="20"/>
          <w:color w:val="auto"/>
        </w:rPr>
      </w:pPr>
    </w:p>
    <w:p>
      <w:pPr>
        <w:spacing w:after="0" w:line="257" w:lineRule="exact"/>
        <w:rPr>
          <w:sz w:val="20"/>
          <w:szCs w:val="20"/>
          <w:color w:val="auto"/>
        </w:rPr>
      </w:pPr>
    </w:p>
    <w:tbl>
      <w:tblPr>
        <w:tblLayout w:type="fixed"/>
        <w:tblInd w:w="3720" w:type="dxa"/>
        <w:tblCellMar>
          <w:top w:w="0" w:type="dxa"/>
          <w:left w:w="0" w:type="dxa"/>
          <w:bottom w:w="0" w:type="dxa"/>
          <w:right w:w="0" w:type="dxa"/>
        </w:tblCellMar>
      </w:tblPr>
      <w:tr>
        <w:trPr>
          <w:trHeight w:val="209"/>
        </w:trPr>
        <w:tc>
          <w:tcPr>
            <w:tcW w:w="2780" w:type="dxa"/>
            <w:vAlign w:val="bottom"/>
          </w:tcPr>
          <w:p>
            <w:pPr>
              <w:spacing w:after="0"/>
              <w:rPr>
                <w:sz w:val="20"/>
                <w:szCs w:val="20"/>
                <w:color w:val="auto"/>
              </w:rPr>
            </w:pPr>
            <w:r>
              <w:rPr>
                <w:rFonts w:ascii="Arial" w:cs="Arial" w:eastAsia="Arial" w:hAnsi="Arial"/>
                <w:sz w:val="17"/>
                <w:szCs w:val="17"/>
                <w:color w:val="auto"/>
              </w:rPr>
              <w:t>The date of this prospectus is</w:t>
            </w:r>
          </w:p>
        </w:tc>
        <w:tc>
          <w:tcPr>
            <w:tcW w:w="1040" w:type="dxa"/>
            <w:vAlign w:val="bottom"/>
          </w:tcPr>
          <w:p>
            <w:pPr>
              <w:jc w:val="right"/>
              <w:spacing w:after="0"/>
              <w:rPr>
                <w:sz w:val="20"/>
                <w:szCs w:val="20"/>
                <w:color w:val="auto"/>
              </w:rPr>
            </w:pPr>
            <w:r>
              <w:rPr>
                <w:rFonts w:ascii="Arial" w:cs="Arial" w:eastAsia="Arial" w:hAnsi="Arial"/>
                <w:sz w:val="17"/>
                <w:szCs w:val="17"/>
                <w:color w:val="auto"/>
              </w:rPr>
              <w:t>, 2020.</w:t>
            </w:r>
          </w:p>
        </w:tc>
      </w:tr>
    </w:tbl>
    <w:p>
      <w:pPr>
        <w:sectPr>
          <w:pgSz w:w="11900" w:h="16838" w:orient="portrait"/>
          <w:cols w:equalWidth="0" w:num="1">
            <w:col w:w="11240"/>
          </w:cols>
          <w:pgMar w:left="320" w:top="448" w:right="33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60" w:type="dxa"/>
            <w:vAlign w:val="bottom"/>
            <w:gridSpan w:val="3"/>
          </w:tcPr>
          <w:p>
            <w:pPr>
              <w:ind w:left="78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40" w:type="dxa"/>
            <w:vAlign w:val="bottom"/>
            <w:gridSpan w:val="14"/>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0"/>
        </w:trPr>
        <w:tc>
          <w:tcPr>
            <w:tcW w:w="2240" w:type="dxa"/>
            <w:vAlign w:val="bottom"/>
            <w:gridSpan w:val="14"/>
            <w:vMerge w:val="continue"/>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0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580" w:type="dxa"/>
            <w:vAlign w:val="bottom"/>
            <w:tcBorders>
              <w:top w:val="single" w:sz="8" w:color="0000EE"/>
            </w:tcBorders>
            <w:gridSpan w:val="8"/>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Risk Factors</w:t>
              </w:r>
            </w:hyperlink>
          </w:p>
        </w:tc>
        <w:tc>
          <w:tcPr>
            <w:tcW w:w="6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80" w:type="dxa"/>
            <w:vAlign w:val="bottom"/>
            <w:gridSpan w:val="20"/>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Special Note Regarding Forward-Looking Statements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72"/>
        </w:trPr>
        <w:tc>
          <w:tcPr>
            <w:tcW w:w="186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6"/>
              </w:rPr>
            </w:pPr>
            <w:hyperlink w:anchor="page69">
              <w:r>
                <w:rPr>
                  <w:rFonts w:ascii="Arial" w:cs="Arial" w:eastAsia="Arial" w:hAnsi="Arial"/>
                  <w:sz w:val="17"/>
                  <w:szCs w:val="17"/>
                  <w:color w:val="0000EE"/>
                  <w:w w:val="96"/>
                </w:rPr>
                <w:t>Industry and Market Data</w:t>
              </w:r>
            </w:hyperlink>
          </w:p>
        </w:tc>
        <w:tc>
          <w:tcPr>
            <w:tcW w:w="380" w:type="dxa"/>
            <w:vAlign w:val="bottom"/>
            <w:tcBorders>
              <w:top w:val="single" w:sz="8" w:color="0000EE"/>
            </w:tcBorders>
            <w:gridSpan w:val="3"/>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372"/>
        </w:trPr>
        <w:tc>
          <w:tcPr>
            <w:tcW w:w="2240" w:type="dxa"/>
            <w:vAlign w:val="bottom"/>
            <w:gridSpan w:val="14"/>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Use of Proceeds</w:t>
              </w:r>
            </w:hyperlink>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372"/>
        </w:trPr>
        <w:tc>
          <w:tcPr>
            <w:tcW w:w="11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71">
              <w:r>
                <w:rPr>
                  <w:rFonts w:ascii="Arial" w:cs="Arial" w:eastAsia="Arial" w:hAnsi="Arial"/>
                  <w:sz w:val="17"/>
                  <w:szCs w:val="17"/>
                  <w:color w:val="0000EE"/>
                  <w:w w:val="96"/>
                </w:rPr>
                <w:t>Dividend Policy</w:t>
              </w:r>
            </w:hyperlink>
          </w:p>
        </w:tc>
        <w:tc>
          <w:tcPr>
            <w:tcW w:w="80" w:type="dxa"/>
            <w:vAlign w:val="bottom"/>
            <w:tcBorders>
              <w:top w:val="single" w:sz="8" w:color="0000EE"/>
            </w:tcBorders>
          </w:tcPr>
          <w:p>
            <w:pPr>
              <w:spacing w:after="0"/>
              <w:rPr>
                <w:sz w:val="24"/>
                <w:szCs w:val="24"/>
                <w:color w:val="auto"/>
              </w:rPr>
            </w:pPr>
          </w:p>
        </w:tc>
        <w:tc>
          <w:tcPr>
            <w:tcW w:w="10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72"/>
        </w:trPr>
        <w:tc>
          <w:tcPr>
            <w:tcW w:w="1000" w:type="dxa"/>
            <w:vAlign w:val="bottom"/>
            <w:tcBorders>
              <w:bottom w:val="single" w:sz="8" w:color="0000EE"/>
            </w:tcBorders>
            <w:gridSpan w:val="5"/>
          </w:tcPr>
          <w:p>
            <w:pPr>
              <w:spacing w:after="0"/>
              <w:rPr>
                <w:rFonts w:ascii="Arial" w:cs="Arial" w:eastAsia="Arial" w:hAnsi="Arial"/>
                <w:sz w:val="17"/>
                <w:szCs w:val="17"/>
                <w:color w:val="0000EE"/>
                <w:w w:val="95"/>
              </w:rPr>
            </w:pPr>
            <w:hyperlink w:anchor="page72">
              <w:r>
                <w:rPr>
                  <w:rFonts w:ascii="Arial" w:cs="Arial" w:eastAsia="Arial" w:hAnsi="Arial"/>
                  <w:sz w:val="17"/>
                  <w:szCs w:val="17"/>
                  <w:color w:val="0000EE"/>
                  <w:w w:val="95"/>
                </w:rPr>
                <w:t>Capitalization</w:t>
              </w:r>
            </w:hyperlink>
          </w:p>
        </w:tc>
        <w:tc>
          <w:tcPr>
            <w:tcW w:w="1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72"/>
        </w:trPr>
        <w:tc>
          <w:tcPr>
            <w:tcW w:w="560" w:type="dxa"/>
            <w:vAlign w:val="bottom"/>
            <w:tcBorders>
              <w:bottom w:val="single" w:sz="8" w:color="0000EE"/>
            </w:tcBorders>
          </w:tcPr>
          <w:p>
            <w:pPr>
              <w:spacing w:after="0"/>
              <w:rPr>
                <w:rFonts w:ascii="Arial" w:cs="Arial" w:eastAsia="Arial" w:hAnsi="Arial"/>
                <w:sz w:val="17"/>
                <w:szCs w:val="17"/>
                <w:color w:val="0000EE"/>
                <w:w w:val="95"/>
              </w:rPr>
            </w:pPr>
            <w:hyperlink w:anchor="page74">
              <w:r>
                <w:rPr>
                  <w:rFonts w:ascii="Arial" w:cs="Arial" w:eastAsia="Arial" w:hAnsi="Arial"/>
                  <w:sz w:val="17"/>
                  <w:szCs w:val="17"/>
                  <w:color w:val="0000EE"/>
                  <w:w w:val="95"/>
                </w:rPr>
                <w:t>Dilution</w:t>
              </w:r>
            </w:hyperlink>
          </w:p>
        </w:tc>
        <w:tc>
          <w:tcPr>
            <w:tcW w:w="168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72"/>
        </w:trPr>
        <w:tc>
          <w:tcPr>
            <w:tcW w:w="2760" w:type="dxa"/>
            <w:vAlign w:val="bottom"/>
            <w:tcBorders>
              <w:bottom w:val="single" w:sz="8" w:color="0000EE"/>
            </w:tcBorders>
            <w:gridSpan w:val="15"/>
          </w:tcPr>
          <w:p>
            <w:pPr>
              <w:spacing w:after="0"/>
              <w:rPr>
                <w:rFonts w:ascii="Arial" w:cs="Arial" w:eastAsia="Arial" w:hAnsi="Arial"/>
                <w:sz w:val="17"/>
                <w:szCs w:val="17"/>
                <w:color w:val="0000EE"/>
                <w:w w:val="96"/>
              </w:rPr>
            </w:pPr>
            <w:hyperlink w:anchor="page77">
              <w:r>
                <w:rPr>
                  <w:rFonts w:ascii="Arial" w:cs="Arial" w:eastAsia="Arial" w:hAnsi="Arial"/>
                  <w:sz w:val="17"/>
                  <w:szCs w:val="17"/>
                  <w:color w:val="0000EE"/>
                  <w:w w:val="96"/>
                </w:rPr>
                <w:t>Selected Consolidated Financial Data</w:t>
              </w:r>
            </w:hyperlink>
          </w:p>
        </w:tc>
        <w:tc>
          <w:tcPr>
            <w:tcW w:w="8020" w:type="dxa"/>
            <w:vAlign w:val="bottom"/>
            <w:gridSpan w:val="5"/>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372"/>
        </w:trPr>
        <w:tc>
          <w:tcPr>
            <w:tcW w:w="10780" w:type="dxa"/>
            <w:vAlign w:val="bottom"/>
            <w:gridSpan w:val="20"/>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Management’s Discussion and Analysis of Financial Condition and Results of Operations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72"/>
        </w:trPr>
        <w:tc>
          <w:tcPr>
            <w:tcW w:w="6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5"/>
              </w:rPr>
            </w:pPr>
            <w:hyperlink w:anchor="page91">
              <w:r>
                <w:rPr>
                  <w:rFonts w:ascii="Arial" w:cs="Arial" w:eastAsia="Arial" w:hAnsi="Arial"/>
                  <w:sz w:val="17"/>
                  <w:szCs w:val="17"/>
                  <w:color w:val="0000EE"/>
                  <w:w w:val="95"/>
                </w:rPr>
                <w:t>Business</w:t>
              </w:r>
            </w:hyperlink>
          </w:p>
        </w:tc>
        <w:tc>
          <w:tcPr>
            <w:tcW w:w="1560" w:type="dxa"/>
            <w:vAlign w:val="bottom"/>
            <w:tcBorders>
              <w:top w:val="single" w:sz="8" w:color="0000EE"/>
            </w:tcBorders>
            <w:gridSpan w:val="12"/>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372"/>
        </w:trPr>
        <w:tc>
          <w:tcPr>
            <w:tcW w:w="2240" w:type="dxa"/>
            <w:vAlign w:val="bottom"/>
            <w:gridSpan w:val="14"/>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Management</w:t>
              </w:r>
            </w:hyperlink>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4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35">
              <w:r>
                <w:rPr>
                  <w:rFonts w:ascii="Arial" w:cs="Arial" w:eastAsia="Arial" w:hAnsi="Arial"/>
                  <w:sz w:val="17"/>
                  <w:szCs w:val="17"/>
                  <w:color w:val="0000EE"/>
                  <w:w w:val="96"/>
                </w:rPr>
                <w:t>Executive Compensation</w:t>
              </w:r>
            </w:hyperlink>
          </w:p>
        </w:tc>
        <w:tc>
          <w:tcPr>
            <w:tcW w:w="40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372"/>
        </w:trPr>
        <w:tc>
          <w:tcPr>
            <w:tcW w:w="10780" w:type="dxa"/>
            <w:vAlign w:val="bottom"/>
            <w:gridSpan w:val="20"/>
          </w:tcPr>
          <w:p>
            <w:pPr>
              <w:spacing w:after="0"/>
              <w:rPr>
                <w:rFonts w:ascii="Arial" w:cs="Arial" w:eastAsia="Arial" w:hAnsi="Arial"/>
                <w:sz w:val="17"/>
                <w:szCs w:val="17"/>
                <w:color w:val="0000EE"/>
              </w:rPr>
            </w:pPr>
            <w:hyperlink w:anchor="page146">
              <w:r>
                <w:rPr>
                  <w:rFonts w:ascii="Arial" w:cs="Arial" w:eastAsia="Arial" w:hAnsi="Arial"/>
                  <w:sz w:val="17"/>
                  <w:szCs w:val="17"/>
                  <w:color w:val="0000EE"/>
                </w:rPr>
                <w:t>Certain Relationships and Related Party Transactions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372"/>
        </w:trPr>
        <w:tc>
          <w:tcPr>
            <w:tcW w:w="16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150">
              <w:r>
                <w:rPr>
                  <w:rFonts w:ascii="Arial" w:cs="Arial" w:eastAsia="Arial" w:hAnsi="Arial"/>
                  <w:sz w:val="17"/>
                  <w:szCs w:val="17"/>
                  <w:color w:val="0000EE"/>
                  <w:w w:val="96"/>
                </w:rPr>
                <w:t>Principal Stockholders</w:t>
              </w:r>
            </w:hyperlink>
          </w:p>
        </w:tc>
        <w:tc>
          <w:tcPr>
            <w:tcW w:w="600" w:type="dxa"/>
            <w:vAlign w:val="bottom"/>
            <w:tcBorders>
              <w:top w:val="single" w:sz="8" w:color="0000EE"/>
            </w:tcBorders>
            <w:gridSpan w:val="5"/>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72"/>
        </w:trPr>
        <w:tc>
          <w:tcPr>
            <w:tcW w:w="2040" w:type="dxa"/>
            <w:vAlign w:val="bottom"/>
            <w:tcBorders>
              <w:bottom w:val="single" w:sz="8" w:color="0000EE"/>
            </w:tcBorders>
            <w:gridSpan w:val="12"/>
          </w:tcPr>
          <w:p>
            <w:pPr>
              <w:spacing w:after="0"/>
              <w:rPr>
                <w:rFonts w:ascii="Arial" w:cs="Arial" w:eastAsia="Arial" w:hAnsi="Arial"/>
                <w:sz w:val="17"/>
                <w:szCs w:val="17"/>
                <w:color w:val="0000EE"/>
                <w:w w:val="96"/>
              </w:rPr>
            </w:pPr>
            <w:hyperlink w:anchor="page152">
              <w:r>
                <w:rPr>
                  <w:rFonts w:ascii="Arial" w:cs="Arial" w:eastAsia="Arial" w:hAnsi="Arial"/>
                  <w:sz w:val="17"/>
                  <w:szCs w:val="17"/>
                  <w:color w:val="0000EE"/>
                  <w:w w:val="96"/>
                </w:rPr>
                <w:t>Description of Capital Stock</w:t>
              </w:r>
            </w:hyperlink>
          </w:p>
        </w:tc>
        <w:tc>
          <w:tcPr>
            <w:tcW w:w="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372"/>
        </w:trPr>
        <w:tc>
          <w:tcPr>
            <w:tcW w:w="2240" w:type="dxa"/>
            <w:vAlign w:val="bottom"/>
            <w:tcBorders>
              <w:bottom w:val="single" w:sz="8" w:color="0000EE"/>
            </w:tcBorders>
            <w:gridSpan w:val="14"/>
          </w:tcPr>
          <w:p>
            <w:pPr>
              <w:spacing w:after="0"/>
              <w:rPr>
                <w:rFonts w:ascii="Arial" w:cs="Arial" w:eastAsia="Arial" w:hAnsi="Arial"/>
                <w:sz w:val="17"/>
                <w:szCs w:val="17"/>
                <w:color w:val="0000EE"/>
                <w:w w:val="96"/>
              </w:rPr>
            </w:pPr>
            <w:hyperlink w:anchor="page156">
              <w:r>
                <w:rPr>
                  <w:rFonts w:ascii="Arial" w:cs="Arial" w:eastAsia="Arial" w:hAnsi="Arial"/>
                  <w:sz w:val="17"/>
                  <w:szCs w:val="17"/>
                  <w:color w:val="0000EE"/>
                  <w:w w:val="96"/>
                </w:rPr>
                <w:t>Shares Eligible for Future Sale</w:t>
              </w:r>
            </w:hyperlink>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372"/>
        </w:trPr>
        <w:tc>
          <w:tcPr>
            <w:tcW w:w="10780" w:type="dxa"/>
            <w:vAlign w:val="bottom"/>
            <w:gridSpan w:val="20"/>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Material U.S. Federal Income Tax Considerations for Non-U.S. Holders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372"/>
        </w:trPr>
        <w:tc>
          <w:tcPr>
            <w:tcW w:w="96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6"/>
              </w:rPr>
            </w:pPr>
            <w:hyperlink w:anchor="page163">
              <w:r>
                <w:rPr>
                  <w:rFonts w:ascii="Arial" w:cs="Arial" w:eastAsia="Arial" w:hAnsi="Arial"/>
                  <w:sz w:val="17"/>
                  <w:szCs w:val="17"/>
                  <w:color w:val="0000EE"/>
                  <w:w w:val="96"/>
                </w:rPr>
                <w:t>Underwriting</w:t>
              </w:r>
            </w:hyperlink>
          </w:p>
        </w:tc>
        <w:tc>
          <w:tcPr>
            <w:tcW w:w="1280" w:type="dxa"/>
            <w:vAlign w:val="bottom"/>
            <w:tcBorders>
              <w:top w:val="single" w:sz="8" w:color="0000EE"/>
            </w:tcBorders>
            <w:gridSpan w:val="10"/>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372"/>
        </w:trPr>
        <w:tc>
          <w:tcPr>
            <w:tcW w:w="2240" w:type="dxa"/>
            <w:vAlign w:val="bottom"/>
            <w:gridSpan w:val="14"/>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Legal Matters</w:t>
              </w:r>
            </w:hyperlink>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372"/>
        </w:trPr>
        <w:tc>
          <w:tcPr>
            <w:tcW w:w="1000" w:type="dxa"/>
            <w:vAlign w:val="bottom"/>
            <w:tcBorders>
              <w:top w:val="single" w:sz="8" w:color="0000EE"/>
            </w:tcBorders>
            <w:gridSpan w:val="5"/>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Experts</w:t>
              </w:r>
            </w:hyperlink>
          </w:p>
        </w:tc>
        <w:tc>
          <w:tcPr>
            <w:tcW w:w="1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60" w:type="dxa"/>
            <w:vAlign w:val="bottom"/>
            <w:gridSpan w:val="1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80" w:type="dxa"/>
            <w:vAlign w:val="bottom"/>
            <w:gridSpan w:val="20"/>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Where You Can Find Additional Information</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372"/>
        </w:trPr>
        <w:tc>
          <w:tcPr>
            <w:tcW w:w="2240" w:type="dxa"/>
            <w:vAlign w:val="bottom"/>
            <w:tcBorders>
              <w:top w:val="single" w:sz="8" w:color="0000EE"/>
            </w:tcBorders>
            <w:gridSpan w:val="14"/>
          </w:tcPr>
          <w:p>
            <w:pPr>
              <w:spacing w:after="0"/>
              <w:rPr>
                <w:rFonts w:ascii="Arial" w:cs="Arial" w:eastAsia="Arial" w:hAnsi="Arial"/>
                <w:sz w:val="17"/>
                <w:szCs w:val="17"/>
                <w:color w:val="0000EE"/>
                <w:w w:val="96"/>
              </w:rPr>
            </w:pPr>
            <w:hyperlink w:anchor="page172">
              <w:r>
                <w:rPr>
                  <w:rFonts w:ascii="Arial" w:cs="Arial" w:eastAsia="Arial" w:hAnsi="Arial"/>
                  <w:sz w:val="17"/>
                  <w:szCs w:val="17"/>
                  <w:color w:val="0000EE"/>
                  <w:w w:val="96"/>
                </w:rPr>
                <w:t>Index To Financial Statements</w:t>
              </w:r>
            </w:hyperlink>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15"/>
        </w:trPr>
        <w:tc>
          <w:tcPr>
            <w:tcW w:w="560" w:type="dxa"/>
            <w:vAlign w:val="bottom"/>
            <w:tcBorders>
              <w:top w:val="single" w:sz="8" w:color="0000EE"/>
              <w:bottom w:val="single" w:sz="8" w:color="auto"/>
            </w:tcBorders>
          </w:tcPr>
          <w:p>
            <w:pPr>
              <w:spacing w:after="0"/>
              <w:rPr>
                <w:sz w:val="18"/>
                <w:szCs w:val="18"/>
                <w:color w:val="auto"/>
              </w:rPr>
            </w:pPr>
          </w:p>
        </w:tc>
        <w:tc>
          <w:tcPr>
            <w:tcW w:w="120" w:type="dxa"/>
            <w:vAlign w:val="bottom"/>
            <w:tcBorders>
              <w:top w:val="single" w:sz="8" w:color="0000EE"/>
              <w:bottom w:val="single" w:sz="8" w:color="auto"/>
            </w:tcBorders>
          </w:tcPr>
          <w:p>
            <w:pPr>
              <w:spacing w:after="0"/>
              <w:rPr>
                <w:sz w:val="18"/>
                <w:szCs w:val="18"/>
                <w:color w:val="auto"/>
              </w:rPr>
            </w:pPr>
          </w:p>
        </w:tc>
        <w:tc>
          <w:tcPr>
            <w:tcW w:w="24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140" w:type="dxa"/>
            <w:vAlign w:val="bottom"/>
            <w:tcBorders>
              <w:top w:val="single" w:sz="8" w:color="0000EE"/>
              <w:bottom w:val="single" w:sz="8" w:color="auto"/>
            </w:tcBorders>
          </w:tcPr>
          <w:p>
            <w:pPr>
              <w:spacing w:after="0"/>
              <w:rPr>
                <w:sz w:val="18"/>
                <w:szCs w:val="18"/>
                <w:color w:val="auto"/>
              </w:rPr>
            </w:pPr>
          </w:p>
        </w:tc>
        <w:tc>
          <w:tcPr>
            <w:tcW w:w="80" w:type="dxa"/>
            <w:vAlign w:val="bottom"/>
            <w:tcBorders>
              <w:top w:val="single" w:sz="8" w:color="0000EE"/>
              <w:bottom w:val="single" w:sz="8" w:color="auto"/>
            </w:tcBorders>
          </w:tcPr>
          <w:p>
            <w:pPr>
              <w:spacing w:after="0"/>
              <w:rPr>
                <w:sz w:val="18"/>
                <w:szCs w:val="18"/>
                <w:color w:val="auto"/>
              </w:rPr>
            </w:pPr>
          </w:p>
        </w:tc>
        <w:tc>
          <w:tcPr>
            <w:tcW w:w="360" w:type="dxa"/>
            <w:vAlign w:val="bottom"/>
            <w:tcBorders>
              <w:top w:val="single" w:sz="8" w:color="0000EE"/>
              <w:bottom w:val="single" w:sz="8" w:color="auto"/>
            </w:tcBorders>
          </w:tcPr>
          <w:p>
            <w:pPr>
              <w:spacing w:after="0"/>
              <w:rPr>
                <w:sz w:val="18"/>
                <w:szCs w:val="18"/>
                <w:color w:val="auto"/>
              </w:rPr>
            </w:pPr>
          </w:p>
        </w:tc>
        <w:tc>
          <w:tcPr>
            <w:tcW w:w="60" w:type="dxa"/>
            <w:vAlign w:val="bottom"/>
            <w:tcBorders>
              <w:top w:val="single" w:sz="8" w:color="0000EE"/>
              <w:bottom w:val="single" w:sz="8" w:color="auto"/>
            </w:tcBorders>
          </w:tcPr>
          <w:p>
            <w:pPr>
              <w:spacing w:after="0"/>
              <w:rPr>
                <w:sz w:val="18"/>
                <w:szCs w:val="18"/>
                <w:color w:val="auto"/>
              </w:rPr>
            </w:pPr>
          </w:p>
        </w:tc>
        <w:tc>
          <w:tcPr>
            <w:tcW w:w="20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180" w:type="dxa"/>
            <w:vAlign w:val="bottom"/>
            <w:tcBorders>
              <w:top w:val="single" w:sz="8" w:color="0000EE"/>
              <w:bottom w:val="single" w:sz="8" w:color="auto"/>
            </w:tcBorders>
          </w:tcPr>
          <w:p>
            <w:pPr>
              <w:spacing w:after="0"/>
              <w:rPr>
                <w:sz w:val="18"/>
                <w:szCs w:val="18"/>
                <w:color w:val="auto"/>
              </w:rPr>
            </w:pPr>
          </w:p>
        </w:tc>
        <w:tc>
          <w:tcPr>
            <w:tcW w:w="180" w:type="dxa"/>
            <w:vAlign w:val="bottom"/>
            <w:tcBorders>
              <w:top w:val="single" w:sz="8" w:color="0000EE"/>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2240" w:type="dxa"/>
            <w:vAlign w:val="bottom"/>
            <w:gridSpan w:val="14"/>
          </w:tcPr>
          <w:p>
            <w:pPr>
              <w:spacing w:after="0"/>
              <w:rPr>
                <w:sz w:val="20"/>
                <w:szCs w:val="20"/>
                <w:color w:val="auto"/>
              </w:rPr>
            </w:pPr>
            <w:r>
              <w:rPr>
                <w:rFonts w:ascii="Arial" w:cs="Arial" w:eastAsia="Arial" w:hAnsi="Arial"/>
                <w:sz w:val="17"/>
                <w:szCs w:val="17"/>
                <w:b w:val="1"/>
                <w:bCs w:val="1"/>
                <w:color w:val="auto"/>
              </w:rPr>
              <w:t>Through and including</w:t>
            </w:r>
          </w:p>
        </w:tc>
        <w:tc>
          <w:tcPr>
            <w:tcW w:w="9000" w:type="dxa"/>
            <w:vAlign w:val="bottom"/>
            <w:gridSpan w:val="8"/>
          </w:tcPr>
          <w:p>
            <w:pPr>
              <w:ind w:left="340"/>
              <w:spacing w:after="0"/>
              <w:rPr>
                <w:sz w:val="20"/>
                <w:szCs w:val="20"/>
                <w:color w:val="auto"/>
              </w:rPr>
            </w:pPr>
            <w:r>
              <w:rPr>
                <w:rFonts w:ascii="Arial" w:cs="Arial" w:eastAsia="Arial" w:hAnsi="Arial"/>
                <w:sz w:val="17"/>
                <w:szCs w:val="17"/>
                <w:b w:val="1"/>
                <w:bCs w:val="1"/>
                <w:color w:val="auto"/>
                <w:w w:val="98"/>
              </w:rPr>
              <w:t>, 2020 (the 25th day after the date of this prospectus), all dealers effecting transactions in our common stock,</w:t>
            </w:r>
          </w:p>
        </w:tc>
        <w:tc>
          <w:tcPr>
            <w:tcW w:w="0" w:type="dxa"/>
            <w:vAlign w:val="bottom"/>
          </w:tcPr>
          <w:p>
            <w:pPr>
              <w:spacing w:after="0"/>
              <w:rPr>
                <w:sz w:val="1"/>
                <w:szCs w:val="1"/>
                <w:color w:val="auto"/>
              </w:rPr>
            </w:pPr>
          </w:p>
        </w:tc>
      </w:tr>
    </w:tbl>
    <w:p>
      <w:pPr>
        <w:ind w:right="460"/>
        <w:spacing w:after="0" w:line="233"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43"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w:t>
      </w:r>
    </w:p>
    <w:p>
      <w:pPr>
        <w:sectPr>
          <w:pgSz w:w="11900" w:h="16838" w:orient="portrait"/>
          <w:cols w:equalWidth="0" w:num="1">
            <w:col w:w="11240"/>
          </w:cols>
          <w:pgMar w:left="320" w:top="448"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100"/>
          </w:cols>
          <w:pgMar w:left="320" w:top="448" w:right="4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284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52844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312" w:lineRule="exact"/>
        <w:rPr>
          <w:sz w:val="20"/>
          <w:szCs w:val="20"/>
          <w:color w:val="auto"/>
        </w:rPr>
      </w:pPr>
    </w:p>
    <w:p>
      <w:pPr>
        <w:ind w:left="180" w:right="20"/>
        <w:spacing w:after="0" w:line="231"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Because it is only a summary, it does not contain all of the information that you should consider before investing in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consolidated financial statements before deciding to buy shares of our common stock. Unless the context requires otherwise, references in this prospectus to “Keros,” “the company,” “we,” “us” and “our” refer to Keros Therapeutics, Inc.</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Overview</w:t>
      </w:r>
    </w:p>
    <w:p>
      <w:pPr>
        <w:spacing w:after="0" w:line="82" w:lineRule="exact"/>
        <w:rPr>
          <w:sz w:val="20"/>
          <w:szCs w:val="20"/>
          <w:color w:val="auto"/>
        </w:rPr>
      </w:pPr>
    </w:p>
    <w:p>
      <w:pPr>
        <w:ind w:left="180" w:right="20"/>
        <w:spacing w:after="0" w:line="257" w:lineRule="auto"/>
        <w:rPr>
          <w:sz w:val="20"/>
          <w:szCs w:val="20"/>
          <w:color w:val="auto"/>
        </w:rPr>
      </w:pPr>
      <w:r>
        <w:rPr>
          <w:rFonts w:ascii="Arial" w:cs="Arial" w:eastAsia="Arial" w:hAnsi="Arial"/>
          <w:sz w:val="15"/>
          <w:szCs w:val="15"/>
          <w:color w:val="auto"/>
        </w:rPr>
        <w:t>We are a clinical-stage biopharmaceutical company focused on the discovery, development and commercialization of novel treatments for patients suffering from hematological and musculoskeletal disorders with high unmet medical need. We are a leader in understanding the role of the Transforming Growth Factor-Beta, or TGF-ß, family of proteins, which are master regulators of red blood cell and platelet production as well as of the growth, repair and maintenance of muscle and bone. We have leveraged this understanding and developed a discovery approach to generate large and small molecules to address diseases of these tissues. Targeting TGF-ß signaling pathways has been clinically proven to elicit robust changes in blood cells, muscle and bone, which we believe provides a precedent and strong rationale for our strategy. Our lead protein therapeutic product candidate, KER-050, is being developed for the treatment of low blood cell counts, or cytopenias, including anemia and thrombocytopenia, in patients with myelodysplastic syndromes, or MDS, and in patients with myelofibrosis. We have observed positive topline results in a Phase 1 clinical trial of KER-050, and we plan to initiate two Phase 2 clinical trials, one in patients with MDS and one in patients with myelofibrosis. Our lead small molecule product candidate, KER-047, is being developed for the treatment of anemia resulting from elevated levels of hepcidin, the key regulator of iron absorption and recycling, as well as for the treatment of fibrodysplasia ossificans progressiva, or FOP, a rare musculoskeletal disorder, and is currently in a Phase 1 clinical trial. We believe these product candidates offer substantial opportunities for us to expand our development programs into related hematological and musculoskeletal disorders with high unmet medical need.</w:t>
      </w:r>
    </w:p>
    <w:p>
      <w:pPr>
        <w:spacing w:after="0" w:line="316" w:lineRule="exact"/>
        <w:rPr>
          <w:sz w:val="20"/>
          <w:szCs w:val="20"/>
          <w:color w:val="auto"/>
        </w:rPr>
      </w:pPr>
    </w:p>
    <w:p>
      <w:pPr>
        <w:ind w:left="180"/>
        <w:spacing w:after="0" w:line="254" w:lineRule="auto"/>
        <w:rPr>
          <w:sz w:val="20"/>
          <w:szCs w:val="20"/>
          <w:color w:val="auto"/>
        </w:rPr>
      </w:pPr>
      <w:r>
        <w:rPr>
          <w:rFonts w:ascii="Arial" w:cs="Arial" w:eastAsia="Arial" w:hAnsi="Arial"/>
          <w:sz w:val="15"/>
          <w:szCs w:val="15"/>
          <w:color w:val="auto"/>
        </w:rPr>
        <w:t>KER-050 is an engineered ligand trap comprised of a modified ligand-binding domain of the TGF-ß receptor known as activin receptor type IIA that is fused to the portion of the human antibody known as the Fc domain. KER-050 is designed to increase red blood cell and platelet production by inhibiting the signaling of a subset of the TGF-ß family of proteins to promote hematopoiesis. We believe KER-050 has the potential to provide benefit to patients suffering from red blood cell and platelet differentiation and maturation defects occurring across the spectrum from early through terminal stages of hematopoiesis, and consequently may be effective for many patients that have limited treatment options or are refractory to available therapies. We recently completed a Phase 1 clinical trial evaluating the safety, tolerability and pharmacokinetics of KER-050 in healthy post-menopausal women. Data from the single ascending dose portion of this trial demonstrated rapid and sustained increases in red blood cells and hemoglobin through Day 84 at the highest dose evaluated, increases in circulating immature red blood cells through Day 29 at the higher doses, increases in platelets of 30 x 10</w:t>
      </w:r>
      <w:r>
        <w:rPr>
          <w:rFonts w:ascii="Arial" w:cs="Arial" w:eastAsia="Arial" w:hAnsi="Arial"/>
          <w:sz w:val="13"/>
          <w:szCs w:val="13"/>
          <w:color w:val="auto"/>
        </w:rPr>
        <w:t>9</w:t>
      </w:r>
      <w:r>
        <w:rPr>
          <w:rFonts w:ascii="Arial" w:cs="Arial" w:eastAsia="Arial" w:hAnsi="Arial"/>
          <w:sz w:val="15"/>
          <w:szCs w:val="15"/>
          <w:color w:val="auto"/>
        </w:rPr>
        <w:t xml:space="preserve"> cells/L or greater (a change that we believe would be considered clinically meaningful in patients with low platelet counts) at the highest dose evaluated, as well as favorable tolerability. We plan to commence a Phase 2 clinical trial in patients with MDS evaluating</w:t>
      </w:r>
    </w:p>
    <w:p>
      <w:pPr>
        <w:spacing w:after="0" w:line="2" w:lineRule="exact"/>
        <w:rPr>
          <w:sz w:val="20"/>
          <w:szCs w:val="20"/>
          <w:color w:val="auto"/>
        </w:rPr>
      </w:pPr>
    </w:p>
    <w:p>
      <w:pPr>
        <w:ind w:left="180" w:right="240"/>
        <w:spacing w:after="0" w:line="233" w:lineRule="auto"/>
        <w:rPr>
          <w:sz w:val="20"/>
          <w:szCs w:val="20"/>
          <w:color w:val="auto"/>
        </w:rPr>
      </w:pPr>
      <w:r>
        <w:rPr>
          <w:rFonts w:ascii="Arial" w:cs="Arial" w:eastAsia="Arial" w:hAnsi="Arial"/>
          <w:sz w:val="17"/>
          <w:szCs w:val="17"/>
          <w:color w:val="auto"/>
        </w:rPr>
        <w:t>KER-050 for the treatment of cytopenias, including anemia and thrombocytopenia, in . We also plan to commence a Phase 2 clinical trial evaluating KER-050 for the treatment of patients with myelofibrosis-associated cytopenias in .</w:t>
      </w:r>
    </w:p>
    <w:p>
      <w:pPr>
        <w:spacing w:after="0" w:line="143" w:lineRule="exact"/>
        <w:rPr>
          <w:sz w:val="20"/>
          <w:szCs w:val="20"/>
          <w:color w:val="auto"/>
        </w:rPr>
      </w:pPr>
    </w:p>
    <w:p>
      <w:pPr>
        <w:ind w:left="180" w:right="20"/>
        <w:spacing w:after="0" w:line="228" w:lineRule="auto"/>
        <w:rPr>
          <w:sz w:val="20"/>
          <w:szCs w:val="20"/>
          <w:color w:val="auto"/>
        </w:rPr>
      </w:pPr>
      <w:r>
        <w:rPr>
          <w:rFonts w:ascii="Arial" w:cs="Arial" w:eastAsia="Arial" w:hAnsi="Arial"/>
          <w:sz w:val="17"/>
          <w:szCs w:val="17"/>
          <w:color w:val="auto"/>
        </w:rPr>
        <w:t>KER-047 is designed to selectively and potently inhibit activin receptor-like kinase-2, or ALK2, a TGF-ß receptor. We believe that KER-047 has the potential to ameliorate excessive ALK2 signaling, which is directly implicated in genetically-defined anemias and musculoskeletal disorders where the transformation of soft tissue into bone, referred to as heterotopic ossification, leads to devastating immobility. We are developing KER-047 for the treatment of anemia resulting from high hepcidin levels as a direct consequence of elevated ALK2 signaling, including our initial target, iron-refractory iron deficiency anemia, or IRIDA. We are also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60"/>
          </w:cols>
          <w:pgMar w:left="320" w:top="448" w:right="5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3345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334518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80" w:right="280"/>
        <w:spacing w:after="0" w:line="254" w:lineRule="auto"/>
        <w:rPr>
          <w:sz w:val="20"/>
          <w:szCs w:val="20"/>
          <w:color w:val="auto"/>
        </w:rPr>
      </w:pPr>
      <w:r>
        <w:rPr>
          <w:rFonts w:ascii="Arial" w:cs="Arial" w:eastAsia="Arial" w:hAnsi="Arial"/>
          <w:sz w:val="15"/>
          <w:szCs w:val="15"/>
          <w:color w:val="auto"/>
        </w:rPr>
        <w:t>developing KER-047 as a treatment for FOP, a rare genetic disease resulting from mutations in the ALK2 receptor that results in gain-of-function activity. In these patients, soft tissue, including muscles and tendons, develops normally, but remodels into bone after injury. KER-047 is currently</w:t>
      </w:r>
    </w:p>
    <w:p>
      <w:pPr>
        <w:ind w:left="180" w:right="420"/>
        <w:spacing w:after="0" w:line="233" w:lineRule="auto"/>
        <w:rPr>
          <w:sz w:val="20"/>
          <w:szCs w:val="20"/>
          <w:color w:val="auto"/>
        </w:rPr>
      </w:pPr>
      <w:r>
        <w:rPr>
          <w:rFonts w:ascii="Arial" w:cs="Arial" w:eastAsia="Arial" w:hAnsi="Arial"/>
          <w:sz w:val="17"/>
          <w:szCs w:val="17"/>
          <w:color w:val="auto"/>
        </w:rPr>
        <w:t>being evaluated in a Phase 1 clinical trial in healthy volunteers. We expect to report data from this trial in . We expect to commence a Phase 2 clinical trial in patients with IRIDA in and a Phase 2 clinical trial in patients with FOP in .</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Biological Focus</w:t>
      </w:r>
    </w:p>
    <w:p>
      <w:pPr>
        <w:spacing w:after="0" w:line="82" w:lineRule="exact"/>
        <w:rPr>
          <w:sz w:val="20"/>
          <w:szCs w:val="20"/>
          <w:color w:val="auto"/>
        </w:rPr>
      </w:pPr>
    </w:p>
    <w:p>
      <w:pPr>
        <w:ind w:left="180"/>
        <w:spacing w:after="0" w:line="228" w:lineRule="auto"/>
        <w:rPr>
          <w:sz w:val="20"/>
          <w:szCs w:val="20"/>
          <w:color w:val="auto"/>
        </w:rPr>
      </w:pPr>
      <w:r>
        <w:rPr>
          <w:rFonts w:ascii="Arial" w:cs="Arial" w:eastAsia="Arial" w:hAnsi="Arial"/>
          <w:sz w:val="17"/>
          <w:szCs w:val="17"/>
          <w:color w:val="auto"/>
        </w:rPr>
        <w:t>Our strategy focuses on the role of members of the TGF-ß family of proteins in the development of blood cells, muscle and bone. Aged and damaged cells are routinely replaced by new cells in normally functioning organs. These new cells are derived from stem cells that have the ability to differentiate into cells with specialized function when appropriate signals are provided to maintain the homeostatic state of the tissue. Members of the TGF-ß family of proteins, including activins and bone morphogenetic proteins, provide the necessary signals for this process of self-renewal and repair.</w:t>
      </w:r>
    </w:p>
    <w:p>
      <w:pPr>
        <w:spacing w:after="0" w:line="142" w:lineRule="exact"/>
        <w:rPr>
          <w:sz w:val="20"/>
          <w:szCs w:val="20"/>
          <w:color w:val="auto"/>
        </w:rPr>
      </w:pPr>
    </w:p>
    <w:p>
      <w:pPr>
        <w:ind w:left="180" w:right="160"/>
        <w:spacing w:after="0" w:line="233" w:lineRule="auto"/>
        <w:rPr>
          <w:sz w:val="20"/>
          <w:szCs w:val="20"/>
          <w:color w:val="auto"/>
        </w:rPr>
      </w:pPr>
      <w:r>
        <w:rPr>
          <w:rFonts w:ascii="Arial" w:cs="Arial" w:eastAsia="Arial" w:hAnsi="Arial"/>
          <w:sz w:val="17"/>
          <w:szCs w:val="17"/>
          <w:color w:val="auto"/>
        </w:rPr>
        <w:t>We seek to address the limitations of current therapeutic approaches to treating diseases whose manifestations are linked to dysfunction of TGF-ß signaling pathways by:</w:t>
      </w:r>
    </w:p>
    <w:p>
      <w:pPr>
        <w:spacing w:after="0" w:line="182" w:lineRule="exact"/>
        <w:rPr>
          <w:sz w:val="20"/>
          <w:szCs w:val="20"/>
          <w:color w:val="auto"/>
        </w:rPr>
      </w:pPr>
    </w:p>
    <w:p>
      <w:pPr>
        <w:ind w:left="1040" w:right="820" w:hanging="419"/>
        <w:spacing w:after="0" w:line="233"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Leveraging our comprehensive insights into the TGF-ß signaling pathways to discover therapeutics to treat hematological and musculoskeletal disorders.</w:t>
      </w:r>
    </w:p>
    <w:p>
      <w:pPr>
        <w:spacing w:after="0" w:line="25" w:lineRule="exact"/>
        <w:rPr>
          <w:rFonts w:ascii="MS PGothic" w:cs="MS PGothic" w:eastAsia="MS PGothic" w:hAnsi="MS PGothic"/>
          <w:sz w:val="12"/>
          <w:szCs w:val="12"/>
          <w:color w:val="auto"/>
        </w:rPr>
      </w:pPr>
    </w:p>
    <w:p>
      <w:pPr>
        <w:ind w:left="1040" w:right="420" w:hanging="419"/>
        <w:spacing w:after="0" w:line="233"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Expanding our library of proprietary molecules that are engineered to induce desired biological effects, such as increased blood cell production, inhibit heterotopic ossification and increased muscle and bone mass.</w:t>
      </w:r>
    </w:p>
    <w:p>
      <w:pPr>
        <w:spacing w:after="0" w:line="25" w:lineRule="exact"/>
        <w:rPr>
          <w:rFonts w:ascii="MS PGothic" w:cs="MS PGothic" w:eastAsia="MS PGothic" w:hAnsi="MS PGothic"/>
          <w:sz w:val="12"/>
          <w:szCs w:val="12"/>
          <w:color w:val="auto"/>
        </w:rPr>
      </w:pPr>
    </w:p>
    <w:p>
      <w:pPr>
        <w:ind w:left="1040" w:right="200" w:hanging="419"/>
        <w:spacing w:after="0" w:line="233"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Engineering proprietary molecules to selectively target specific proteins in the TGF-ß signaling pathways to provide therapeutic benefit while potentially minimizing safety risks.</w:t>
      </w:r>
    </w:p>
    <w:p>
      <w:pPr>
        <w:spacing w:after="0" w:line="25" w:lineRule="exact"/>
        <w:rPr>
          <w:rFonts w:ascii="MS PGothic" w:cs="MS PGothic" w:eastAsia="MS PGothic" w:hAnsi="MS PGothic"/>
          <w:sz w:val="12"/>
          <w:szCs w:val="12"/>
          <w:color w:val="auto"/>
        </w:rPr>
      </w:pPr>
    </w:p>
    <w:p>
      <w:pPr>
        <w:ind w:left="1040" w:right="360" w:hanging="419"/>
        <w:spacing w:after="0" w:line="233"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Developing product candidates for the treatment of diseases where targeting the TGF-ß signaling pathways has clinical validation or biological rationale to improve our probability of success in the clinic.</w:t>
      </w:r>
    </w:p>
    <w:p>
      <w:pPr>
        <w:spacing w:after="0" w:line="25" w:lineRule="exact"/>
        <w:rPr>
          <w:rFonts w:ascii="MS PGothic" w:cs="MS PGothic" w:eastAsia="MS PGothic" w:hAnsi="MS PGothic"/>
          <w:sz w:val="12"/>
          <w:szCs w:val="12"/>
          <w:color w:val="auto"/>
        </w:rPr>
      </w:pPr>
    </w:p>
    <w:p>
      <w:pPr>
        <w:ind w:left="1040" w:right="700" w:hanging="419"/>
        <w:spacing w:after="0" w:line="233" w:lineRule="auto"/>
        <w:tabs>
          <w:tab w:leader="none" w:pos="104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Targeting the TGF-ß family of proteins, which are highly conserved throughout evolution, permitting the use of animal models to potentially predict with high confidence the therapeutic benefit in patients.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48" w:right="5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930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59309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Pipeline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our product candidates, their current development stages and anticipated upcoming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line="228" w:lineRule="auto"/>
        <w:rPr>
          <w:sz w:val="20"/>
          <w:szCs w:val="20"/>
          <w:color w:val="auto"/>
        </w:rPr>
      </w:pPr>
      <w:r>
        <w:rPr>
          <w:rFonts w:ascii="Arial" w:cs="Arial" w:eastAsia="Arial" w:hAnsi="Arial"/>
          <w:sz w:val="17"/>
          <w:szCs w:val="17"/>
          <w:color w:val="auto"/>
        </w:rPr>
        <w:t>We are developing KER-050 for the treatment of cytopenias that occur due to ineffective hematopoiesis, including anemia and thrombocytopenia, in patients with MDS and in patients with myelofibrosis. KER-050 is designed to benefit patients suffering from defects in red blood cell and platelet differentiation and maturation across the spectrum from early through terminal stages of hematopoiesis. Consequently, KER-050 may be effective for many patients that have limited treatment options or are refractory to available therapies.</w:t>
      </w:r>
    </w:p>
    <w:p>
      <w:pPr>
        <w:spacing w:after="0" w:line="145" w:lineRule="exact"/>
        <w:rPr>
          <w:sz w:val="20"/>
          <w:szCs w:val="20"/>
          <w:color w:val="auto"/>
        </w:rPr>
      </w:pPr>
    </w:p>
    <w:p>
      <w:pPr>
        <w:ind w:left="180" w:right="20"/>
        <w:spacing w:after="0" w:line="228" w:lineRule="auto"/>
        <w:rPr>
          <w:sz w:val="20"/>
          <w:szCs w:val="20"/>
          <w:color w:val="auto"/>
        </w:rPr>
      </w:pPr>
      <w:r>
        <w:rPr>
          <w:rFonts w:ascii="Arial" w:cs="Arial" w:eastAsia="Arial" w:hAnsi="Arial"/>
          <w:sz w:val="17"/>
          <w:szCs w:val="17"/>
          <w:color w:val="auto"/>
        </w:rPr>
        <w:t>We are developing KER-047 for the treatment of anemia resulting from high hepcidin levels. We believe KER-047 is a potent and selective inhibitor of ALK2, a receptor whose excessive signaling is the underlying cause of the elevated hepcidin levels that lead to low iron bioavailability and anemia in a broad range of diseases. Further, we are developing KER-047 as a treatment for FOP, a rare genetic disease resulting from mutations in the ALK2 receptor that result in gain-of-function activity.</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Strategy</w:t>
      </w:r>
    </w:p>
    <w:p>
      <w:pPr>
        <w:spacing w:after="0" w:line="82" w:lineRule="exact"/>
        <w:rPr>
          <w:sz w:val="20"/>
          <w:szCs w:val="20"/>
          <w:color w:val="auto"/>
        </w:rPr>
      </w:pPr>
    </w:p>
    <w:p>
      <w:pPr>
        <w:ind w:left="180"/>
        <w:spacing w:after="0" w:line="233" w:lineRule="auto"/>
        <w:rPr>
          <w:sz w:val="20"/>
          <w:szCs w:val="20"/>
          <w:color w:val="auto"/>
        </w:rPr>
      </w:pPr>
      <w:r>
        <w:rPr>
          <w:rFonts w:ascii="Arial" w:cs="Arial" w:eastAsia="Arial" w:hAnsi="Arial"/>
          <w:sz w:val="17"/>
          <w:szCs w:val="17"/>
          <w:color w:val="auto"/>
        </w:rPr>
        <w:t>Our mission is to deliver significant clinical benefit to patients suffering from hematological and musculoskeletal diseases by developing differentiated product candidates that are designed to alter TGF-ß signaling pathways. The key elements of our strategy include:</w:t>
      </w:r>
    </w:p>
    <w:p>
      <w:pPr>
        <w:spacing w:after="0" w:line="182" w:lineRule="exact"/>
        <w:rPr>
          <w:sz w:val="20"/>
          <w:szCs w:val="20"/>
          <w:color w:val="auto"/>
        </w:rPr>
      </w:pPr>
    </w:p>
    <w:p>
      <w:pPr>
        <w:ind w:left="1040" w:hanging="419"/>
        <w:spacing w:after="0"/>
        <w:tabs>
          <w:tab w:leader="none" w:pos="1040" w:val="left"/>
        </w:tabs>
        <w:numPr>
          <w:ilvl w:val="0"/>
          <w:numId w:val="5"/>
        </w:numPr>
        <w:rPr>
          <w:rFonts w:ascii="MS PGothic" w:cs="MS PGothic" w:eastAsia="MS PGothic" w:hAnsi="MS PGothic"/>
          <w:sz w:val="11"/>
          <w:szCs w:val="11"/>
          <w:color w:val="auto"/>
        </w:rPr>
      </w:pPr>
      <w:r>
        <w:rPr>
          <w:rFonts w:ascii="Arial" w:cs="Arial" w:eastAsia="Arial" w:hAnsi="Arial"/>
          <w:sz w:val="15"/>
          <w:szCs w:val="15"/>
          <w:color w:val="auto"/>
        </w:rPr>
        <w:t>Rapidly advance the clinical development of KER-050 for the treatment of patients with MDS- and myelofibrosis-associated cytopenias.</w:t>
      </w:r>
    </w:p>
    <w:p>
      <w:pPr>
        <w:spacing w:after="0" w:line="49" w:lineRule="exact"/>
        <w:rPr>
          <w:rFonts w:ascii="MS PGothic" w:cs="MS PGothic" w:eastAsia="MS PGothic" w:hAnsi="MS PGothic"/>
          <w:sz w:val="11"/>
          <w:szCs w:val="11"/>
          <w:color w:val="auto"/>
        </w:rPr>
      </w:pPr>
    </w:p>
    <w:p>
      <w:pPr>
        <w:ind w:left="1040" w:right="260" w:hanging="419"/>
        <w:spacing w:after="0" w:line="233" w:lineRule="auto"/>
        <w:tabs>
          <w:tab w:leader="none" w:pos="104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Rapidly advance the clinical development of KER-047 for the treatment of genetically-defined anemias and musculoskeletal disorders where heterotopic ossification leads to devastating immobility.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48" w:right="5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441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54419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40" w:right="120" w:hanging="419"/>
        <w:spacing w:after="0" w:line="233" w:lineRule="auto"/>
        <w:tabs>
          <w:tab w:leader="none" w:pos="104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Pursue development and, if approved, commercialization of our product candidates in indications and regions where we believe we can maximize their value independently or through strategic collaborations.</w:t>
      </w:r>
    </w:p>
    <w:p>
      <w:pPr>
        <w:spacing w:after="0" w:line="25" w:lineRule="exact"/>
        <w:rPr>
          <w:rFonts w:ascii="MS PGothic" w:cs="MS PGothic" w:eastAsia="MS PGothic" w:hAnsi="MS PGothic"/>
          <w:sz w:val="12"/>
          <w:szCs w:val="12"/>
          <w:color w:val="auto"/>
        </w:rPr>
      </w:pPr>
    </w:p>
    <w:p>
      <w:pPr>
        <w:ind w:left="1040" w:hanging="419"/>
        <w:spacing w:after="0"/>
        <w:tabs>
          <w:tab w:leader="none" w:pos="104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Leveraging our proprietary discovery approach and knowledge base to develop new therapeutics.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Team</w:t>
      </w:r>
    </w:p>
    <w:p>
      <w:pPr>
        <w:spacing w:after="0" w:line="82" w:lineRule="exact"/>
        <w:rPr>
          <w:sz w:val="20"/>
          <w:szCs w:val="20"/>
          <w:color w:val="auto"/>
        </w:rPr>
      </w:pPr>
    </w:p>
    <w:p>
      <w:pPr>
        <w:ind w:left="180" w:right="400"/>
        <w:spacing w:after="0" w:line="228" w:lineRule="auto"/>
        <w:rPr>
          <w:sz w:val="20"/>
          <w:szCs w:val="20"/>
          <w:color w:val="auto"/>
        </w:rPr>
      </w:pPr>
      <w:r>
        <w:rPr>
          <w:rFonts w:ascii="Arial" w:cs="Arial" w:eastAsia="Arial" w:hAnsi="Arial"/>
          <w:sz w:val="17"/>
          <w:szCs w:val="17"/>
          <w:color w:val="auto"/>
        </w:rPr>
        <w:t>We are led by a highly experienced management team and scientific advisory board who have more than 100 combined years of research and development on therapeutics in the TGF-ß family of proteins. Our team has collectively worked on marketed therapeutics such as Reblozyl, Tecfidera, Kalydeco and Waylivra, and led drug discovery and clinical development at companies including Acceleron Pharma Inc., Biogen Inc., Wyeth, Seres Therapeutics, Inc., Vertex Pharmaceuticals Incorporated and Akcea Therapeutics, Inc.</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Risks Associated with Our Business</w:t>
      </w:r>
    </w:p>
    <w:p>
      <w:pPr>
        <w:spacing w:after="0" w:line="82" w:lineRule="exact"/>
        <w:rPr>
          <w:sz w:val="20"/>
          <w:szCs w:val="20"/>
          <w:color w:val="auto"/>
        </w:rPr>
      </w:pPr>
    </w:p>
    <w:p>
      <w:pPr>
        <w:ind w:left="180" w:right="180"/>
        <w:spacing w:after="0" w:line="230" w:lineRule="auto"/>
        <w:rPr>
          <w:sz w:val="20"/>
          <w:szCs w:val="20"/>
          <w:color w:val="auto"/>
        </w:rPr>
      </w:pPr>
      <w:r>
        <w:rPr>
          <w:rFonts w:ascii="Arial" w:cs="Arial" w:eastAsia="Arial" w:hAnsi="Arial"/>
          <w:sz w:val="17"/>
          <w:szCs w:val="17"/>
          <w:color w:val="auto"/>
        </w:rPr>
        <w:t>Our business is subject to a number of risks. These risks are discussed more fully in the section titled “Risk Factors” immediately following this prospectus summary. You should read these risks before you invest in our common stock. In particular, risks associated with our business include, but are not limited to, the following:</w:t>
      </w:r>
    </w:p>
    <w:p>
      <w:pPr>
        <w:spacing w:after="0" w:line="182" w:lineRule="exact"/>
        <w:rPr>
          <w:sz w:val="20"/>
          <w:szCs w:val="20"/>
          <w:color w:val="auto"/>
        </w:rPr>
      </w:pPr>
    </w:p>
    <w:p>
      <w:pPr>
        <w:ind w:left="1040" w:right="360" w:hanging="419"/>
        <w:spacing w:after="0" w:line="233"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We have a limited operating history, have incurred net losses in every year since our inception and anticipate that we will continue to incur net losses in the future.</w:t>
      </w:r>
    </w:p>
    <w:p>
      <w:pPr>
        <w:spacing w:after="0" w:line="25" w:lineRule="exact"/>
        <w:rPr>
          <w:rFonts w:ascii="MS PGothic" w:cs="MS PGothic" w:eastAsia="MS PGothic" w:hAnsi="MS PGothic"/>
          <w:sz w:val="12"/>
          <w:szCs w:val="12"/>
          <w:color w:val="auto"/>
        </w:rPr>
      </w:pPr>
    </w:p>
    <w:p>
      <w:pPr>
        <w:ind w:left="1040" w:right="240" w:hanging="419"/>
        <w:spacing w:after="0" w:line="230"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Even if we consummate this offering, 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25" w:lineRule="exact"/>
        <w:rPr>
          <w:rFonts w:ascii="MS PGothic" w:cs="MS PGothic" w:eastAsia="MS PGothic" w:hAnsi="MS PGothic"/>
          <w:sz w:val="12"/>
          <w:szCs w:val="12"/>
          <w:color w:val="auto"/>
        </w:rPr>
      </w:pPr>
    </w:p>
    <w:p>
      <w:pPr>
        <w:ind w:left="1040" w:right="200" w:hanging="419"/>
        <w:spacing w:after="0" w:line="233"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We believe our current cash and cash equivalents will be sufficient to fund our business only for a limited amount of time, and if we are not able to raise additional funds, we may be unable to continue as a going concern.</w:t>
      </w:r>
    </w:p>
    <w:p>
      <w:pPr>
        <w:spacing w:after="0" w:line="25" w:lineRule="exact"/>
        <w:rPr>
          <w:rFonts w:ascii="MS PGothic" w:cs="MS PGothic" w:eastAsia="MS PGothic" w:hAnsi="MS PGothic"/>
          <w:sz w:val="12"/>
          <w:szCs w:val="12"/>
          <w:color w:val="auto"/>
        </w:rPr>
      </w:pPr>
    </w:p>
    <w:p>
      <w:pPr>
        <w:ind w:left="1040" w:hanging="419"/>
        <w:spacing w:after="0" w:line="230"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We are heavily dependent on the success of our product candidates, which are in early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25" w:lineRule="exact"/>
        <w:rPr>
          <w:rFonts w:ascii="MS PGothic" w:cs="MS PGothic" w:eastAsia="MS PGothic" w:hAnsi="MS PGothic"/>
          <w:sz w:val="12"/>
          <w:szCs w:val="12"/>
          <w:color w:val="auto"/>
        </w:rPr>
      </w:pPr>
    </w:p>
    <w:p>
      <w:pPr>
        <w:ind w:left="1040" w:right="100" w:hanging="419"/>
        <w:spacing w:after="0" w:line="230"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All of our product candidates are in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KER-050, KER-047 or any future product candidates.</w:t>
      </w:r>
    </w:p>
    <w:p>
      <w:pPr>
        <w:spacing w:after="0" w:line="25" w:lineRule="exact"/>
        <w:rPr>
          <w:rFonts w:ascii="MS PGothic" w:cs="MS PGothic" w:eastAsia="MS PGothic" w:hAnsi="MS PGothic"/>
          <w:sz w:val="12"/>
          <w:szCs w:val="12"/>
          <w:color w:val="auto"/>
        </w:rPr>
      </w:pPr>
    </w:p>
    <w:p>
      <w:pPr>
        <w:ind w:left="1040" w:right="60" w:hanging="419"/>
        <w:spacing w:after="0" w:line="233"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If we are unable to successfully commercialize any product candidate for which we receive regulatory approval, or experience significant delays in doing so, our business will be materially harmed.</w:t>
      </w:r>
    </w:p>
    <w:p>
      <w:pPr>
        <w:spacing w:after="0" w:line="25" w:lineRule="exact"/>
        <w:rPr>
          <w:rFonts w:ascii="MS PGothic" w:cs="MS PGothic" w:eastAsia="MS PGothic" w:hAnsi="MS PGothic"/>
          <w:sz w:val="12"/>
          <w:szCs w:val="12"/>
          <w:color w:val="auto"/>
        </w:rPr>
      </w:pPr>
    </w:p>
    <w:p>
      <w:pPr>
        <w:ind w:left="1040" w:right="60" w:hanging="419"/>
        <w:spacing w:after="0" w:line="233"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We face significant competition from other biotechnology and pharmaceutical companies, and our operating results will suffer if we fail to compete effectively.</w:t>
      </w:r>
    </w:p>
    <w:p>
      <w:pPr>
        <w:spacing w:after="0" w:line="25" w:lineRule="exact"/>
        <w:rPr>
          <w:rFonts w:ascii="MS PGothic" w:cs="MS PGothic" w:eastAsia="MS PGothic" w:hAnsi="MS PGothic"/>
          <w:sz w:val="12"/>
          <w:szCs w:val="12"/>
          <w:color w:val="auto"/>
        </w:rPr>
      </w:pPr>
    </w:p>
    <w:p>
      <w:pPr>
        <w:ind w:left="1040" w:right="100" w:hanging="419"/>
        <w:spacing w:after="0" w:line="233"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25" w:lineRule="exact"/>
        <w:rPr>
          <w:rFonts w:ascii="MS PGothic" w:cs="MS PGothic" w:eastAsia="MS PGothic" w:hAnsi="MS PGothic"/>
          <w:sz w:val="12"/>
          <w:szCs w:val="12"/>
          <w:color w:val="auto"/>
        </w:rPr>
      </w:pPr>
    </w:p>
    <w:p>
      <w:pPr>
        <w:ind w:left="1040" w:right="100" w:hanging="419"/>
        <w:spacing w:after="0" w:line="228" w:lineRule="auto"/>
        <w:tabs>
          <w:tab w:leader="none" w:pos="1040" w:val="left"/>
        </w:tabs>
        <w:numPr>
          <w:ilvl w:val="0"/>
          <w:numId w:val="7"/>
        </w:numPr>
        <w:rPr>
          <w:rFonts w:ascii="MS PGothic" w:cs="MS PGothic" w:eastAsia="MS PGothic" w:hAnsi="MS PGothic"/>
          <w:sz w:val="12"/>
          <w:szCs w:val="12"/>
          <w:color w:val="auto"/>
        </w:rPr>
      </w:pPr>
      <w:r>
        <w:rPr>
          <w:rFonts w:ascii="Arial" w:cs="Arial" w:eastAsia="Arial" w:hAnsi="Arial"/>
          <w:sz w:val="17"/>
          <w:szCs w:val="17"/>
          <w:color w:val="auto"/>
        </w:rPr>
        <w:t>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7" w:lineRule="exact"/>
        <w:rPr>
          <w:rFonts w:ascii="MS PGothic" w:cs="MS PGothic" w:eastAsia="MS PGothic" w:hAnsi="MS PGothic"/>
          <w:sz w:val="12"/>
          <w:szCs w:val="12"/>
          <w:color w:val="auto"/>
        </w:rPr>
      </w:pPr>
    </w:p>
    <w:p>
      <w:pPr>
        <w:ind w:left="1040" w:right="60" w:hanging="419"/>
        <w:spacing w:after="0" w:line="271" w:lineRule="auto"/>
        <w:tabs>
          <w:tab w:leader="none" w:pos="1040" w:val="left"/>
        </w:tabs>
        <w:numPr>
          <w:ilvl w:val="0"/>
          <w:numId w:val="7"/>
        </w:numPr>
        <w:rPr>
          <w:rFonts w:ascii="MS PGothic" w:cs="MS PGothic" w:eastAsia="MS PGothic" w:hAnsi="MS PGothic"/>
          <w:sz w:val="11"/>
          <w:szCs w:val="11"/>
          <w:color w:val="auto"/>
        </w:rPr>
      </w:pPr>
      <w:r>
        <w:rPr>
          <w:rFonts w:ascii="Arial" w:cs="Arial" w:eastAsia="Arial" w:hAnsi="Arial"/>
          <w:sz w:val="15"/>
          <w:szCs w:val="15"/>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40"/>
          </w:cols>
          <w:pgMar w:left="320" w:top="448" w:right="5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384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53841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60" w:right="600"/>
        <w:spacing w:after="0" w:line="233" w:lineRule="auto"/>
        <w:rPr>
          <w:sz w:val="20"/>
          <w:szCs w:val="20"/>
          <w:color w:val="auto"/>
        </w:rPr>
      </w:pPr>
      <w:r>
        <w:rPr>
          <w:rFonts w:ascii="Arial" w:cs="Arial" w:eastAsia="Arial" w:hAnsi="Arial"/>
          <w:sz w:val="17"/>
          <w:szCs w:val="17"/>
          <w:color w:val="auto"/>
        </w:rPr>
        <w:t>candidates or products or fails to do so at acceptable quality levels or prices or fails to maintain or achieve satisfactory regulatory compliance.</w:t>
      </w:r>
    </w:p>
    <w:p>
      <w:pPr>
        <w:spacing w:after="0" w:line="25" w:lineRule="exact"/>
        <w:rPr>
          <w:sz w:val="20"/>
          <w:szCs w:val="20"/>
          <w:color w:val="auto"/>
        </w:rPr>
      </w:pPr>
    </w:p>
    <w:p>
      <w:pPr>
        <w:ind w:left="1040" w:right="20" w:hanging="419"/>
        <w:spacing w:after="0" w:line="233" w:lineRule="auto"/>
        <w:tabs>
          <w:tab w:leader="none" w:pos="1040" w:val="left"/>
        </w:tabs>
        <w:numPr>
          <w:ilvl w:val="0"/>
          <w:numId w:val="8"/>
        </w:numPr>
        <w:rPr>
          <w:rFonts w:ascii="MS PGothic" w:cs="MS PGothic" w:eastAsia="MS PGothic" w:hAnsi="MS PGothic"/>
          <w:sz w:val="12"/>
          <w:szCs w:val="12"/>
          <w:color w:val="auto"/>
        </w:rPr>
      </w:pPr>
      <w:r>
        <w:rPr>
          <w:rFonts w:ascii="Arial" w:cs="Arial" w:eastAsia="Arial" w:hAnsi="Arial"/>
          <w:sz w:val="17"/>
          <w:szCs w:val="17"/>
          <w:color w:val="auto"/>
        </w:rPr>
        <w:t>Our future collaborations will be important to our business. If we are unable to enter into new collaborations, or if these collaborations are not successful, our business could be adversely affected.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Corporate Information</w:t>
      </w:r>
    </w:p>
    <w:p>
      <w:pPr>
        <w:spacing w:after="0" w:line="82" w:lineRule="exact"/>
        <w:rPr>
          <w:sz w:val="20"/>
          <w:szCs w:val="20"/>
          <w:color w:val="auto"/>
        </w:rPr>
      </w:pPr>
    </w:p>
    <w:p>
      <w:pPr>
        <w:jc w:val="both"/>
        <w:ind w:left="180" w:right="20"/>
        <w:spacing w:after="0" w:line="228" w:lineRule="auto"/>
        <w:rPr>
          <w:sz w:val="20"/>
          <w:szCs w:val="20"/>
          <w:color w:val="auto"/>
        </w:rPr>
      </w:pPr>
      <w:r>
        <w:rPr>
          <w:rFonts w:ascii="Arial" w:cs="Arial" w:eastAsia="Arial" w:hAnsi="Arial"/>
          <w:sz w:val="17"/>
          <w:szCs w:val="17"/>
          <w:color w:val="auto"/>
        </w:rPr>
        <w:t>Keros Therapeutics, Inc. was originally incorporated under the laws of the State of Delaware under the name Keros Therapeutics, Inc. in December 2015. Our principal executive office is located at 99 Hayden Avenue, Suite 120, Building E, Lexington, Massachusetts 02421. Our telephone number is (617) 314-6297. Our website address is www.kerostx.com. Information contained in, or accessible through, our website does not constitute a part of, and is not incorporated into, this prospectus.</w:t>
      </w:r>
    </w:p>
    <w:p>
      <w:pPr>
        <w:spacing w:after="0" w:line="145" w:lineRule="exact"/>
        <w:rPr>
          <w:sz w:val="20"/>
          <w:szCs w:val="20"/>
          <w:color w:val="auto"/>
        </w:rPr>
      </w:pPr>
    </w:p>
    <w:p>
      <w:pPr>
        <w:ind w:left="180" w:right="80"/>
        <w:spacing w:after="0" w:line="228" w:lineRule="auto"/>
        <w:rPr>
          <w:sz w:val="20"/>
          <w:szCs w:val="20"/>
          <w:color w:val="auto"/>
        </w:rPr>
      </w:pPr>
      <w:r>
        <w:rPr>
          <w:rFonts w:ascii="Arial" w:cs="Arial" w:eastAsia="Arial" w:hAnsi="Arial"/>
          <w:sz w:val="17"/>
          <w:szCs w:val="17"/>
          <w:color w:val="auto"/>
        </w:rPr>
        <w:t>The Keros logo and the name Keros and other common law trademarks of Keros Therapeutics, Inc. appearing in this prospectus are the property of Keros Therapeutics, Inc. Solely for your convenience, trade names, trademarks and service marks contained in this prospectus may appear without the “</w:t>
      </w:r>
      <w:r>
        <w:rPr>
          <w:rFonts w:ascii="Arial" w:cs="Arial" w:eastAsia="Arial" w:hAnsi="Arial"/>
          <w:sz w:val="14"/>
          <w:szCs w:val="14"/>
          <w:color w:val="auto"/>
        </w:rPr>
        <w:t>®</w:t>
      </w:r>
      <w:r>
        <w:rPr>
          <w:rFonts w:ascii="Arial" w:cs="Arial" w:eastAsia="Arial" w:hAnsi="Arial"/>
          <w:sz w:val="17"/>
          <w:szCs w:val="17"/>
          <w:color w:val="auto"/>
        </w:rPr>
        <w:t>” or “</w:t>
      </w:r>
      <w:r>
        <w:rPr>
          <w:rFonts w:ascii="Arial" w:cs="Arial" w:eastAsia="Arial" w:hAnsi="Arial"/>
          <w:sz w:val="14"/>
          <w:szCs w:val="14"/>
          <w:color w:val="auto"/>
        </w:rPr>
        <w:t>™</w:t>
      </w:r>
      <w:r>
        <w:rPr>
          <w:rFonts w:ascii="Arial" w:cs="Arial" w:eastAsia="Arial" w:hAnsi="Arial"/>
          <w:sz w:val="17"/>
          <w:szCs w:val="17"/>
          <w:color w:val="auto"/>
        </w:rPr>
        <w:t>” symbols. Such references are not intended to indicate, in any way, that we will not assert, to the fullest extent possible under applicable law, our rights or the rights of the applicable licensor to those trade names, trademarks and service marks.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82" w:lineRule="exact"/>
        <w:rPr>
          <w:sz w:val="20"/>
          <w:szCs w:val="20"/>
          <w:color w:val="auto"/>
        </w:rPr>
      </w:pPr>
    </w:p>
    <w:p>
      <w:pPr>
        <w:ind w:left="180" w:right="220"/>
        <w:spacing w:after="0" w:line="230"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182" w:lineRule="exact"/>
        <w:rPr>
          <w:sz w:val="20"/>
          <w:szCs w:val="20"/>
          <w:color w:val="auto"/>
        </w:rPr>
      </w:pPr>
    </w:p>
    <w:p>
      <w:pPr>
        <w:ind w:left="1040" w:right="1140" w:hanging="419"/>
        <w:spacing w:after="0" w:line="233" w:lineRule="auto"/>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25" w:lineRule="exact"/>
        <w:rPr>
          <w:rFonts w:ascii="MS PGothic" w:cs="MS PGothic" w:eastAsia="MS PGothic" w:hAnsi="MS PGothic"/>
          <w:sz w:val="12"/>
          <w:szCs w:val="12"/>
          <w:color w:val="auto"/>
        </w:rPr>
      </w:pPr>
    </w:p>
    <w:p>
      <w:pPr>
        <w:ind w:left="1040" w:hanging="419"/>
        <w:spacing w:after="0"/>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reduced disclosure about the compensation paid to our executive officers;</w:t>
      </w:r>
    </w:p>
    <w:p>
      <w:pPr>
        <w:spacing w:after="0" w:line="26" w:lineRule="exact"/>
        <w:rPr>
          <w:rFonts w:ascii="MS PGothic" w:cs="MS PGothic" w:eastAsia="MS PGothic" w:hAnsi="MS PGothic"/>
          <w:sz w:val="12"/>
          <w:szCs w:val="12"/>
          <w:color w:val="auto"/>
        </w:rPr>
      </w:pPr>
    </w:p>
    <w:p>
      <w:pPr>
        <w:ind w:left="1040" w:hanging="419"/>
        <w:spacing w:after="0"/>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not being required to submit to our stockholders advisory votes on executive compensation or golden parachute arrangements;</w:t>
      </w:r>
    </w:p>
    <w:p>
      <w:pPr>
        <w:spacing w:after="0" w:line="26" w:lineRule="exact"/>
        <w:rPr>
          <w:rFonts w:ascii="MS PGothic" w:cs="MS PGothic" w:eastAsia="MS PGothic" w:hAnsi="MS PGothic"/>
          <w:sz w:val="12"/>
          <w:szCs w:val="12"/>
          <w:color w:val="auto"/>
        </w:rPr>
      </w:pPr>
    </w:p>
    <w:p>
      <w:pPr>
        <w:ind w:left="1040" w:right="240" w:hanging="419"/>
        <w:spacing w:after="0" w:line="233" w:lineRule="auto"/>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 or the Sarbanes-Oxley Act; and</w:t>
      </w:r>
    </w:p>
    <w:p>
      <w:pPr>
        <w:spacing w:after="0" w:line="25" w:lineRule="exact"/>
        <w:rPr>
          <w:rFonts w:ascii="MS PGothic" w:cs="MS PGothic" w:eastAsia="MS PGothic" w:hAnsi="MS PGothic"/>
          <w:sz w:val="12"/>
          <w:szCs w:val="12"/>
          <w:color w:val="auto"/>
        </w:rPr>
      </w:pPr>
    </w:p>
    <w:p>
      <w:pPr>
        <w:ind w:left="1040" w:right="120" w:hanging="419"/>
        <w:spacing w:after="0" w:line="233" w:lineRule="auto"/>
        <w:tabs>
          <w:tab w:leader="none" w:pos="104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3" w:lineRule="exact"/>
        <w:rPr>
          <w:sz w:val="20"/>
          <w:szCs w:val="20"/>
          <w:color w:val="auto"/>
        </w:rPr>
      </w:pPr>
    </w:p>
    <w:p>
      <w:pPr>
        <w:ind w:left="180" w:right="180"/>
        <w:spacing w:after="0" w:line="254" w:lineRule="auto"/>
        <w:rPr>
          <w:sz w:val="20"/>
          <w:szCs w:val="20"/>
          <w:color w:val="auto"/>
        </w:rPr>
      </w:pPr>
      <w:r>
        <w:rPr>
          <w:rFonts w:ascii="Arial" w:cs="Arial" w:eastAsia="Arial" w:hAnsi="Arial"/>
          <w:sz w:val="15"/>
          <w:szCs w:val="15"/>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180" w:firstLine="10"/>
        <w:spacing w:after="0" w:line="227" w:lineRule="auto"/>
        <w:tabs>
          <w:tab w:leader="none" w:pos="4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revenues of $1.07 billion or more; (2) the last day of our fiscal year following the fifth anniversary of the date of the completion of this offering; (3) the date on which we have issued more 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44" w:lineRule="exact"/>
        <w:rPr>
          <w:sz w:val="20"/>
          <w:szCs w:val="20"/>
          <w:color w:val="auto"/>
        </w:rPr>
      </w:pPr>
    </w:p>
    <w:p>
      <w:pPr>
        <w:jc w:val="both"/>
        <w:ind w:left="180" w:right="60"/>
        <w:spacing w:after="0" w:line="230" w:lineRule="auto"/>
        <w:rPr>
          <w:sz w:val="20"/>
          <w:szCs w:val="20"/>
          <w:color w:val="auto"/>
        </w:rPr>
      </w:pPr>
      <w:r>
        <w:rPr>
          <w:rFonts w:ascii="Arial" w:cs="Arial" w:eastAsia="Arial" w:hAnsi="Arial"/>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48" w:right="5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750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75057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80"/>
        <w:spacing w:after="0" w:line="228" w:lineRule="auto"/>
        <w:rPr>
          <w:sz w:val="20"/>
          <w:szCs w:val="20"/>
          <w:color w:val="auto"/>
        </w:rPr>
      </w:pPr>
      <w:r>
        <w:rPr>
          <w:rFonts w:ascii="Arial" w:cs="Arial" w:eastAsia="Arial" w:hAnsi="Arial"/>
          <w:sz w:val="17"/>
          <w:szCs w:val="17"/>
          <w:color w:val="auto"/>
        </w:rPr>
        <w:t>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80"/>
          </w:cols>
          <w:pgMar w:left="320" w:top="448" w:right="5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309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53092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406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920" w:type="dxa"/>
            <w:vAlign w:val="bottom"/>
          </w:tcPr>
          <w:p>
            <w:pPr>
              <w:ind w:left="840"/>
              <w:spacing w:after="0"/>
              <w:rPr>
                <w:sz w:val="20"/>
                <w:szCs w:val="20"/>
                <w:color w:val="auto"/>
              </w:rPr>
            </w:pPr>
            <w:r>
              <w:rPr>
                <w:rFonts w:ascii="Arial" w:cs="Arial" w:eastAsia="Arial" w:hAnsi="Arial"/>
                <w:sz w:val="17"/>
                <w:szCs w:val="17"/>
                <w:color w:val="auto"/>
              </w:rPr>
              <w:t>shares.</w:t>
            </w: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77"/>
        </w:trPr>
        <w:tc>
          <w:tcPr>
            <w:tcW w:w="4060" w:type="dxa"/>
            <w:vAlign w:val="bottom"/>
          </w:tcPr>
          <w:p>
            <w:pPr>
              <w:spacing w:after="0"/>
              <w:rPr>
                <w:sz w:val="20"/>
                <w:szCs w:val="20"/>
                <w:color w:val="auto"/>
              </w:rPr>
            </w:pPr>
            <w:r>
              <w:rPr>
                <w:rFonts w:ascii="Arial" w:cs="Arial" w:eastAsia="Arial" w:hAnsi="Arial"/>
                <w:sz w:val="17"/>
                <w:szCs w:val="17"/>
                <w:color w:val="auto"/>
                <w:w w:val="97"/>
              </w:rPr>
              <w:t>Common stock to be outstanding immediately after this</w:t>
            </w:r>
          </w:p>
        </w:tc>
        <w:tc>
          <w:tcPr>
            <w:tcW w:w="1920" w:type="dxa"/>
            <w:vAlign w:val="bottom"/>
          </w:tcPr>
          <w:p>
            <w:pPr>
              <w:ind w:left="840"/>
              <w:spacing w:after="0"/>
              <w:rPr>
                <w:sz w:val="20"/>
                <w:szCs w:val="20"/>
                <w:color w:val="auto"/>
              </w:rPr>
            </w:pPr>
            <w:r>
              <w:rPr>
                <w:rFonts w:ascii="Arial" w:cs="Arial" w:eastAsia="Arial" w:hAnsi="Arial"/>
                <w:sz w:val="17"/>
                <w:szCs w:val="17"/>
                <w:color w:val="auto"/>
              </w:rPr>
              <w:t>shares (or</w:t>
            </w:r>
          </w:p>
        </w:tc>
        <w:tc>
          <w:tcPr>
            <w:tcW w:w="4860" w:type="dxa"/>
            <w:vAlign w:val="bottom"/>
            <w:gridSpan w:val="3"/>
          </w:tcPr>
          <w:p>
            <w:pPr>
              <w:ind w:left="480"/>
              <w:spacing w:after="0"/>
              <w:rPr>
                <w:sz w:val="20"/>
                <w:szCs w:val="20"/>
                <w:color w:val="auto"/>
              </w:rPr>
            </w:pPr>
            <w:r>
              <w:rPr>
                <w:rFonts w:ascii="Arial" w:cs="Arial" w:eastAsia="Arial" w:hAnsi="Arial"/>
                <w:sz w:val="17"/>
                <w:szCs w:val="17"/>
                <w:color w:val="auto"/>
              </w:rPr>
              <w:t>shares if the underwriters exercise in full their option to</w:t>
            </w:r>
          </w:p>
        </w:tc>
      </w:tr>
      <w:tr>
        <w:trPr>
          <w:trHeight w:val="198"/>
        </w:trPr>
        <w:tc>
          <w:tcPr>
            <w:tcW w:w="4060" w:type="dxa"/>
            <w:vAlign w:val="bottom"/>
          </w:tcPr>
          <w:p>
            <w:pPr>
              <w:ind w:left="80"/>
              <w:spacing w:after="0"/>
              <w:rPr>
                <w:sz w:val="20"/>
                <w:szCs w:val="20"/>
                <w:color w:val="auto"/>
              </w:rPr>
            </w:pPr>
            <w:r>
              <w:rPr>
                <w:rFonts w:ascii="Arial" w:cs="Arial" w:eastAsia="Arial" w:hAnsi="Arial"/>
                <w:sz w:val="17"/>
                <w:szCs w:val="17"/>
                <w:color w:val="auto"/>
              </w:rPr>
              <w:t>offering</w:t>
            </w:r>
          </w:p>
        </w:tc>
        <w:tc>
          <w:tcPr>
            <w:tcW w:w="3620" w:type="dxa"/>
            <w:vAlign w:val="bottom"/>
            <w:gridSpan w:val="2"/>
          </w:tcPr>
          <w:p>
            <w:pPr>
              <w:ind w:left="60"/>
              <w:spacing w:after="0"/>
              <w:rPr>
                <w:sz w:val="20"/>
                <w:szCs w:val="20"/>
                <w:color w:val="auto"/>
              </w:rPr>
            </w:pPr>
            <w:r>
              <w:rPr>
                <w:rFonts w:ascii="Arial" w:cs="Arial" w:eastAsia="Arial" w:hAnsi="Arial"/>
                <w:sz w:val="17"/>
                <w:szCs w:val="17"/>
                <w:color w:val="auto"/>
              </w:rPr>
              <w:t>purchase additional shares).</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77"/>
        </w:trPr>
        <w:tc>
          <w:tcPr>
            <w:tcW w:w="4060" w:type="dxa"/>
            <w:vAlign w:val="bottom"/>
          </w:tcPr>
          <w:p>
            <w:pPr>
              <w:spacing w:after="0"/>
              <w:rPr>
                <w:sz w:val="20"/>
                <w:szCs w:val="20"/>
                <w:color w:val="auto"/>
              </w:rPr>
            </w:pPr>
            <w:r>
              <w:rPr>
                <w:rFonts w:ascii="Arial" w:cs="Arial" w:eastAsia="Arial" w:hAnsi="Arial"/>
                <w:sz w:val="17"/>
                <w:szCs w:val="17"/>
                <w:color w:val="auto"/>
              </w:rPr>
              <w:t>Option to purchase additional shares</w:t>
            </w:r>
          </w:p>
        </w:tc>
        <w:tc>
          <w:tcPr>
            <w:tcW w:w="6780" w:type="dxa"/>
            <w:vAlign w:val="bottom"/>
            <w:gridSpan w:val="4"/>
          </w:tcPr>
          <w:p>
            <w:pPr>
              <w:ind w:left="60"/>
              <w:spacing w:after="0"/>
              <w:rPr>
                <w:sz w:val="20"/>
                <w:szCs w:val="20"/>
                <w:color w:val="auto"/>
              </w:rPr>
            </w:pPr>
            <w:r>
              <w:rPr>
                <w:rFonts w:ascii="Arial" w:cs="Arial" w:eastAsia="Arial" w:hAnsi="Arial"/>
                <w:sz w:val="17"/>
                <w:szCs w:val="17"/>
                <w:color w:val="auto"/>
              </w:rPr>
              <w:t>We have granted the underwriters an option, exercisable for 30 days after the date of this</w:t>
            </w:r>
          </w:p>
        </w:tc>
      </w:tr>
      <w:tr>
        <w:trPr>
          <w:trHeight w:val="198"/>
        </w:trPr>
        <w:tc>
          <w:tcPr>
            <w:tcW w:w="406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Arial" w:cs="Arial" w:eastAsia="Arial" w:hAnsi="Arial"/>
                <w:sz w:val="17"/>
                <w:szCs w:val="17"/>
                <w:color w:val="auto"/>
              </w:rPr>
              <w:t>prospectus, to purchase up to an additional</w:t>
            </w:r>
          </w:p>
        </w:tc>
        <w:tc>
          <w:tcPr>
            <w:tcW w:w="1800" w:type="dxa"/>
            <w:vAlign w:val="bottom"/>
          </w:tcPr>
          <w:p>
            <w:pPr>
              <w:ind w:left="420"/>
              <w:spacing w:after="0"/>
              <w:rPr>
                <w:sz w:val="20"/>
                <w:szCs w:val="20"/>
                <w:color w:val="auto"/>
              </w:rPr>
            </w:pPr>
            <w:r>
              <w:rPr>
                <w:rFonts w:ascii="Arial" w:cs="Arial" w:eastAsia="Arial" w:hAnsi="Arial"/>
                <w:sz w:val="17"/>
                <w:szCs w:val="17"/>
                <w:color w:val="auto"/>
              </w:rPr>
              <w:t>shares from us.</w:t>
            </w:r>
          </w:p>
        </w:tc>
        <w:tc>
          <w:tcPr>
            <w:tcW w:w="1360" w:type="dxa"/>
            <w:vAlign w:val="bottom"/>
          </w:tcPr>
          <w:p>
            <w:pPr>
              <w:spacing w:after="0"/>
              <w:rPr>
                <w:sz w:val="17"/>
                <w:szCs w:val="17"/>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7"/>
                <w:szCs w:val="17"/>
                <w:color w:val="auto"/>
              </w:rPr>
              <w:t>Use of proceeds</w:t>
            </w:r>
          </w:p>
        </w:tc>
        <w:tc>
          <w:tcPr>
            <w:tcW w:w="5420" w:type="dxa"/>
            <w:vAlign w:val="bottom"/>
            <w:gridSpan w:val="3"/>
          </w:tcPr>
          <w:p>
            <w:pPr>
              <w:ind w:left="60"/>
              <w:spacing w:after="0"/>
              <w:rPr>
                <w:sz w:val="20"/>
                <w:szCs w:val="20"/>
                <w:color w:val="auto"/>
              </w:rPr>
            </w:pPr>
            <w:r>
              <w:rPr>
                <w:rFonts w:ascii="Arial" w:cs="Arial" w:eastAsia="Arial" w:hAnsi="Arial"/>
                <w:sz w:val="17"/>
                <w:szCs w:val="17"/>
                <w:color w:val="auto"/>
              </w:rPr>
              <w:t>We estimate that we will receive net proceeds of approximately $</w:t>
            </w:r>
          </w:p>
        </w:tc>
        <w:tc>
          <w:tcPr>
            <w:tcW w:w="1360" w:type="dxa"/>
            <w:vAlign w:val="bottom"/>
          </w:tcPr>
          <w:p>
            <w:pPr>
              <w:ind w:left="120"/>
              <w:spacing w:after="0"/>
              <w:rPr>
                <w:sz w:val="20"/>
                <w:szCs w:val="20"/>
                <w:color w:val="auto"/>
              </w:rPr>
            </w:pPr>
            <w:r>
              <w:rPr>
                <w:rFonts w:ascii="Arial" w:cs="Arial" w:eastAsia="Arial" w:hAnsi="Arial"/>
                <w:sz w:val="17"/>
                <w:szCs w:val="17"/>
                <w:color w:val="auto"/>
              </w:rPr>
              <w:t>million (or</w:t>
            </w:r>
          </w:p>
        </w:tc>
      </w:tr>
      <w:tr>
        <w:trPr>
          <w:trHeight w:val="183"/>
        </w:trPr>
        <w:tc>
          <w:tcPr>
            <w:tcW w:w="4060" w:type="dxa"/>
            <w:vAlign w:val="bottom"/>
          </w:tcPr>
          <w:p>
            <w:pPr>
              <w:spacing w:after="0"/>
              <w:rPr>
                <w:sz w:val="15"/>
                <w:szCs w:val="15"/>
                <w:color w:val="auto"/>
              </w:rPr>
            </w:pPr>
          </w:p>
        </w:tc>
        <w:tc>
          <w:tcPr>
            <w:tcW w:w="1920" w:type="dxa"/>
            <w:vAlign w:val="bottom"/>
          </w:tcPr>
          <w:p>
            <w:pPr>
              <w:ind w:left="60"/>
              <w:spacing w:after="0" w:line="183" w:lineRule="exact"/>
              <w:rPr>
                <w:sz w:val="20"/>
                <w:szCs w:val="20"/>
                <w:color w:val="auto"/>
              </w:rPr>
            </w:pPr>
            <w:r>
              <w:rPr>
                <w:rFonts w:ascii="Arial" w:cs="Arial" w:eastAsia="Arial" w:hAnsi="Arial"/>
                <w:sz w:val="17"/>
                <w:szCs w:val="17"/>
                <w:color w:val="auto"/>
              </w:rPr>
              <w:t>approximately $</w:t>
            </w:r>
          </w:p>
        </w:tc>
        <w:tc>
          <w:tcPr>
            <w:tcW w:w="4860" w:type="dxa"/>
            <w:vAlign w:val="bottom"/>
            <w:gridSpan w:val="3"/>
          </w:tcPr>
          <w:p>
            <w:pPr>
              <w:ind w:left="40"/>
              <w:spacing w:after="0" w:line="183" w:lineRule="exact"/>
              <w:rPr>
                <w:sz w:val="20"/>
                <w:szCs w:val="20"/>
                <w:color w:val="auto"/>
              </w:rPr>
            </w:pPr>
            <w:r>
              <w:rPr>
                <w:rFonts w:ascii="Arial" w:cs="Arial" w:eastAsia="Arial" w:hAnsi="Arial"/>
                <w:sz w:val="17"/>
                <w:szCs w:val="17"/>
                <w:color w:val="auto"/>
                <w:w w:val="99"/>
              </w:rPr>
              <w:t>million if the underwriters exercise in full their option to purchase</w:t>
            </w:r>
          </w:p>
        </w:tc>
      </w:tr>
      <w:tr>
        <w:trPr>
          <w:trHeight w:val="183"/>
        </w:trPr>
        <w:tc>
          <w:tcPr>
            <w:tcW w:w="4060" w:type="dxa"/>
            <w:vAlign w:val="bottom"/>
          </w:tcPr>
          <w:p>
            <w:pPr>
              <w:spacing w:after="0"/>
              <w:rPr>
                <w:sz w:val="15"/>
                <w:szCs w:val="15"/>
                <w:color w:val="auto"/>
              </w:rPr>
            </w:pPr>
          </w:p>
        </w:tc>
        <w:tc>
          <w:tcPr>
            <w:tcW w:w="5420" w:type="dxa"/>
            <w:vAlign w:val="bottom"/>
            <w:gridSpan w:val="3"/>
          </w:tcPr>
          <w:p>
            <w:pPr>
              <w:ind w:left="60"/>
              <w:spacing w:after="0" w:line="183" w:lineRule="exact"/>
              <w:rPr>
                <w:sz w:val="20"/>
                <w:szCs w:val="20"/>
                <w:color w:val="auto"/>
              </w:rPr>
            </w:pPr>
            <w:r>
              <w:rPr>
                <w:rFonts w:ascii="Arial" w:cs="Arial" w:eastAsia="Arial" w:hAnsi="Arial"/>
                <w:sz w:val="17"/>
                <w:szCs w:val="17"/>
                <w:color w:val="auto"/>
                <w:w w:val="98"/>
              </w:rPr>
              <w:t>additional shares), based on an assumed initial public offering price of $</w:t>
            </w:r>
          </w:p>
        </w:tc>
        <w:tc>
          <w:tcPr>
            <w:tcW w:w="1360" w:type="dxa"/>
            <w:vAlign w:val="bottom"/>
          </w:tcPr>
          <w:p>
            <w:pPr>
              <w:ind w:left="620"/>
              <w:spacing w:after="0" w:line="183" w:lineRule="exact"/>
              <w:rPr>
                <w:sz w:val="20"/>
                <w:szCs w:val="20"/>
                <w:color w:val="auto"/>
              </w:rPr>
            </w:pPr>
            <w:r>
              <w:rPr>
                <w:rFonts w:ascii="Arial" w:cs="Arial" w:eastAsia="Arial" w:hAnsi="Arial"/>
                <w:sz w:val="17"/>
                <w:szCs w:val="17"/>
                <w:color w:val="auto"/>
                <w:w w:val="94"/>
              </w:rPr>
              <w:t>per share,</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w w:val="98"/>
              </w:rPr>
              <w:t>which is the midpoint of the price range set forth on the cover page of this prospectus, after</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rPr>
              <w:t>deducting estimated underwriting discounts and commissions and estimated offering</w:t>
            </w:r>
          </w:p>
        </w:tc>
      </w:tr>
      <w:tr>
        <w:trPr>
          <w:trHeight w:val="198"/>
        </w:trPr>
        <w:tc>
          <w:tcPr>
            <w:tcW w:w="406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7"/>
                <w:szCs w:val="17"/>
                <w:color w:val="auto"/>
                <w:w w:val="98"/>
              </w:rPr>
              <w:t>expenses payable by us.</w:t>
            </w: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64"/>
        </w:trPr>
        <w:tc>
          <w:tcPr>
            <w:tcW w:w="4060" w:type="dxa"/>
            <w:vAlign w:val="bottom"/>
          </w:tcPr>
          <w:p>
            <w:pPr>
              <w:spacing w:after="0"/>
              <w:rPr>
                <w:sz w:val="24"/>
                <w:szCs w:val="24"/>
                <w:color w:val="auto"/>
              </w:rPr>
            </w:pPr>
          </w:p>
        </w:tc>
        <w:tc>
          <w:tcPr>
            <w:tcW w:w="6780" w:type="dxa"/>
            <w:vAlign w:val="bottom"/>
            <w:gridSpan w:val="4"/>
          </w:tcPr>
          <w:p>
            <w:pPr>
              <w:ind w:left="60"/>
              <w:spacing w:after="0"/>
              <w:rPr>
                <w:sz w:val="20"/>
                <w:szCs w:val="20"/>
                <w:color w:val="auto"/>
              </w:rPr>
            </w:pPr>
            <w:r>
              <w:rPr>
                <w:rFonts w:ascii="Arial" w:cs="Arial" w:eastAsia="Arial" w:hAnsi="Arial"/>
                <w:sz w:val="17"/>
                <w:szCs w:val="17"/>
                <w:color w:val="auto"/>
              </w:rPr>
              <w:t>We intend to use the net proceeds from this offering, together with our existing cash and</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w w:val="97"/>
              </w:rPr>
              <w:t>cash equivalents, to advance the clinical development of KER-050, including the initiation of</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w w:val="98"/>
              </w:rPr>
              <w:t>two Phase 2 clinical trials, one in patients with MDS and one in patients with myelofibrosis,</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w w:val="96"/>
              </w:rPr>
              <w:t>and to advance the clinical development of KER-047, including the completion of our current</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rPr>
              <w:t>Phase 1 clinical trial and the initiation of two Phase 2 clinical trials, one in patients with</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w w:val="97"/>
              </w:rPr>
              <w:t>IRIDA and one in patients with FOP. We intend to use the remainder of the net proceeds to</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rPr>
              <w:t>fund other research and development activities, working capital and general corporate</w:t>
            </w:r>
          </w:p>
        </w:tc>
      </w:tr>
      <w:tr>
        <w:trPr>
          <w:trHeight w:val="198"/>
        </w:trPr>
        <w:tc>
          <w:tcPr>
            <w:tcW w:w="4060" w:type="dxa"/>
            <w:vAlign w:val="bottom"/>
          </w:tcPr>
          <w:p>
            <w:pPr>
              <w:spacing w:after="0"/>
              <w:rPr>
                <w:sz w:val="17"/>
                <w:szCs w:val="17"/>
                <w:color w:val="auto"/>
              </w:rPr>
            </w:pPr>
          </w:p>
        </w:tc>
        <w:tc>
          <w:tcPr>
            <w:tcW w:w="5420" w:type="dxa"/>
            <w:vAlign w:val="bottom"/>
            <w:gridSpan w:val="3"/>
          </w:tcPr>
          <w:p>
            <w:pPr>
              <w:ind w:left="60"/>
              <w:spacing w:after="0"/>
              <w:rPr>
                <w:sz w:val="20"/>
                <w:szCs w:val="20"/>
                <w:color w:val="auto"/>
              </w:rPr>
            </w:pPr>
            <w:r>
              <w:rPr>
                <w:rFonts w:ascii="Arial" w:cs="Arial" w:eastAsia="Arial" w:hAnsi="Arial"/>
                <w:sz w:val="17"/>
                <w:szCs w:val="17"/>
                <w:color w:val="auto"/>
              </w:rPr>
              <w:t>purposes. See “Use of Proceeds” for additional information.</w:t>
            </w:r>
          </w:p>
        </w:tc>
        <w:tc>
          <w:tcPr>
            <w:tcW w:w="1360" w:type="dxa"/>
            <w:vAlign w:val="bottom"/>
          </w:tcPr>
          <w:p>
            <w:pPr>
              <w:spacing w:after="0"/>
              <w:rPr>
                <w:sz w:val="17"/>
                <w:szCs w:val="17"/>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7"/>
                <w:szCs w:val="17"/>
                <w:color w:val="auto"/>
              </w:rPr>
              <w:t>Risk factors</w:t>
            </w:r>
          </w:p>
        </w:tc>
        <w:tc>
          <w:tcPr>
            <w:tcW w:w="6780" w:type="dxa"/>
            <w:vAlign w:val="bottom"/>
            <w:gridSpan w:val="4"/>
          </w:tcPr>
          <w:p>
            <w:pPr>
              <w:ind w:left="60"/>
              <w:spacing w:after="0"/>
              <w:rPr>
                <w:sz w:val="20"/>
                <w:szCs w:val="20"/>
                <w:color w:val="auto"/>
              </w:rPr>
            </w:pPr>
            <w:r>
              <w:rPr>
                <w:rFonts w:ascii="Arial" w:cs="Arial" w:eastAsia="Arial" w:hAnsi="Arial"/>
                <w:sz w:val="17"/>
                <w:szCs w:val="17"/>
                <w:color w:val="auto"/>
                <w:w w:val="99"/>
              </w:rPr>
              <w:t>You should carefully read “Risk Factors” on page 11 in this prospectus for a discussion of</w:t>
            </w:r>
          </w:p>
        </w:tc>
      </w:tr>
      <w:tr>
        <w:trPr>
          <w:trHeight w:val="183"/>
        </w:trPr>
        <w:tc>
          <w:tcPr>
            <w:tcW w:w="4060" w:type="dxa"/>
            <w:vAlign w:val="bottom"/>
          </w:tcPr>
          <w:p>
            <w:pPr>
              <w:spacing w:after="0"/>
              <w:rPr>
                <w:sz w:val="15"/>
                <w:szCs w:val="15"/>
                <w:color w:val="auto"/>
              </w:rPr>
            </w:pPr>
          </w:p>
        </w:tc>
        <w:tc>
          <w:tcPr>
            <w:tcW w:w="6780" w:type="dxa"/>
            <w:vAlign w:val="bottom"/>
            <w:gridSpan w:val="4"/>
          </w:tcPr>
          <w:p>
            <w:pPr>
              <w:ind w:left="60"/>
              <w:spacing w:after="0" w:line="183" w:lineRule="exact"/>
              <w:rPr>
                <w:sz w:val="20"/>
                <w:szCs w:val="20"/>
                <w:color w:val="auto"/>
              </w:rPr>
            </w:pPr>
            <w:r>
              <w:rPr>
                <w:rFonts w:ascii="Arial" w:cs="Arial" w:eastAsia="Arial" w:hAnsi="Arial"/>
                <w:sz w:val="17"/>
                <w:szCs w:val="17"/>
                <w:color w:val="auto"/>
              </w:rPr>
              <w:t>factors that you should consider before deciding to invest in our common stock.</w:t>
            </w:r>
          </w:p>
        </w:tc>
      </w:tr>
      <w:tr>
        <w:trPr>
          <w:trHeight w:val="198"/>
        </w:trPr>
        <w:tc>
          <w:tcPr>
            <w:tcW w:w="406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1920" w:type="dxa"/>
            <w:vAlign w:val="bottom"/>
          </w:tcPr>
          <w:p>
            <w:pPr>
              <w:ind w:left="60"/>
              <w:spacing w:after="0"/>
              <w:rPr>
                <w:sz w:val="20"/>
                <w:szCs w:val="20"/>
                <w:color w:val="auto"/>
              </w:rPr>
            </w:pPr>
            <w:r>
              <w:rPr>
                <w:rFonts w:ascii="Arial" w:cs="Arial" w:eastAsia="Arial" w:hAnsi="Arial"/>
                <w:sz w:val="17"/>
                <w:szCs w:val="17"/>
                <w:color w:val="auto"/>
              </w:rPr>
              <w:t>“KROS”</w:t>
            </w: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155" w:lineRule="exact"/>
        <w:rPr>
          <w:sz w:val="20"/>
          <w:szCs w:val="20"/>
          <w:color w:val="auto"/>
        </w:rPr>
      </w:pPr>
    </w:p>
    <w:p>
      <w:pPr>
        <w:ind w:left="180" w:right="160"/>
        <w:spacing w:after="0" w:line="233" w:lineRule="auto"/>
        <w:rPr>
          <w:sz w:val="20"/>
          <w:szCs w:val="20"/>
          <w:color w:val="auto"/>
        </w:rPr>
      </w:pPr>
      <w:r>
        <w:rPr>
          <w:rFonts w:ascii="Arial" w:cs="Arial" w:eastAsia="Arial" w:hAnsi="Arial"/>
          <w:sz w:val="17"/>
          <w:szCs w:val="17"/>
          <w:color w:val="auto"/>
        </w:rPr>
        <w:t>The number of shares of our common stock to be outstanding after the closing of this offering is based on 19,575,235 shares of our common stock (which includes 75,000 shares of restricted common stock subject to repurchase) outstanding as of December 31, 2019 and excludes:</w:t>
      </w:r>
    </w:p>
    <w:p>
      <w:pPr>
        <w:spacing w:after="0" w:line="182" w:lineRule="exact"/>
        <w:rPr>
          <w:sz w:val="20"/>
          <w:szCs w:val="20"/>
          <w:color w:val="auto"/>
        </w:rPr>
      </w:pPr>
    </w:p>
    <w:p>
      <w:pPr>
        <w:ind w:left="1040" w:right="460" w:hanging="419"/>
        <w:spacing w:after="0" w:line="233" w:lineRule="auto"/>
        <w:tabs>
          <w:tab w:leader="none" w:pos="1040" w:val="left"/>
        </w:tabs>
        <w:numPr>
          <w:ilvl w:val="0"/>
          <w:numId w:val="11"/>
        </w:numPr>
        <w:rPr>
          <w:rFonts w:ascii="MS PGothic" w:cs="MS PGothic" w:eastAsia="MS PGothic" w:hAnsi="MS PGothic"/>
          <w:sz w:val="12"/>
          <w:szCs w:val="12"/>
          <w:color w:val="auto"/>
        </w:rPr>
      </w:pPr>
      <w:r>
        <w:rPr>
          <w:rFonts w:ascii="Arial" w:cs="Arial" w:eastAsia="Arial" w:hAnsi="Arial"/>
          <w:sz w:val="17"/>
          <w:szCs w:val="17"/>
          <w:color w:val="auto"/>
        </w:rPr>
        <w:t>2,526,538 shares of our common stock issuable upon the exercise of options outstanding as of December 31, 2019, at a weighted-average exercise price of $0.16 per share;</w:t>
      </w:r>
    </w:p>
    <w:p>
      <w:pPr>
        <w:spacing w:after="0" w:line="25" w:lineRule="exact"/>
        <w:rPr>
          <w:rFonts w:ascii="MS PGothic" w:cs="MS PGothic" w:eastAsia="MS PGothic" w:hAnsi="MS PGothic"/>
          <w:sz w:val="12"/>
          <w:szCs w:val="12"/>
          <w:color w:val="auto"/>
        </w:rPr>
      </w:pPr>
    </w:p>
    <w:p>
      <w:pPr>
        <w:ind w:left="1040" w:hanging="419"/>
        <w:spacing w:after="0" w:line="233" w:lineRule="auto"/>
        <w:tabs>
          <w:tab w:leader="none" w:pos="1040" w:val="left"/>
        </w:tabs>
        <w:numPr>
          <w:ilvl w:val="0"/>
          <w:numId w:val="11"/>
        </w:numPr>
        <w:rPr>
          <w:rFonts w:ascii="MS PGothic" w:cs="MS PGothic" w:eastAsia="MS PGothic" w:hAnsi="MS PGothic"/>
          <w:sz w:val="12"/>
          <w:szCs w:val="12"/>
          <w:color w:val="auto"/>
        </w:rPr>
      </w:pPr>
      <w:r>
        <w:rPr>
          <w:rFonts w:ascii="Arial" w:cs="Arial" w:eastAsia="Arial" w:hAnsi="Arial"/>
          <w:sz w:val="17"/>
          <w:szCs w:val="17"/>
          <w:color w:val="auto"/>
        </w:rPr>
        <w:t>138,806 shares of our common stock reserved for future issuance under our 2017 Stock Incentive Plan, as amended, or 2017 Plan, as of December 31, 2019;</w:t>
      </w:r>
    </w:p>
    <w:p>
      <w:pPr>
        <w:spacing w:after="0" w:line="25" w:lineRule="exact"/>
        <w:rPr>
          <w:rFonts w:ascii="MS PGothic" w:cs="MS PGothic" w:eastAsia="MS PGothic" w:hAnsi="MS PGothic"/>
          <w:sz w:val="12"/>
          <w:szCs w:val="12"/>
          <w:color w:val="auto"/>
        </w:rPr>
      </w:pPr>
    </w:p>
    <w:p>
      <w:pPr>
        <w:ind w:left="1040" w:right="80" w:hanging="419"/>
        <w:spacing w:after="0" w:line="228" w:lineRule="auto"/>
        <w:tabs>
          <w:tab w:leader="none" w:pos="1820" w:val="left"/>
        </w:tabs>
        <w:numPr>
          <w:ilvl w:val="0"/>
          <w:numId w:val="11"/>
        </w:numPr>
        <w:rPr>
          <w:rFonts w:ascii="MS PGothic" w:cs="MS PGothic" w:eastAsia="MS PGothic" w:hAnsi="MS PGothic"/>
          <w:sz w:val="12"/>
          <w:szCs w:val="12"/>
          <w:color w:val="auto"/>
        </w:rPr>
      </w:pPr>
      <w:r>
        <w:rPr>
          <w:rFonts w:ascii="Arial" w:cs="Arial" w:eastAsia="Arial" w:hAnsi="Arial"/>
          <w:sz w:val="17"/>
          <w:szCs w:val="17"/>
          <w:color w:val="auto"/>
        </w:rPr>
        <w:t>shares of our common stock reserved for future issuance pursuant to our 2020 Equity Incentive Plan, or 2020 Plan, which will become effective upon the execution of the underwriting agreement related to this offering, as well as any shares underlying options outstanding under the 2017 Plan that expire or otherwise terminate prior to exercise after the effective date of the 2020 Plan and any shares reserved pursuant to provisions in our 2020 Plan that automatically increase the number of shares of common stock reserved for issuance under the 2020 Plan;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40"/>
          </w:cols>
          <w:pgMar w:left="320" w:top="448" w:right="5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1885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8859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40" w:hanging="419"/>
        <w:spacing w:after="0" w:line="271" w:lineRule="auto"/>
        <w:tabs>
          <w:tab w:leader="none" w:pos="1820" w:val="left"/>
        </w:tabs>
        <w:numPr>
          <w:ilvl w:val="0"/>
          <w:numId w:val="12"/>
        </w:numPr>
        <w:rPr>
          <w:rFonts w:ascii="MS PGothic" w:cs="MS PGothic" w:eastAsia="MS PGothic" w:hAnsi="MS PGothic"/>
          <w:sz w:val="11"/>
          <w:szCs w:val="11"/>
          <w:color w:val="auto"/>
        </w:rPr>
      </w:pPr>
      <w:r>
        <w:rPr>
          <w:rFonts w:ascii="Arial" w:cs="Arial" w:eastAsia="Arial" w:hAnsi="Arial"/>
          <w:sz w:val="15"/>
          <w:szCs w:val="15"/>
          <w:color w:val="auto"/>
        </w:rPr>
        <w:t>shares of our common stock reserved for future issuance under our 2020 Employee Stock Purchase Plan, or ESPP, which will become effective upon the execution of the underwriting agreement related to this offering, as well as any shares reserved pursuant to provisions in the ESPP that automatically increase the number of shares of common stock reserved for issuance under the ESPP.</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66" w:lineRule="exact"/>
        <w:rPr>
          <w:sz w:val="20"/>
          <w:szCs w:val="20"/>
          <w:color w:val="auto"/>
        </w:rPr>
      </w:pPr>
    </w:p>
    <w:p>
      <w:pPr>
        <w:ind w:left="620"/>
        <w:spacing w:after="0"/>
        <w:tabs>
          <w:tab w:leader="none" w:pos="1020" w:val="left"/>
          <w:tab w:leader="none" w:pos="24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7"/>
          <w:szCs w:val="17"/>
          <w:color w:val="auto"/>
        </w:rPr>
        <w:t>a one-for-</w:t>
      </w:r>
      <w:r>
        <w:rPr>
          <w:sz w:val="20"/>
          <w:szCs w:val="20"/>
          <w:color w:val="auto"/>
        </w:rPr>
        <w:tab/>
      </w:r>
      <w:r>
        <w:rPr>
          <w:rFonts w:ascii="Arial" w:cs="Arial" w:eastAsia="Arial" w:hAnsi="Arial"/>
          <w:sz w:val="15"/>
          <w:szCs w:val="15"/>
          <w:color w:val="auto"/>
        </w:rPr>
        <w:t>reverse stock split of our common stock to be effected prior to the closing of this offering;</w:t>
      </w:r>
    </w:p>
    <w:p>
      <w:pPr>
        <w:spacing w:after="0" w:line="44" w:lineRule="exact"/>
        <w:rPr>
          <w:sz w:val="20"/>
          <w:szCs w:val="20"/>
          <w:color w:val="auto"/>
        </w:rPr>
      </w:pPr>
    </w:p>
    <w:p>
      <w:pPr>
        <w:ind w:left="1040" w:right="240" w:hanging="419"/>
        <w:spacing w:after="0" w:line="233" w:lineRule="auto"/>
        <w:tabs>
          <w:tab w:leader="none" w:pos="104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the automatic conversion of all of our outstanding shares of convertible preferred stock into an aggregate of 14,227,004 shares of our common stock upon the closing of this offering;</w:t>
      </w:r>
    </w:p>
    <w:p>
      <w:pPr>
        <w:spacing w:after="0" w:line="25" w:lineRule="exact"/>
        <w:rPr>
          <w:rFonts w:ascii="MS PGothic" w:cs="MS PGothic" w:eastAsia="MS PGothic" w:hAnsi="MS PGothic"/>
          <w:sz w:val="12"/>
          <w:szCs w:val="12"/>
          <w:color w:val="auto"/>
        </w:rPr>
      </w:pPr>
    </w:p>
    <w:p>
      <w:pPr>
        <w:ind w:left="1040" w:right="120" w:hanging="419"/>
        <w:spacing w:after="0" w:line="233" w:lineRule="auto"/>
        <w:tabs>
          <w:tab w:leader="none" w:pos="104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the filing and effectiveness of our amended and restated certificate of incorporation in Delaware, which will occur in connection with the closing of this offering;</w:t>
      </w:r>
    </w:p>
    <w:p>
      <w:pPr>
        <w:spacing w:after="0" w:line="25" w:lineRule="exact"/>
        <w:rPr>
          <w:rFonts w:ascii="MS PGothic" w:cs="MS PGothic" w:eastAsia="MS PGothic" w:hAnsi="MS PGothic"/>
          <w:sz w:val="12"/>
          <w:szCs w:val="12"/>
          <w:color w:val="auto"/>
        </w:rPr>
      </w:pPr>
    </w:p>
    <w:p>
      <w:pPr>
        <w:ind w:left="1040" w:hanging="419"/>
        <w:spacing w:after="0"/>
        <w:tabs>
          <w:tab w:leader="none" w:pos="104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no exercise of the outstanding options referred to above after December 31, 2019; and</w:t>
      </w:r>
    </w:p>
    <w:p>
      <w:pPr>
        <w:spacing w:after="0" w:line="26" w:lineRule="exact"/>
        <w:rPr>
          <w:rFonts w:ascii="MS PGothic" w:cs="MS PGothic" w:eastAsia="MS PGothic" w:hAnsi="MS PGothic"/>
          <w:sz w:val="12"/>
          <w:szCs w:val="12"/>
          <w:color w:val="auto"/>
        </w:rPr>
      </w:pPr>
    </w:p>
    <w:p>
      <w:pPr>
        <w:ind w:left="1040" w:hanging="419"/>
        <w:spacing w:after="0"/>
        <w:tabs>
          <w:tab w:leader="none" w:pos="104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00"/>
          </w:cols>
          <w:pgMar w:left="320" w:top="448" w:right="5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508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55086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CONSOLIDATED FINANCIAL DATA</w:t>
      </w:r>
    </w:p>
    <w:p>
      <w:pPr>
        <w:spacing w:after="0" w:line="330" w:lineRule="exact"/>
        <w:rPr>
          <w:sz w:val="20"/>
          <w:szCs w:val="20"/>
          <w:color w:val="auto"/>
        </w:rPr>
      </w:pPr>
    </w:p>
    <w:p>
      <w:pPr>
        <w:ind w:left="180" w:right="220"/>
        <w:spacing w:after="0" w:line="226" w:lineRule="auto"/>
        <w:rPr>
          <w:sz w:val="20"/>
          <w:szCs w:val="20"/>
          <w:color w:val="auto"/>
        </w:rPr>
      </w:pPr>
      <w:r>
        <w:rPr>
          <w:rFonts w:ascii="Arial" w:cs="Arial" w:eastAsia="Arial" w:hAnsi="Arial"/>
          <w:sz w:val="17"/>
          <w:szCs w:val="17"/>
          <w:color w:val="auto"/>
        </w:rPr>
        <w:t>The following tables set forth our summary consolidated financial data. We derived the summary consolidated statement of operations data for the years ended December 31, 2018 and 2019 and the summary consolidated balance sheet data as of December 31, 2019 from our audited consolidated financial statements included elsewhere in this prospectus. When the registration statement of which this prospectus forms a part is declared effective, it will include consolidated financial statements as of and for the years ended December 31, 2018 and 2019. Pursuant to the applicable provisions of the Fixing America’s Surface Transportation Act, we are omitting our consolidated financial statements as of and for the year ended December 31, 2017 and nine months ended September 30, 2019 and 2018. While this financial information is otherwise required by Regulation S-X, we reasonably believe that it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pacing w:after="0" w:line="145" w:lineRule="exact"/>
        <w:rPr>
          <w:sz w:val="20"/>
          <w:szCs w:val="20"/>
          <w:color w:val="auto"/>
        </w:rPr>
      </w:pPr>
    </w:p>
    <w:p>
      <w:pPr>
        <w:ind w:left="180" w:right="260"/>
        <w:spacing w:after="0" w:line="228" w:lineRule="auto"/>
        <w:rPr>
          <w:sz w:val="20"/>
          <w:szCs w:val="20"/>
          <w:color w:val="auto"/>
        </w:rPr>
      </w:pPr>
      <w:r>
        <w:rPr>
          <w:rFonts w:ascii="Arial" w:cs="Arial" w:eastAsia="Arial" w:hAnsi="Arial"/>
          <w:sz w:val="17"/>
          <w:szCs w:val="17"/>
          <w:color w:val="auto"/>
        </w:rPr>
        <w:t>When you read this summary consolidated financial data, it is important that you read it together with the historical consolidated financial statements and related notes to those statements, as well as the sections of this prospectus titled “Selected Consolidated Financial Data” and “Management’s Discussion and Analysis of Financial Condition and Results of Operations.” Our historical results are not necessarily indicative of the results to be expected in any future period.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gridSpan w:val="4"/>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vMerge w:val="restart"/>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80" w:type="dxa"/>
            <w:vAlign w:val="bottom"/>
            <w:gridSpan w:val="3"/>
          </w:tcPr>
          <w:p>
            <w:pPr>
              <w:jc w:val="right"/>
              <w:ind w:right="220"/>
              <w:spacing w:after="0" w:line="150" w:lineRule="exact"/>
              <w:rPr>
                <w:sz w:val="20"/>
                <w:szCs w:val="20"/>
                <w:color w:val="auto"/>
              </w:rPr>
            </w:pPr>
            <w:r>
              <w:rPr>
                <w:rFonts w:ascii="Arial" w:cs="Arial" w:eastAsia="Arial" w:hAnsi="Arial"/>
                <w:sz w:val="14"/>
                <w:szCs w:val="14"/>
                <w:b w:val="1"/>
                <w:bCs w:val="1"/>
                <w:color w:val="auto"/>
              </w:rPr>
              <w:t>(in thousands, expect share and per-share data)</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Consolidated Statement of Operations Data:</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tcPr>
          <w:p>
            <w:pPr>
              <w:ind w:left="20"/>
              <w:spacing w:after="0" w:line="183" w:lineRule="exact"/>
              <w:rPr>
                <w:sz w:val="20"/>
                <w:szCs w:val="20"/>
                <w:color w:val="auto"/>
              </w:rPr>
            </w:pPr>
            <w:r>
              <w:rPr>
                <w:rFonts w:ascii="Arial" w:cs="Arial" w:eastAsia="Arial" w:hAnsi="Arial"/>
                <w:sz w:val="17"/>
                <w:szCs w:val="17"/>
                <w:color w:val="auto"/>
              </w:rPr>
              <w:t>Revenue:</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Research collaboration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760"/>
              <w:spacing w:after="0" w:line="183" w:lineRule="exact"/>
              <w:rPr>
                <w:sz w:val="20"/>
                <w:szCs w:val="20"/>
                <w:color w:val="auto"/>
              </w:rPr>
            </w:pPr>
            <w:r>
              <w:rPr>
                <w:rFonts w:ascii="Arial" w:cs="Arial" w:eastAsia="Arial" w:hAnsi="Arial"/>
                <w:sz w:val="17"/>
                <w:szCs w:val="17"/>
                <w:color w:val="auto"/>
              </w:rPr>
              <w:t>10,000</w:t>
            </w:r>
          </w:p>
        </w:tc>
        <w:tc>
          <w:tcPr>
            <w:tcW w:w="1540" w:type="dxa"/>
            <w:vAlign w:val="bottom"/>
            <w:shd w:val="clear" w:color="auto" w:fill="CCEEFF"/>
          </w:tcPr>
          <w:p>
            <w:pPr>
              <w:jc w:val="right"/>
              <w:ind w:right="1360"/>
              <w:spacing w:after="0" w:line="183" w:lineRule="exact"/>
              <w:rPr>
                <w:sz w:val="20"/>
                <w:szCs w:val="20"/>
                <w:color w:val="auto"/>
              </w:rPr>
            </w:pPr>
            <w:r>
              <w:rPr>
                <w:rFonts w:ascii="Arial" w:cs="Arial" w:eastAsia="Arial" w:hAnsi="Arial"/>
                <w:sz w:val="17"/>
                <w:szCs w:val="17"/>
                <w:color w:val="auto"/>
                <w:w w:val="84"/>
              </w:rPr>
              <w:t>$</w:t>
            </w: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vMerge w:val="restart"/>
          </w:tcPr>
          <w:p>
            <w:pPr>
              <w:ind w:left="50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10,000</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tcPr>
          <w:p>
            <w:pPr>
              <w:ind w:left="260"/>
              <w:spacing w:after="0" w:line="183" w:lineRule="exact"/>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5"/>
                <w:szCs w:val="15"/>
                <w:color w:val="auto"/>
              </w:rPr>
            </w:pPr>
          </w:p>
        </w:tc>
        <w:tc>
          <w:tcPr>
            <w:tcW w:w="2040" w:type="dxa"/>
            <w:vAlign w:val="bottom"/>
            <w:gridSpan w:val="2"/>
          </w:tcPr>
          <w:p>
            <w:pPr>
              <w:jc w:val="right"/>
              <w:ind w:right="720"/>
              <w:spacing w:after="0" w:line="183" w:lineRule="exact"/>
              <w:rPr>
                <w:sz w:val="20"/>
                <w:szCs w:val="20"/>
                <w:color w:val="auto"/>
              </w:rPr>
            </w:pPr>
            <w:r>
              <w:rPr>
                <w:rFonts w:ascii="Arial" w:cs="Arial" w:eastAsia="Arial" w:hAnsi="Arial"/>
                <w:sz w:val="17"/>
                <w:szCs w:val="17"/>
                <w:color w:val="auto"/>
              </w:rPr>
              <w:t>(10,111)</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720"/>
              <w:spacing w:after="0" w:line="183" w:lineRule="exact"/>
              <w:rPr>
                <w:sz w:val="20"/>
                <w:szCs w:val="20"/>
                <w:color w:val="auto"/>
              </w:rPr>
            </w:pPr>
            <w:r>
              <w:rPr>
                <w:rFonts w:ascii="Arial" w:cs="Arial" w:eastAsia="Arial" w:hAnsi="Arial"/>
                <w:sz w:val="17"/>
                <w:szCs w:val="17"/>
                <w:color w:val="auto"/>
              </w:rPr>
              <w:t>(1,580)</w:t>
            </w: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vMerge w:val="restart"/>
          </w:tcPr>
          <w:p>
            <w:pPr>
              <w:ind w:left="50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(11,691)</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720"/>
              <w:spacing w:after="0" w:line="183" w:lineRule="exact"/>
              <w:rPr>
                <w:sz w:val="20"/>
                <w:szCs w:val="20"/>
                <w:color w:val="auto"/>
              </w:rPr>
            </w:pPr>
            <w:r>
              <w:rPr>
                <w:rFonts w:ascii="Arial" w:cs="Arial" w:eastAsia="Arial" w:hAnsi="Arial"/>
                <w:sz w:val="17"/>
                <w:szCs w:val="17"/>
                <w:color w:val="auto"/>
              </w:rPr>
              <w:t>(1,691)</w:t>
            </w: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7040" w:type="dxa"/>
            <w:vAlign w:val="bottom"/>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Interest income, net</w:t>
            </w:r>
          </w:p>
        </w:tc>
        <w:tc>
          <w:tcPr>
            <w:tcW w:w="2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760"/>
              <w:spacing w:after="0" w:line="183" w:lineRule="exact"/>
              <w:rPr>
                <w:sz w:val="20"/>
                <w:szCs w:val="20"/>
                <w:color w:val="auto"/>
              </w:rPr>
            </w:pPr>
            <w:r>
              <w:rPr>
                <w:rFonts w:ascii="Arial" w:cs="Arial" w:eastAsia="Arial" w:hAnsi="Arial"/>
                <w:sz w:val="17"/>
                <w:szCs w:val="17"/>
                <w:color w:val="auto"/>
              </w:rPr>
              <w:t>6</w:t>
            </w: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tcPr>
          <w:p>
            <w:pPr>
              <w:ind w:left="260"/>
              <w:spacing w:after="0" w:line="183" w:lineRule="exact"/>
              <w:rPr>
                <w:sz w:val="20"/>
                <w:szCs w:val="20"/>
                <w:color w:val="auto"/>
              </w:rPr>
            </w:pPr>
            <w:r>
              <w:rPr>
                <w:rFonts w:ascii="Arial" w:cs="Arial" w:eastAsia="Arial" w:hAnsi="Arial"/>
                <w:sz w:val="17"/>
                <w:szCs w:val="17"/>
                <w:color w:val="auto"/>
              </w:rPr>
              <w:t>Research and development incentive income</w:t>
            </w:r>
          </w:p>
        </w:tc>
        <w:tc>
          <w:tcPr>
            <w:tcW w:w="200" w:type="dxa"/>
            <w:vAlign w:val="bottom"/>
          </w:tcPr>
          <w:p>
            <w:pPr>
              <w:spacing w:after="0"/>
              <w:rPr>
                <w:sz w:val="15"/>
                <w:szCs w:val="15"/>
                <w:color w:val="auto"/>
              </w:rPr>
            </w:pPr>
          </w:p>
        </w:tc>
        <w:tc>
          <w:tcPr>
            <w:tcW w:w="2040" w:type="dxa"/>
            <w:vAlign w:val="bottom"/>
            <w:gridSpan w:val="2"/>
          </w:tcPr>
          <w:p>
            <w:pPr>
              <w:jc w:val="right"/>
              <w:ind w:right="760"/>
              <w:spacing w:after="0" w:line="183" w:lineRule="exact"/>
              <w:rPr>
                <w:sz w:val="20"/>
                <w:szCs w:val="20"/>
                <w:color w:val="auto"/>
              </w:rPr>
            </w:pPr>
            <w:r>
              <w:rPr>
                <w:rFonts w:ascii="Arial" w:cs="Arial" w:eastAsia="Arial" w:hAnsi="Arial"/>
                <w:sz w:val="17"/>
                <w:szCs w:val="17"/>
                <w:color w:val="auto"/>
              </w:rPr>
              <w:t>370</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Other income, net</w:t>
            </w:r>
          </w:p>
        </w:tc>
        <w:tc>
          <w:tcPr>
            <w:tcW w:w="2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760"/>
              <w:spacing w:after="0" w:line="183" w:lineRule="exact"/>
              <w:rPr>
                <w:sz w:val="20"/>
                <w:szCs w:val="20"/>
                <w:color w:val="auto"/>
              </w:rPr>
            </w:pPr>
            <w:r>
              <w:rPr>
                <w:rFonts w:ascii="Arial" w:cs="Arial" w:eastAsia="Arial" w:hAnsi="Arial"/>
                <w:sz w:val="17"/>
                <w:szCs w:val="17"/>
                <w:color w:val="auto"/>
              </w:rPr>
              <w:t>237</w:t>
            </w: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vMerge w:val="restart"/>
          </w:tcPr>
          <w:p>
            <w:pPr>
              <w:ind w:left="500"/>
              <w:spacing w:after="0"/>
              <w:rPr>
                <w:sz w:val="20"/>
                <w:szCs w:val="20"/>
                <w:color w:val="auto"/>
              </w:rPr>
            </w:pPr>
            <w:r>
              <w:rPr>
                <w:rFonts w:ascii="Arial" w:cs="Arial" w:eastAsia="Arial" w:hAnsi="Arial"/>
                <w:sz w:val="17"/>
                <w:szCs w:val="17"/>
                <w:color w:val="auto"/>
              </w:rPr>
              <w:t>Total other income, net</w:t>
            </w: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613</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Loss before income taxes</w:t>
            </w:r>
          </w:p>
        </w:tc>
        <w:tc>
          <w:tcPr>
            <w:tcW w:w="2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720"/>
              <w:spacing w:after="0" w:line="183" w:lineRule="exact"/>
              <w:rPr>
                <w:sz w:val="20"/>
                <w:szCs w:val="20"/>
                <w:color w:val="auto"/>
              </w:rPr>
            </w:pPr>
            <w:r>
              <w:rPr>
                <w:rFonts w:ascii="Arial" w:cs="Arial" w:eastAsia="Arial" w:hAnsi="Arial"/>
                <w:sz w:val="17"/>
                <w:szCs w:val="17"/>
                <w:color w:val="auto"/>
              </w:rPr>
              <w:t>(1,078)</w:t>
            </w:r>
          </w:p>
        </w:tc>
        <w:tc>
          <w:tcPr>
            <w:tcW w:w="154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tcPr>
          <w:p>
            <w:pPr>
              <w:ind w:left="260"/>
              <w:spacing w:after="0" w:line="183" w:lineRule="exact"/>
              <w:rPr>
                <w:sz w:val="20"/>
                <w:szCs w:val="20"/>
                <w:color w:val="auto"/>
              </w:rPr>
            </w:pPr>
            <w:r>
              <w:rPr>
                <w:rFonts w:ascii="Arial" w:cs="Arial" w:eastAsia="Arial" w:hAnsi="Arial"/>
                <w:sz w:val="17"/>
                <w:szCs w:val="17"/>
                <w:color w:val="auto"/>
              </w:rPr>
              <w:t>Income tax provision</w:t>
            </w:r>
          </w:p>
        </w:tc>
        <w:tc>
          <w:tcPr>
            <w:tcW w:w="200" w:type="dxa"/>
            <w:vAlign w:val="bottom"/>
          </w:tcPr>
          <w:p>
            <w:pPr>
              <w:spacing w:after="0"/>
              <w:rPr>
                <w:sz w:val="15"/>
                <w:szCs w:val="15"/>
                <w:color w:val="auto"/>
              </w:rPr>
            </w:pPr>
          </w:p>
        </w:tc>
        <w:tc>
          <w:tcPr>
            <w:tcW w:w="2040" w:type="dxa"/>
            <w:vAlign w:val="bottom"/>
            <w:gridSpan w:val="2"/>
          </w:tcPr>
          <w:p>
            <w:pPr>
              <w:jc w:val="right"/>
              <w:ind w:right="720"/>
              <w:spacing w:after="0" w:line="183" w:lineRule="exact"/>
              <w:rPr>
                <w:sz w:val="20"/>
                <w:szCs w:val="20"/>
                <w:color w:val="auto"/>
              </w:rPr>
            </w:pPr>
            <w:r>
              <w:rPr>
                <w:rFonts w:ascii="Arial" w:cs="Arial" w:eastAsia="Arial" w:hAnsi="Arial"/>
                <w:sz w:val="17"/>
                <w:szCs w:val="17"/>
                <w:color w:val="auto"/>
              </w:rPr>
              <w:t>(257)</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720"/>
              <w:spacing w:after="0" w:line="183" w:lineRule="exact"/>
              <w:rPr>
                <w:sz w:val="20"/>
                <w:szCs w:val="20"/>
                <w:color w:val="auto"/>
              </w:rPr>
            </w:pPr>
            <w:r>
              <w:rPr>
                <w:rFonts w:ascii="Arial" w:cs="Arial" w:eastAsia="Arial" w:hAnsi="Arial"/>
                <w:sz w:val="17"/>
                <w:szCs w:val="17"/>
                <w:color w:val="auto"/>
              </w:rPr>
              <w:t>(1,335)</w:t>
            </w:r>
          </w:p>
        </w:tc>
        <w:tc>
          <w:tcPr>
            <w:tcW w:w="1540" w:type="dxa"/>
            <w:vAlign w:val="bottom"/>
            <w:shd w:val="clear" w:color="auto" w:fill="CCEEFF"/>
          </w:tcPr>
          <w:p>
            <w:pPr>
              <w:jc w:val="right"/>
              <w:ind w:right="1360"/>
              <w:spacing w:after="0" w:line="183" w:lineRule="exact"/>
              <w:rPr>
                <w:sz w:val="20"/>
                <w:szCs w:val="20"/>
                <w:color w:val="auto"/>
              </w:rPr>
            </w:pPr>
            <w:r>
              <w:rPr>
                <w:rFonts w:ascii="Arial" w:cs="Arial" w:eastAsia="Arial" w:hAnsi="Arial"/>
                <w:sz w:val="17"/>
                <w:szCs w:val="17"/>
                <w:color w:val="auto"/>
                <w:w w:val="84"/>
              </w:rPr>
              <w:t>$</w:t>
            </w: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loss attributable to common stockholders—basic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040" w:type="dxa"/>
            <w:vAlign w:val="bottom"/>
            <w:vMerge w:val="continue"/>
          </w:tcPr>
          <w:p>
            <w:pPr>
              <w:spacing w:after="0"/>
              <w:rPr>
                <w:sz w:val="15"/>
                <w:szCs w:val="15"/>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720"/>
              <w:spacing w:after="0" w:line="175" w:lineRule="exact"/>
              <w:rPr>
                <w:sz w:val="20"/>
                <w:szCs w:val="20"/>
                <w:color w:val="auto"/>
              </w:rPr>
            </w:pPr>
            <w:r>
              <w:rPr>
                <w:rFonts w:ascii="Arial" w:cs="Arial" w:eastAsia="Arial" w:hAnsi="Arial"/>
                <w:sz w:val="17"/>
                <w:szCs w:val="17"/>
                <w:color w:val="auto"/>
              </w:rPr>
              <w:t>(2,346)</w:t>
            </w:r>
          </w:p>
        </w:tc>
        <w:tc>
          <w:tcPr>
            <w:tcW w:w="1540" w:type="dxa"/>
            <w:vAlign w:val="bottom"/>
          </w:tcPr>
          <w:p>
            <w:pPr>
              <w:jc w:val="right"/>
              <w:ind w:right="1360"/>
              <w:spacing w:after="0" w:line="175" w:lineRule="exact"/>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04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720"/>
              <w:spacing w:after="0" w:line="175" w:lineRule="exact"/>
              <w:rPr>
                <w:sz w:val="20"/>
                <w:szCs w:val="20"/>
                <w:color w:val="auto"/>
              </w:rPr>
            </w:pPr>
            <w:r>
              <w:rPr>
                <w:rFonts w:ascii="Arial" w:cs="Arial" w:eastAsia="Arial" w:hAnsi="Arial"/>
                <w:sz w:val="17"/>
                <w:szCs w:val="17"/>
                <w:color w:val="auto"/>
              </w:rPr>
              <w:t>(0.50)</w:t>
            </w:r>
          </w:p>
        </w:tc>
        <w:tc>
          <w:tcPr>
            <w:tcW w:w="1540" w:type="dxa"/>
            <w:vAlign w:val="bottom"/>
            <w:shd w:val="clear" w:color="auto" w:fill="CCEEFF"/>
          </w:tcPr>
          <w:p>
            <w:pPr>
              <w:jc w:val="right"/>
              <w:ind w:right="1360"/>
              <w:spacing w:after="0" w:line="175" w:lineRule="exact"/>
              <w:rPr>
                <w:sz w:val="20"/>
                <w:szCs w:val="20"/>
                <w:color w:val="auto"/>
              </w:rPr>
            </w:pPr>
            <w:r>
              <w:rPr>
                <w:rFonts w:ascii="Arial" w:cs="Arial" w:eastAsia="Arial" w:hAnsi="Arial"/>
                <w:sz w:val="17"/>
                <w:szCs w:val="17"/>
                <w:color w:val="auto"/>
                <w:w w:val="84"/>
              </w:rPr>
              <w:t>$</w:t>
            </w: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Weighted average common stock outstanding—basic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7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2"/>
          </w:tcPr>
          <w:p>
            <w:pPr>
              <w:jc w:val="right"/>
              <w:ind w:right="760"/>
              <w:spacing w:after="0" w:line="175" w:lineRule="exact"/>
              <w:rPr>
                <w:sz w:val="20"/>
                <w:szCs w:val="20"/>
                <w:color w:val="auto"/>
              </w:rPr>
            </w:pPr>
            <w:r>
              <w:rPr>
                <w:rFonts w:ascii="Arial" w:cs="Arial" w:eastAsia="Arial" w:hAnsi="Arial"/>
                <w:sz w:val="17"/>
                <w:szCs w:val="17"/>
                <w:color w:val="auto"/>
              </w:rPr>
              <w:t>4,719,371</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5"/>
        </w:trPr>
        <w:tc>
          <w:tcPr>
            <w:tcW w:w="7220" w:type="dxa"/>
            <w:vAlign w:val="bottom"/>
            <w:gridSpan w:val="2"/>
          </w:tcPr>
          <w:p>
            <w:pPr>
              <w:jc w:val="right"/>
              <w:ind w:right="1477"/>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7141210" cy="5607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56076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80" w:type="dxa"/>
        <w:tblCellMar>
          <w:top w:w="0" w:type="dxa"/>
          <w:left w:w="0" w:type="dxa"/>
          <w:bottom w:w="0" w:type="dxa"/>
          <w:right w:w="0" w:type="dxa"/>
        </w:tblCellMar>
      </w:tblPr>
      <w:tr>
        <w:trPr>
          <w:trHeight w:val="168"/>
        </w:trPr>
        <w:tc>
          <w:tcPr>
            <w:tcW w:w="6840" w:type="dxa"/>
            <w:vAlign w:val="bottom"/>
          </w:tcPr>
          <w:p>
            <w:pPr>
              <w:spacing w:after="0"/>
              <w:rPr>
                <w:sz w:val="14"/>
                <w:szCs w:val="14"/>
                <w:color w:val="auto"/>
              </w:rPr>
            </w:pPr>
          </w:p>
        </w:tc>
        <w:tc>
          <w:tcPr>
            <w:tcW w:w="4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40" w:type="dxa"/>
            <w:vAlign w:val="bottom"/>
          </w:tcPr>
          <w:p>
            <w:pPr>
              <w:spacing w:after="0"/>
              <w:rPr>
                <w:sz w:val="12"/>
                <w:szCs w:val="12"/>
                <w:color w:val="auto"/>
              </w:rPr>
            </w:pPr>
          </w:p>
        </w:tc>
        <w:tc>
          <w:tcPr>
            <w:tcW w:w="2340" w:type="dxa"/>
            <w:vAlign w:val="bottom"/>
            <w:tcBorders>
              <w:top w:val="single" w:sz="8" w:color="auto"/>
            </w:tcBorders>
          </w:tcPr>
          <w:p>
            <w:pPr>
              <w:jc w:val="right"/>
              <w:ind w:right="1308"/>
              <w:spacing w:after="0" w:line="139" w:lineRule="exact"/>
              <w:rPr>
                <w:sz w:val="20"/>
                <w:szCs w:val="20"/>
                <w:color w:val="auto"/>
              </w:rPr>
            </w:pPr>
            <w:r>
              <w:rPr>
                <w:rFonts w:ascii="Arial" w:cs="Arial" w:eastAsia="Arial" w:hAnsi="Arial"/>
                <w:sz w:val="14"/>
                <w:szCs w:val="14"/>
                <w:b w:val="1"/>
                <w:bCs w:val="1"/>
                <w:color w:val="auto"/>
              </w:rPr>
              <w:t>2018</w:t>
            </w:r>
          </w:p>
        </w:tc>
        <w:tc>
          <w:tcPr>
            <w:tcW w:w="1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40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40" w:type="dxa"/>
            <w:vAlign w:val="bottom"/>
          </w:tcPr>
          <w:p>
            <w:pPr>
              <w:spacing w:after="0"/>
              <w:rPr>
                <w:sz w:val="13"/>
                <w:szCs w:val="13"/>
                <w:color w:val="auto"/>
              </w:rPr>
            </w:pPr>
          </w:p>
        </w:tc>
        <w:tc>
          <w:tcPr>
            <w:tcW w:w="4020" w:type="dxa"/>
            <w:vAlign w:val="bottom"/>
            <w:gridSpan w:val="2"/>
          </w:tcPr>
          <w:p>
            <w:pPr>
              <w:jc w:val="center"/>
              <w:ind w:right="40"/>
              <w:spacing w:after="0" w:line="150" w:lineRule="exact"/>
              <w:rPr>
                <w:sz w:val="20"/>
                <w:szCs w:val="20"/>
                <w:color w:val="auto"/>
              </w:rPr>
            </w:pPr>
            <w:r>
              <w:rPr>
                <w:rFonts w:ascii="Arial" w:cs="Arial" w:eastAsia="Arial" w:hAnsi="Arial"/>
                <w:sz w:val="14"/>
                <w:szCs w:val="14"/>
                <w:b w:val="1"/>
                <w:bCs w:val="1"/>
                <w:color w:val="auto"/>
                <w:w w:val="99"/>
              </w:rPr>
              <w:t>(in thousands, expect share and per-share data)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84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color w:val="auto"/>
              </w:rPr>
              <w:t>Pro forma net loss per share attributable to common stockholders—basic and</w:t>
            </w:r>
          </w:p>
        </w:tc>
        <w:tc>
          <w:tcPr>
            <w:tcW w:w="2340" w:type="dxa"/>
            <w:vAlign w:val="bottom"/>
            <w:shd w:val="clear" w:color="auto" w:fill="CCEEFF"/>
          </w:tcPr>
          <w:p>
            <w:pPr>
              <w:spacing w:after="0"/>
              <w:rPr>
                <w:sz w:val="15"/>
                <w:szCs w:val="15"/>
                <w:color w:val="auto"/>
              </w:rPr>
            </w:pPr>
          </w:p>
        </w:tc>
        <w:tc>
          <w:tcPr>
            <w:tcW w:w="16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diluted</w:t>
            </w:r>
            <w:r>
              <w:rPr>
                <w:rFonts w:ascii="Arial" w:cs="Arial" w:eastAsia="Arial" w:hAnsi="Arial"/>
                <w:sz w:val="14"/>
                <w:szCs w:val="14"/>
                <w:color w:val="auto"/>
              </w:rPr>
              <w:t>(1)</w:t>
            </w:r>
          </w:p>
        </w:tc>
        <w:tc>
          <w:tcPr>
            <w:tcW w:w="4020" w:type="dxa"/>
            <w:vAlign w:val="bottom"/>
            <w:tcBorders>
              <w:right w:val="single" w:sz="8" w:color="CCEEFF"/>
            </w:tcBorders>
            <w:gridSpan w:val="2"/>
            <w:shd w:val="clear" w:color="auto" w:fill="CCEEFF"/>
          </w:tcPr>
          <w:p>
            <w:pPr>
              <w:jc w:val="right"/>
              <w:ind w:right="15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Pro forma weighted average common stock outstanding—basic and diluted</w:t>
            </w:r>
            <w:r>
              <w:rPr>
                <w:rFonts w:ascii="Arial" w:cs="Arial" w:eastAsia="Arial" w:hAnsi="Arial"/>
                <w:sz w:val="14"/>
                <w:szCs w:val="14"/>
                <w:color w:val="auto"/>
              </w:rPr>
              <w:t>(1)</w:t>
            </w:r>
          </w:p>
        </w:tc>
        <w:tc>
          <w:tcPr>
            <w:tcW w:w="2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4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00" w:right="20" w:hanging="279"/>
        <w:spacing w:after="0" w:line="188" w:lineRule="auto"/>
        <w:tabs>
          <w:tab w:leader="none" w:pos="58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3"/>
          <w:szCs w:val="13"/>
          <w:color w:val="auto"/>
        </w:rPr>
        <w:t>See Note to our consolidated financial statements appearing at the end of this prospectus for further details on the calculation of basic and diluted net loss per share attributable to common stockholders.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our consolidated summary balance sheet data:</w:t>
      </w:r>
    </w:p>
    <w:p>
      <w:pPr>
        <w:spacing w:after="0" w:line="183" w:lineRule="exact"/>
        <w:rPr>
          <w:sz w:val="20"/>
          <w:szCs w:val="20"/>
          <w:color w:val="auto"/>
        </w:rPr>
      </w:pPr>
    </w:p>
    <w:p>
      <w:pPr>
        <w:ind w:left="1040" w:hanging="419"/>
        <w:spacing w:after="0"/>
        <w:tabs>
          <w:tab w:leader="none" w:pos="104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on an actual basis as of December 31, 2019;</w:t>
      </w:r>
    </w:p>
    <w:p>
      <w:pPr>
        <w:spacing w:after="0" w:line="26" w:lineRule="exact"/>
        <w:rPr>
          <w:rFonts w:ascii="MS PGothic" w:cs="MS PGothic" w:eastAsia="MS PGothic" w:hAnsi="MS PGothic"/>
          <w:sz w:val="12"/>
          <w:szCs w:val="12"/>
          <w:color w:val="auto"/>
        </w:rPr>
      </w:pPr>
    </w:p>
    <w:p>
      <w:pPr>
        <w:ind w:left="1040" w:right="540" w:hanging="419"/>
        <w:spacing w:after="0" w:line="233" w:lineRule="auto"/>
        <w:tabs>
          <w:tab w:leader="none" w:pos="104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on a pro forma basis to give effect to the automatic conversion of all then outstanding shares of convertible preferred stock into an aggregate of 14,227,004 shares of our common stock upon the closing of this offering; and</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68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5460" w:type="dxa"/>
            <w:vAlign w:val="bottom"/>
            <w:gridSpan w:val="2"/>
          </w:tcPr>
          <w:p>
            <w:pPr>
              <w:ind w:left="180"/>
              <w:spacing w:after="0"/>
              <w:rPr>
                <w:sz w:val="20"/>
                <w:szCs w:val="20"/>
                <w:color w:val="auto"/>
              </w:rPr>
            </w:pPr>
            <w:r>
              <w:rPr>
                <w:rFonts w:ascii="Arial" w:cs="Arial" w:eastAsia="Arial" w:hAnsi="Arial"/>
                <w:sz w:val="17"/>
                <w:szCs w:val="17"/>
                <w:color w:val="auto"/>
              </w:rPr>
              <w:t>on a pro forma as adjusted basis to give further effect to our sale of</w:t>
            </w:r>
          </w:p>
        </w:tc>
        <w:tc>
          <w:tcPr>
            <w:tcW w:w="4740" w:type="dxa"/>
            <w:vAlign w:val="bottom"/>
            <w:gridSpan w:val="5"/>
          </w:tcPr>
          <w:p>
            <w:pPr>
              <w:ind w:left="400"/>
              <w:spacing w:after="0"/>
              <w:rPr>
                <w:sz w:val="20"/>
                <w:szCs w:val="20"/>
                <w:color w:val="auto"/>
              </w:rPr>
            </w:pPr>
            <w:r>
              <w:rPr>
                <w:rFonts w:ascii="Arial" w:cs="Arial" w:eastAsia="Arial" w:hAnsi="Arial"/>
                <w:sz w:val="17"/>
                <w:szCs w:val="17"/>
                <w:color w:val="auto"/>
                <w:w w:val="98"/>
              </w:rPr>
              <w:t>shares of our common stock in this offering at an assumed</w:t>
            </w:r>
          </w:p>
        </w:tc>
      </w:tr>
      <w:tr>
        <w:trPr>
          <w:trHeight w:val="183"/>
        </w:trPr>
        <w:tc>
          <w:tcPr>
            <w:tcW w:w="680" w:type="dxa"/>
            <w:vAlign w:val="bottom"/>
          </w:tcPr>
          <w:p>
            <w:pPr>
              <w:spacing w:after="0"/>
              <w:rPr>
                <w:sz w:val="15"/>
                <w:szCs w:val="15"/>
                <w:color w:val="auto"/>
              </w:rPr>
            </w:pPr>
          </w:p>
        </w:tc>
        <w:tc>
          <w:tcPr>
            <w:tcW w:w="2540" w:type="dxa"/>
            <w:vAlign w:val="bottom"/>
          </w:tcPr>
          <w:p>
            <w:pPr>
              <w:ind w:left="180"/>
              <w:spacing w:after="0" w:line="183" w:lineRule="exact"/>
              <w:rPr>
                <w:sz w:val="20"/>
                <w:szCs w:val="20"/>
                <w:color w:val="auto"/>
              </w:rPr>
            </w:pPr>
            <w:r>
              <w:rPr>
                <w:rFonts w:ascii="Arial" w:cs="Arial" w:eastAsia="Arial" w:hAnsi="Arial"/>
                <w:sz w:val="17"/>
                <w:szCs w:val="17"/>
                <w:color w:val="auto"/>
              </w:rPr>
              <w:t>initial public offering price of $</w:t>
            </w:r>
          </w:p>
        </w:tc>
        <w:tc>
          <w:tcPr>
            <w:tcW w:w="7660" w:type="dxa"/>
            <w:vAlign w:val="bottom"/>
            <w:gridSpan w:val="6"/>
          </w:tcPr>
          <w:p>
            <w:pPr>
              <w:ind w:left="180"/>
              <w:spacing w:after="0" w:line="183" w:lineRule="exact"/>
              <w:rPr>
                <w:sz w:val="20"/>
                <w:szCs w:val="20"/>
                <w:color w:val="auto"/>
              </w:rPr>
            </w:pPr>
            <w:r>
              <w:rPr>
                <w:rFonts w:ascii="Arial" w:cs="Arial" w:eastAsia="Arial" w:hAnsi="Arial"/>
                <w:sz w:val="17"/>
                <w:szCs w:val="17"/>
                <w:color w:val="auto"/>
                <w:w w:val="97"/>
              </w:rPr>
              <w:t>per share, which is the midpoint of the price range set forth on the cover page of this prospectus, after</w:t>
            </w:r>
          </w:p>
        </w:tc>
      </w:tr>
      <w:tr>
        <w:trPr>
          <w:trHeight w:val="198"/>
        </w:trPr>
        <w:tc>
          <w:tcPr>
            <w:tcW w:w="680" w:type="dxa"/>
            <w:vAlign w:val="bottom"/>
          </w:tcPr>
          <w:p>
            <w:pPr>
              <w:spacing w:after="0"/>
              <w:rPr>
                <w:sz w:val="17"/>
                <w:szCs w:val="17"/>
                <w:color w:val="auto"/>
              </w:rPr>
            </w:pPr>
          </w:p>
        </w:tc>
        <w:tc>
          <w:tcPr>
            <w:tcW w:w="8800" w:type="dxa"/>
            <w:vAlign w:val="bottom"/>
            <w:gridSpan w:val="5"/>
          </w:tcPr>
          <w:p>
            <w:pPr>
              <w:ind w:left="180"/>
              <w:spacing w:after="0"/>
              <w:rPr>
                <w:sz w:val="20"/>
                <w:szCs w:val="20"/>
                <w:color w:val="auto"/>
              </w:rPr>
            </w:pPr>
            <w:r>
              <w:rPr>
                <w:rFonts w:ascii="Arial" w:cs="Arial" w:eastAsia="Arial" w:hAnsi="Arial"/>
                <w:sz w:val="17"/>
                <w:szCs w:val="17"/>
                <w:color w:val="auto"/>
              </w:rPr>
              <w:t>deducting estimated underwriting discounts and commissions and estimated offering expenses payable by us.</w:t>
            </w: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6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385"/>
        </w:trPr>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0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9"/>
              </w:rPr>
              <w:t>AS OF DECEMBER 31, 2019</w:t>
            </w:r>
          </w:p>
        </w:tc>
      </w:tr>
      <w:tr>
        <w:trPr>
          <w:trHeight w:val="138"/>
        </w:trPr>
        <w:tc>
          <w:tcPr>
            <w:tcW w:w="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left="66"/>
              <w:spacing w:after="0" w:line="139" w:lineRule="exact"/>
              <w:rPr>
                <w:sz w:val="20"/>
                <w:szCs w:val="20"/>
                <w:color w:val="auto"/>
              </w:rPr>
            </w:pPr>
            <w:r>
              <w:rPr>
                <w:rFonts w:ascii="Arial" w:cs="Arial" w:eastAsia="Arial" w:hAnsi="Arial"/>
                <w:sz w:val="14"/>
                <w:szCs w:val="14"/>
                <w:b w:val="1"/>
                <w:bCs w:val="1"/>
                <w:color w:val="auto"/>
                <w:w w:val="99"/>
              </w:rPr>
              <w:t>PRO FORMA AS</w:t>
            </w:r>
          </w:p>
        </w:tc>
        <w:tc>
          <w:tcPr>
            <w:tcW w:w="20" w:type="dxa"/>
            <w:vAlign w:val="bottom"/>
          </w:tcPr>
          <w:p>
            <w:pPr>
              <w:spacing w:after="0"/>
              <w:rPr>
                <w:sz w:val="12"/>
                <w:szCs w:val="12"/>
                <w:color w:val="auto"/>
              </w:rPr>
            </w:pPr>
          </w:p>
        </w:tc>
      </w:tr>
      <w:tr>
        <w:trPr>
          <w:trHeight w:val="168"/>
        </w:trPr>
        <w:tc>
          <w:tcPr>
            <w:tcW w:w="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b w:val="1"/>
                <w:bCs w:val="1"/>
                <w:color w:val="auto"/>
              </w:rPr>
              <w:t>ACTUAL</w:t>
            </w:r>
          </w:p>
        </w:tc>
        <w:tc>
          <w:tcPr>
            <w:tcW w:w="1700" w:type="dxa"/>
            <w:vAlign w:val="bottom"/>
          </w:tcPr>
          <w:p>
            <w:pPr>
              <w:jc w:val="center"/>
              <w:ind w:left="307"/>
              <w:spacing w:after="0"/>
              <w:rPr>
                <w:sz w:val="20"/>
                <w:szCs w:val="20"/>
                <w:color w:val="auto"/>
              </w:rPr>
            </w:pPr>
            <w:r>
              <w:rPr>
                <w:rFonts w:ascii="Arial" w:cs="Arial" w:eastAsia="Arial" w:hAnsi="Arial"/>
                <w:sz w:val="14"/>
                <w:szCs w:val="14"/>
                <w:b w:val="1"/>
                <w:bCs w:val="1"/>
                <w:color w:val="auto"/>
                <w:w w:val="98"/>
              </w:rPr>
              <w:t>PRO FORMA</w:t>
            </w:r>
          </w:p>
        </w:tc>
        <w:tc>
          <w:tcPr>
            <w:tcW w:w="1400" w:type="dxa"/>
            <w:vAlign w:val="bottom"/>
            <w:gridSpan w:val="2"/>
          </w:tcPr>
          <w:p>
            <w:pPr>
              <w:jc w:val="center"/>
              <w:ind w:left="46"/>
              <w:spacing w:after="0"/>
              <w:rPr>
                <w:sz w:val="20"/>
                <w:szCs w:val="20"/>
                <w:color w:val="auto"/>
              </w:rPr>
            </w:pPr>
            <w:r>
              <w:rPr>
                <w:rFonts w:ascii="Arial" w:cs="Arial" w:eastAsia="Arial" w:hAnsi="Arial"/>
                <w:sz w:val="14"/>
                <w:szCs w:val="14"/>
                <w:b w:val="1"/>
                <w:bCs w:val="1"/>
                <w:color w:val="auto"/>
              </w:rPr>
              <w:t>ADJUSTED</w:t>
            </w:r>
          </w:p>
        </w:tc>
      </w:tr>
      <w:tr>
        <w:trPr>
          <w:trHeight w:val="150"/>
        </w:trPr>
        <w:tc>
          <w:tcPr>
            <w:tcW w:w="6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left="307"/>
              <w:spacing w:after="0" w:line="150" w:lineRule="exact"/>
              <w:rPr>
                <w:sz w:val="20"/>
                <w:szCs w:val="20"/>
                <w:color w:val="auto"/>
              </w:rPr>
            </w:pPr>
            <w:r>
              <w:rPr>
                <w:rFonts w:ascii="Arial" w:cs="Arial" w:eastAsia="Arial" w:hAnsi="Arial"/>
                <w:sz w:val="14"/>
                <w:szCs w:val="14"/>
                <w:b w:val="1"/>
                <w:bCs w:val="1"/>
                <w:color w:val="auto"/>
                <w:w w:val="99"/>
              </w:rPr>
              <w:t>(in thousands)</w:t>
            </w:r>
          </w:p>
        </w:tc>
        <w:tc>
          <w:tcPr>
            <w:tcW w:w="1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2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Consolidated Balance Sheet Data:</w:t>
            </w:r>
          </w:p>
        </w:tc>
        <w:tc>
          <w:tcPr>
            <w:tcW w:w="2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2920" w:type="dxa"/>
            <w:vAlign w:val="bottom"/>
          </w:tcPr>
          <w:p>
            <w:pPr>
              <w:spacing w:after="0"/>
              <w:rPr>
                <w:sz w:val="15"/>
                <w:szCs w:val="15"/>
                <w:color w:val="auto"/>
              </w:rPr>
            </w:pPr>
          </w:p>
        </w:tc>
        <w:tc>
          <w:tcPr>
            <w:tcW w:w="1640" w:type="dxa"/>
            <w:vAlign w:val="bottom"/>
            <w:gridSpan w:val="2"/>
          </w:tcPr>
          <w:p>
            <w:pPr>
              <w:jc w:val="right"/>
              <w:ind w:right="810"/>
              <w:spacing w:after="0" w:line="183" w:lineRule="exact"/>
              <w:rPr>
                <w:sz w:val="20"/>
                <w:szCs w:val="20"/>
                <w:color w:val="auto"/>
              </w:rPr>
            </w:pPr>
            <w:r>
              <w:rPr>
                <w:rFonts w:ascii="Arial" w:cs="Arial" w:eastAsia="Arial" w:hAnsi="Arial"/>
                <w:sz w:val="17"/>
                <w:szCs w:val="17"/>
                <w:color w:val="auto"/>
              </w:rPr>
              <w:t>$</w:t>
            </w:r>
          </w:p>
        </w:tc>
        <w:tc>
          <w:tcPr>
            <w:tcW w:w="1700" w:type="dxa"/>
            <w:vAlign w:val="bottom"/>
          </w:tcPr>
          <w:p>
            <w:pPr>
              <w:jc w:val="right"/>
              <w:ind w:right="1087"/>
              <w:spacing w:after="0" w:line="183"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026"/>
              <w:spacing w:after="0" w:line="183"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r>
      <w:tr>
        <w:trPr>
          <w:trHeight w:val="183"/>
        </w:trPr>
        <w:tc>
          <w:tcPr>
            <w:tcW w:w="32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2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Total assets</w:t>
            </w:r>
          </w:p>
        </w:tc>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Convertible preferred stock</w:t>
            </w:r>
          </w:p>
        </w:tc>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stockholders’ (deficit) equity</w:t>
            </w:r>
          </w:p>
        </w:tc>
        <w:tc>
          <w:tcPr>
            <w:tcW w:w="2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bl>
    <w:p>
      <w:pPr>
        <w:spacing w:after="0" w:line="158" w:lineRule="exact"/>
        <w:rPr>
          <w:sz w:val="20"/>
          <w:szCs w:val="20"/>
          <w:color w:val="auto"/>
        </w:rPr>
      </w:pPr>
    </w:p>
    <w:p>
      <w:pPr>
        <w:ind w:left="600" w:hanging="280"/>
        <w:spacing w:after="0"/>
        <w:tabs>
          <w:tab w:leader="none" w:pos="60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Working capital is defined as current assets less current liabilities.</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pro forma as adjusted information discussed above is illustrative only and will depend on the actual initial public offering price and other terms of</w:t>
      </w:r>
    </w:p>
    <w:p>
      <w:pPr>
        <w:spacing w:after="0" w:line="10" w:lineRule="exact"/>
        <w:rPr>
          <w:sz w:val="20"/>
          <w:szCs w:val="20"/>
          <w:color w:val="auto"/>
        </w:rPr>
      </w:pPr>
    </w:p>
    <w:p>
      <w:pPr>
        <w:jc w:val="both"/>
        <w:ind w:left="180"/>
        <w:spacing w:after="0" w:line="254" w:lineRule="auto"/>
        <w:rPr>
          <w:sz w:val="20"/>
          <w:szCs w:val="20"/>
          <w:color w:val="auto"/>
        </w:rPr>
      </w:pPr>
      <w:r>
        <w:rPr>
          <w:rFonts w:ascii="Arial" w:cs="Arial" w:eastAsia="Arial" w:hAnsi="Arial"/>
          <w:sz w:val="15"/>
          <w:szCs w:val="15"/>
          <w:color w:val="auto"/>
        </w:rPr>
        <w:t>this offering determined at pricing. Each $1.00 increase or decrease in the assumed initial public offering price of $ per share, the midpoint of the estimated price range set forth on the cover page of this prospectus, would increase or decrease each of cash and cash equivalents, working capital,</w:t>
      </w:r>
    </w:p>
    <w:p>
      <w:pPr>
        <w:ind w:left="180" w:right="40"/>
        <w:spacing w:after="0" w:line="254" w:lineRule="auto"/>
        <w:rPr>
          <w:sz w:val="20"/>
          <w:szCs w:val="20"/>
          <w:color w:val="auto"/>
        </w:rPr>
      </w:pPr>
      <w:r>
        <w:rPr>
          <w:rFonts w:ascii="Arial" w:cs="Arial" w:eastAsia="Arial" w:hAnsi="Arial"/>
          <w:sz w:val="15"/>
          <w:szCs w:val="15"/>
          <w:color w:val="auto"/>
        </w:rPr>
        <w:t>total assets and total stockholders’ equity by $ million, assuming that the number of shares of our common stock offered by us, as set forth on the cover page of this prospectus, remains the same, and after deducting estimated underwriting discounts and commissions. We may also increase or decrease the number of shares we are offering. Each increase or decrease of 1.0 million shares in the number of shares of our common stock offered by us would increase or decrease each of cash and cash equivalents, working capital, total assets and total stockholders’ equity by</w:t>
      </w:r>
    </w:p>
    <w:p>
      <w:pPr>
        <w:spacing w:after="0" w:line="1" w:lineRule="exact"/>
        <w:rPr>
          <w:sz w:val="20"/>
          <w:szCs w:val="20"/>
          <w:color w:val="auto"/>
        </w:rPr>
      </w:pPr>
    </w:p>
    <w:p>
      <w:pPr>
        <w:ind w:left="180" w:right="300" w:firstLine="10"/>
        <w:spacing w:after="0" w:line="233" w:lineRule="auto"/>
        <w:tabs>
          <w:tab w:leader="none" w:pos="639" w:val="left"/>
        </w:tabs>
        <w:numPr>
          <w:ilvl w:val="0"/>
          <w:numId w:val="16"/>
        </w:numPr>
        <w:rPr>
          <w:rFonts w:ascii="Arial" w:cs="Arial" w:eastAsia="Arial" w:hAnsi="Arial"/>
          <w:sz w:val="17"/>
          <w:szCs w:val="17"/>
          <w:color w:val="auto"/>
        </w:rPr>
      </w:pPr>
      <w:r>
        <w:rPr>
          <w:rFonts w:ascii="Arial" w:cs="Arial" w:eastAsia="Arial" w:hAnsi="Arial"/>
          <w:sz w:val="17"/>
          <w:szCs w:val="17"/>
          <w:color w:val="auto"/>
        </w:rPr>
        <w:t>million, assuming that the assumed initial public offering price remains the same, and after deducting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60"/>
          </w:cols>
          <w:pgMar w:left="320" w:top="448" w:right="5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312"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7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have a limited operating history, have incurred net losses in every year since our inception and anticipate that we will continue to incur net losses in the future.</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We are a clinical-stage biopharmaceutical company with a limited operating history. Since our inception in 2015, we have invested most of our resources in developing our product candidates, building our intellectual property portfolio, developing our supply chain,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have incurred losses in each period since our inception. For the years ended December 31, 2018 and 2019, we reported a net loss of $1.3 million and</w:t>
      </w:r>
    </w:p>
    <w:p>
      <w:pPr>
        <w:spacing w:after="0" w:line="2"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 million, respectively. As of December 31, 2019, we had an accumulated deficit of $ million. We expect to continue to incur significant losses for the foreseeable future, and we expect these losses to increase as we continue our research and development of, and seek regulatory approvals for, our lead protein therapeutic product candidate, KER-050, our lead small molecule product candidate, KER-047, and any future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70" w:lineRule="exact"/>
        <w:rPr>
          <w:sz w:val="20"/>
          <w:szCs w:val="20"/>
          <w:color w:val="auto"/>
        </w:rPr>
      </w:pPr>
    </w:p>
    <w:p>
      <w:pPr>
        <w:ind w:left="880" w:hanging="432"/>
        <w:spacing w:after="0"/>
        <w:tabs>
          <w:tab w:leader="none" w:pos="88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initiate Phase 2 clinical trials of KER-050 evaluating the treatment of cytopenias, including anemia and thrombocytopenia, in patients with</w:t>
      </w:r>
    </w:p>
    <w:p>
      <w:pPr>
        <w:ind w:left="880"/>
        <w:spacing w:after="0"/>
        <w:tabs>
          <w:tab w:leader="none" w:pos="4440" w:val="left"/>
          <w:tab w:leader="none" w:pos="6780" w:val="left"/>
        </w:tabs>
        <w:rPr>
          <w:sz w:val="20"/>
          <w:szCs w:val="20"/>
          <w:color w:val="auto"/>
        </w:rPr>
      </w:pPr>
      <w:r>
        <w:rPr>
          <w:rFonts w:ascii="Arial" w:cs="Arial" w:eastAsia="Arial" w:hAnsi="Arial"/>
          <w:sz w:val="17"/>
          <w:szCs w:val="17"/>
          <w:color w:val="auto"/>
        </w:rPr>
        <w:t>myelodysplastic syndrome, or MDS, in</w:t>
      </w:r>
      <w:r>
        <w:rPr>
          <w:sz w:val="20"/>
          <w:szCs w:val="20"/>
          <w:color w:val="auto"/>
        </w:rPr>
        <w:tab/>
      </w:r>
      <w:r>
        <w:rPr>
          <w:rFonts w:ascii="Arial" w:cs="Arial" w:eastAsia="Arial" w:hAnsi="Arial"/>
          <w:sz w:val="17"/>
          <w:szCs w:val="17"/>
          <w:color w:val="auto"/>
        </w:rPr>
        <w:t>, and myelofibrosis in</w:t>
      </w:r>
      <w:r>
        <w:rPr>
          <w:sz w:val="20"/>
          <w:szCs w:val="20"/>
          <w:color w:val="auto"/>
        </w:rPr>
        <w:tab/>
      </w:r>
      <w:r>
        <w:rPr>
          <w:rFonts w:ascii="Arial" w:cs="Arial" w:eastAsia="Arial" w:hAnsi="Arial"/>
          <w:sz w:val="14"/>
          <w:szCs w:val="14"/>
          <w:color w:val="auto"/>
        </w:rPr>
        <w:t>;</w:t>
      </w:r>
    </w:p>
    <w:p>
      <w:pPr>
        <w:spacing w:after="0" w:line="26" w:lineRule="exact"/>
        <w:rPr>
          <w:sz w:val="20"/>
          <w:szCs w:val="20"/>
          <w:color w:val="auto"/>
        </w:rPr>
      </w:pP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complete our Phase 1 clinical trial of KER-047 in healthy volunteers;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continue the research and development of our other clinical- and preclinical-stage product candidates and discovery-stage programs;</w:t>
      </w:r>
    </w:p>
    <w:p>
      <w:pPr>
        <w:spacing w:after="0" w:line="26" w:lineRule="exact"/>
        <w:rPr>
          <w:rFonts w:ascii="MS PGothic" w:cs="MS PGothic" w:eastAsia="MS PGothic" w:hAnsi="MS PGothic"/>
          <w:sz w:val="12"/>
          <w:szCs w:val="12"/>
          <w:color w:val="auto"/>
        </w:rPr>
      </w:pPr>
    </w:p>
    <w:p>
      <w:pPr>
        <w:ind w:left="880" w:right="560" w:hanging="432"/>
        <w:spacing w:after="0" w:line="233"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increase the amount of research and development activities to identify and develop product candidates using our proprietary discovery approach;</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make milestone, royalty or other payments under in-license or collaboration agreements;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maintain, expand and protect our intellectual property portfolio;</w:t>
      </w:r>
    </w:p>
    <w:p>
      <w:pPr>
        <w:spacing w:after="0" w:line="26" w:lineRule="exact"/>
        <w:rPr>
          <w:rFonts w:ascii="MS PGothic" w:cs="MS PGothic" w:eastAsia="MS PGothic" w:hAnsi="MS PGothic"/>
          <w:sz w:val="12"/>
          <w:szCs w:val="12"/>
          <w:color w:val="auto"/>
        </w:rPr>
      </w:pPr>
    </w:p>
    <w:p>
      <w:pPr>
        <w:ind w:left="880" w:right="60" w:hanging="432"/>
        <w:spacing w:after="0" w:line="233"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25" w:lineRule="exact"/>
        <w:rPr>
          <w:rFonts w:ascii="MS PGothic" w:cs="MS PGothic" w:eastAsia="MS PGothic" w:hAnsi="MS PGothic"/>
          <w:sz w:val="12"/>
          <w:szCs w:val="12"/>
          <w:color w:val="auto"/>
        </w:rPr>
      </w:pPr>
    </w:p>
    <w:p>
      <w:pPr>
        <w:ind w:left="880" w:right="120" w:hanging="432"/>
        <w:spacing w:after="0" w:line="233" w:lineRule="auto"/>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invest in or in-license other technologies;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448"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1020" w:hanging="432"/>
        <w:spacing w:after="0" w:line="233" w:lineRule="auto"/>
        <w:tabs>
          <w:tab w:leader="none" w:pos="88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experience any delays or encounter any issues with any of the above, including but not limited to failed studies, complex results, manufacturing challenges, safety issues or other regulatory challenges.</w:t>
      </w:r>
    </w:p>
    <w:p>
      <w:pPr>
        <w:spacing w:after="0" w:line="143"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4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b w:val="1"/>
          <w:bCs w:val="1"/>
          <w:i w:val="1"/>
          <w:iCs w:val="1"/>
          <w:color w:val="auto"/>
        </w:rPr>
        <w:t>Even if we consummate this offering, 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13"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To date, we have funded our operations through private placements of equity securities, upfront and expense reimbursement payments received from our collaborators and interest income from the investment of our cash and cash equivalents. We expect our expenses to increase in connection with our ongoing activities, particularly as we initiate the Phase 2 clinical trials of KER-050, complete the Phase 1 clinical trial of KER-047 and initiate later-stage clinical development, and continue to research, develop and initiate clinical trials of any other future product candidates.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We expect that our existing cash and cash equivalents, together with the proceeds from this offering, will enable us to fund our operating expenses and</w:t>
      </w:r>
    </w:p>
    <w:p>
      <w:pPr>
        <w:spacing w:after="0" w:line="10" w:lineRule="exact"/>
        <w:rPr>
          <w:sz w:val="20"/>
          <w:szCs w:val="20"/>
          <w:color w:val="auto"/>
        </w:rPr>
      </w:pPr>
    </w:p>
    <w:p>
      <w:pPr>
        <w:jc w:val="both"/>
        <w:ind w:right="80"/>
        <w:spacing w:after="0" w:line="230" w:lineRule="auto"/>
        <w:rPr>
          <w:sz w:val="20"/>
          <w:szCs w:val="20"/>
          <w:color w:val="auto"/>
        </w:rPr>
      </w:pPr>
      <w:r>
        <w:rPr>
          <w:rFonts w:ascii="Arial" w:cs="Arial" w:eastAsia="Arial" w:hAnsi="Arial"/>
          <w:sz w:val="17"/>
          <w:szCs w:val="17"/>
          <w:color w:val="auto"/>
        </w:rPr>
        <w:t>capital expenditure requirements through at least . We have based this estimate on assumptions that may prove to be wrong, and we could use our capital resources sooner than we currently expect. Our future capital requirements for KER-050, KER-047 or our preclinical programs will depend on many factors, including:</w:t>
      </w:r>
    </w:p>
    <w:p>
      <w:pPr>
        <w:spacing w:after="0" w:line="182" w:lineRule="exact"/>
        <w:rPr>
          <w:sz w:val="20"/>
          <w:szCs w:val="20"/>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progress, timing and completion of preclinical studies and clinical trials for our current or any future product candidates;</w:t>
      </w:r>
    </w:p>
    <w:p>
      <w:pPr>
        <w:spacing w:after="0" w:line="26" w:lineRule="exact"/>
        <w:rPr>
          <w:rFonts w:ascii="MS PGothic" w:cs="MS PGothic" w:eastAsia="MS PGothic" w:hAnsi="MS PGothic"/>
          <w:sz w:val="12"/>
          <w:szCs w:val="12"/>
          <w:color w:val="auto"/>
        </w:rPr>
      </w:pPr>
    </w:p>
    <w:p>
      <w:pPr>
        <w:ind w:left="880" w:right="320" w:hanging="432"/>
        <w:spacing w:after="0" w:line="233" w:lineRule="auto"/>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timing and amount of milestone and royalty payments we are required to make or are eligible to receive under our license agreements with The General Hospital Corporation and Novo Nordisk A/S, as applicable;</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number of potential new product candidates we identify and decide to develop;</w:t>
      </w:r>
    </w:p>
    <w:p>
      <w:pPr>
        <w:spacing w:after="0" w:line="26"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need for additional or expanded pre-clinical studies and clinical trials beyond those that we plan to conduct with respect to our current and future product candidates;</w:t>
      </w:r>
    </w:p>
    <w:p>
      <w:pPr>
        <w:spacing w:after="0" w:line="25" w:lineRule="exact"/>
        <w:rPr>
          <w:rFonts w:ascii="MS PGothic" w:cs="MS PGothic" w:eastAsia="MS PGothic" w:hAnsi="MS PGothic"/>
          <w:sz w:val="12"/>
          <w:szCs w:val="12"/>
          <w:color w:val="auto"/>
        </w:rPr>
      </w:pPr>
    </w:p>
    <w:p>
      <w:pPr>
        <w:ind w:left="880" w:right="240" w:hanging="432"/>
        <w:spacing w:after="0" w:line="233" w:lineRule="auto"/>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costs involved in growing our organization to the size needed to allow for the research, development and potential commercialization of our current or any future product candidates;</w:t>
      </w:r>
    </w:p>
    <w:p>
      <w:pPr>
        <w:spacing w:after="0" w:line="25"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costs involved in filing patent applications, maintaining and enforcing patents or defending against infringement or other claims raised by third parties;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maintenance of our existing license and collaboration agreements and the entry into new license and collaboration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448"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500" w:hanging="432"/>
        <w:spacing w:after="0" w:line="233" w:lineRule="auto"/>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effect of competing technological and market developments;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cost and timing of completion of commercial-scale outsourced manufacturing activities;</w:t>
      </w:r>
    </w:p>
    <w:p>
      <w:pPr>
        <w:spacing w:after="0" w:line="26"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25" w:lineRule="exact"/>
        <w:rPr>
          <w:rFonts w:ascii="MS PGothic" w:cs="MS PGothic" w:eastAsia="MS PGothic" w:hAnsi="MS PGothic"/>
          <w:sz w:val="12"/>
          <w:szCs w:val="12"/>
          <w:color w:val="auto"/>
        </w:rPr>
      </w:pPr>
    </w:p>
    <w:p>
      <w:pPr>
        <w:ind w:left="880" w:right="100" w:hanging="432"/>
        <w:spacing w:after="0" w:line="233" w:lineRule="auto"/>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the amount of revenues, if any, we may derive either directly or in the form of royalty payments from future sales of our product candidates, if approved;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market acceptance of any approved product candidates.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w:t>
      </w:r>
    </w:p>
    <w:p>
      <w:pPr>
        <w:spacing w:after="0" w:line="145" w:lineRule="exact"/>
        <w:rPr>
          <w:sz w:val="20"/>
          <w:szCs w:val="20"/>
          <w:color w:val="auto"/>
        </w:rPr>
      </w:pPr>
    </w:p>
    <w:p>
      <w:pPr>
        <w:ind w:right="360"/>
        <w:spacing w:after="0" w:line="228"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47"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Raising additional capital may cause dilution to holders of our common stock in this offering, restrict our operations or require us to relinquish rights to our technologies or product candidates.</w:t>
      </w:r>
    </w:p>
    <w:p>
      <w:pPr>
        <w:spacing w:after="0" w:line="3"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Until such time, if ever, as we can generate substantial product revenues, we expect to finance our operations with our existing cash and cash equivalents, the net proceeds from this offering and revenue from our collaborations. In order to further advance development of our product candidates, discover additional product candidates and pursue our other business objectives, however, we will need to seek additional funds.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We cannot guarantee that future financing will be available in sufficient amounts or on commercially reasonable terms, if at all. Moreover, the terms of any financing may adversely affect the holdings or the rights of holders of our common stock and the issuance of additional securities, whether equity or debt, by us, or the possibility of such issuance, may cause the market price of our common stock to decline. The sale of additional common stock or securities convertible or exchangeable into common stock would dilute all of our existing stockholders and the terms of these securities may include liquidation or other preferences that adversely affect your rights as a holder of our common stock. The incurrence of indebtedness could result in increased fixed payment obligations and we may be required to agree to certain restrictive covenants, such as limitations on our ability to incur additional debt or declare dividends, limitations on our ability to acquire, sell or license intellectual property rights and other operating restrictions that could adversely impact our ability to conduct our business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KER-050, KER-047 or any future product candidate at an earlier stage than otherwise would be desirable or relinquish our rights to product candidates or technologies that we otherwise would seek to develop or commercialize ourselves. Further, any additional fundraising efforts may divert our management from its day-to-day activities, which may adversely affect our ability to develop and commercialize our product candidates.</w:t>
      </w:r>
    </w:p>
    <w:p>
      <w:pPr>
        <w:spacing w:after="0" w:line="316"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448"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We believe our current cash and cash equivalents will be sufficient to fund our business only for a limited amount of time, and if we are not able to raise additional funds, we may be unable to continue as a going concern.</w:t>
      </w:r>
    </w:p>
    <w:p>
      <w:pPr>
        <w:spacing w:after="0" w:line="1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 Note 1 to our consolidated financial statements, we disclose that there is substantial doubt about our ability to continue as a going concern. Based on our current operating plan, not including the proceeds of the offering, we believe that our existing cash and cash equivalents will be sufficient to fund our operating expenses and capital expenditure requirements into the second quarter of 2020. This estimate is based on our current assumptions that may prove to be wrong, and we could use our available capital resources sooner than we currently expect. In addition, the expected net proceeds of this offering will not be sufficient for us to fund any of our product candidates through regulatory approval, and we will need to raise substantial additional capital to complete the development and commercialization of our product candidates. We will continue to seek funds through equity or debt financings, collaborative or other arrangements with corporate sources, or through other sources of financing. Adequate additional funding may not be available to us on acceptable terms, or at all. Any failure to raise capital as and when needed could have a negative impact on our financial condition and on our ability to pursue our business plans and strategies. Further, if we cannot continue as a viable entity, our shareholders may lose some or all of their investment in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Development and Regulatory Approval of our Product Candidates</w:t>
      </w:r>
    </w:p>
    <w:p>
      <w:pPr>
        <w:spacing w:after="0" w:line="6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which are in early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26"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and both KER-050 and KER-047 are still in early-stage clinical trials. Because KER-050 and KER-047 are our lead product candidates, if either KER-050 or KER-047 encounters safety or efficacy problems, development delays or regulatory issues or other problems, our development plans and business would be significantly harmed.</w:t>
      </w:r>
    </w:p>
    <w:p>
      <w:pPr>
        <w:spacing w:after="0" w:line="142"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Our ability to generate product revenues, which we do not expect will occur for several years, if ever, will depend heavily on the successful development and eventual commercialization of KER-050, KER-047 and any future product candidates we develop, which may never occur. KER-050, KER-047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187" w:lineRule="exact"/>
        <w:rPr>
          <w:sz w:val="20"/>
          <w:szCs w:val="20"/>
          <w:color w:val="auto"/>
        </w:rPr>
      </w:pPr>
    </w:p>
    <w:p>
      <w:pPr>
        <w:ind w:left="880" w:right="140" w:hanging="432"/>
        <w:spacing w:after="0" w:line="233" w:lineRule="auto"/>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successful and timely completion of clinical trials and preclinical studies for which the U.S. Food and Drug Administration, or the FDA, or any comparable foreign regulatory authority agree with the design, endpoints or implementation;</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sufficiency of our financial and other resources to complete the necessary preclinical studies and clinical trials;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receiving regulatory approvals or authorizations for conducting our planned clinical trials or future clinical trials;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initiation and successful patient enrollment in, and completion of, additional clinical trials on a timely basis;</w:t>
      </w:r>
    </w:p>
    <w:p>
      <w:pPr>
        <w:spacing w:after="0" w:line="26" w:lineRule="exact"/>
        <w:rPr>
          <w:rFonts w:ascii="MS PGothic" w:cs="MS PGothic" w:eastAsia="MS PGothic" w:hAnsi="MS PGothic"/>
          <w:sz w:val="12"/>
          <w:szCs w:val="12"/>
          <w:color w:val="auto"/>
        </w:rPr>
      </w:pPr>
    </w:p>
    <w:p>
      <w:pPr>
        <w:ind w:left="880" w:hanging="432"/>
        <w:spacing w:after="0" w:line="230" w:lineRule="auto"/>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our ability to demonstrate to the satisfaction of the FDA or any comparable foreign regulatory authority that the applicable product candidate is safe and effective as a treatment for our targeted indications or, in the case of an applicable product candidates which is regulated as a biological product, that the applicable product is safe, pure, and potent for our targeted indications;</w:t>
      </w:r>
    </w:p>
    <w:p>
      <w:pPr>
        <w:spacing w:after="0" w:line="25" w:lineRule="exact"/>
        <w:rPr>
          <w:rFonts w:ascii="MS PGothic" w:cs="MS PGothic" w:eastAsia="MS PGothic" w:hAnsi="MS PGothic"/>
          <w:sz w:val="12"/>
          <w:szCs w:val="12"/>
          <w:color w:val="auto"/>
        </w:rPr>
      </w:pPr>
    </w:p>
    <w:p>
      <w:pPr>
        <w:ind w:left="880" w:right="60" w:hanging="432"/>
        <w:spacing w:after="0" w:line="233" w:lineRule="auto"/>
        <w:tabs>
          <w:tab w:leader="none" w:pos="88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our ability to demonstrate to the satisfaction of the FDA or any comparable foreign regulatory authority that the applicable product candidate’s risk-benefit ratio for its proposed indication is acceptable;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48"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timely receipt of marketing approvals for our product candidates from applicable regulatory authorities;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the extent of any required post-marketing approval commitments to applicable regulatory authorities;</w:t>
      </w:r>
    </w:p>
    <w:p>
      <w:pPr>
        <w:spacing w:after="0" w:line="26" w:lineRule="exact"/>
        <w:rPr>
          <w:rFonts w:ascii="MS PGothic" w:cs="MS PGothic" w:eastAsia="MS PGothic" w:hAnsi="MS PGothic"/>
          <w:sz w:val="12"/>
          <w:szCs w:val="12"/>
          <w:color w:val="auto"/>
        </w:rPr>
      </w:pPr>
    </w:p>
    <w:p>
      <w:pPr>
        <w:ind w:left="880" w:right="280" w:hanging="432"/>
        <w:spacing w:after="0" w:line="233" w:lineRule="auto"/>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25"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obtaining and maintaining patent and trade secret protection or regulatory exclusivity for our product candidates, both in the United States and internationally;</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successfully scaling a sales and marketing organization and launching commercial sales of our product candidates, if approved;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acceptance of our product candidates’ benefits and uses, if approved, by patients, the medical community and third-party payors;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maintaining a continued acceptable safety profile of our product candidates following approval;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1"/>
          <w:szCs w:val="11"/>
          <w:color w:val="auto"/>
        </w:rPr>
      </w:pPr>
      <w:r>
        <w:rPr>
          <w:rFonts w:ascii="Arial" w:cs="Arial" w:eastAsia="Arial" w:hAnsi="Arial"/>
          <w:sz w:val="15"/>
          <w:szCs w:val="15"/>
          <w:color w:val="auto"/>
        </w:rPr>
        <w:t>effectively competing with companies developing and commercializing other therapies in the indications which our product candidates target;</w:t>
      </w:r>
    </w:p>
    <w:p>
      <w:pPr>
        <w:spacing w:after="0" w:line="49" w:lineRule="exact"/>
        <w:rPr>
          <w:rFonts w:ascii="MS PGothic" w:cs="MS PGothic" w:eastAsia="MS PGothic" w:hAnsi="MS PGothic"/>
          <w:sz w:val="11"/>
          <w:szCs w:val="11"/>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obtaining and maintaining healthcare coverage and adequate reimbursement from third-party payors;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enforcing and defending intellectual property rights and claims.</w:t>
      </w:r>
    </w:p>
    <w:p>
      <w:pPr>
        <w:spacing w:after="0" w:line="14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KER-050, KER-047 or any future product candidates we develop, which would materially harm our business. If we do not receive marketing approvals for our current and future product candidates, we may not be able to continue our operations.</w:t>
      </w:r>
    </w:p>
    <w:p>
      <w:pPr>
        <w:spacing w:after="0" w:line="45"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b w:val="1"/>
          <w:bCs w:val="1"/>
          <w:i w:val="1"/>
          <w:iCs w:val="1"/>
          <w:color w:val="auto"/>
        </w:rPr>
        <w:t>All of our product candidates are in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KER-050, KER-047 or any future product candidates.</w:t>
      </w:r>
    </w:p>
    <w:p>
      <w:pPr>
        <w:spacing w:after="0" w:line="1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45" w:lineRule="exact"/>
        <w:rPr>
          <w:sz w:val="20"/>
          <w:szCs w:val="20"/>
          <w:color w:val="auto"/>
        </w:rPr>
      </w:pPr>
    </w:p>
    <w:p>
      <w:pPr>
        <w:ind w:right="240"/>
        <w:spacing w:after="0" w:line="226" w:lineRule="auto"/>
        <w:rPr>
          <w:sz w:val="20"/>
          <w:szCs w:val="20"/>
          <w:color w:val="auto"/>
        </w:rPr>
      </w:pPr>
      <w:r>
        <w:rPr>
          <w:rFonts w:ascii="Arial" w:cs="Arial" w:eastAsia="Arial" w:hAnsi="Arial"/>
          <w:sz w:val="17"/>
          <w:szCs w:val="17"/>
          <w:color w:val="auto"/>
        </w:rPr>
        <w:t>To date, we have not completed any clinical trials required for the approval of any of our product candidates. Although we have completed our Phase 1 clinical trial of KER-050 and commenced our Phase 1 clinical trial of KER-047, each in healthy volunteers,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KER-050, KER-047 or any future product candidates, including:</w:t>
      </w:r>
    </w:p>
    <w:p>
      <w:pPr>
        <w:spacing w:after="0" w:line="187" w:lineRule="exact"/>
        <w:rPr>
          <w:sz w:val="20"/>
          <w:szCs w:val="20"/>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delays in or failure to obtain regulatory authorizations to commence a trial;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delays in reaching a consensus with regulatory agencies as to the design or implementation of our clinical trials;</w:t>
      </w:r>
    </w:p>
    <w:p>
      <w:pPr>
        <w:spacing w:after="0" w:line="26"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delays in or failure to obtain institutional review board, or IRB, approval at each site;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delays in or failure to recruit a sufficient number of suitable patients to participate in a trial;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failure to have patients complete a trial or return for post-treatment follow-up;</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clinical sites deviating from trial protocol or dropping out of a trial;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448"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delays in adding new clinical trial sites;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failure to manufacture sufficient quantities of our product candidates for use in clinical trials in a timely manner;</w:t>
      </w:r>
    </w:p>
    <w:p>
      <w:pPr>
        <w:spacing w:after="0" w:line="26" w:lineRule="exact"/>
        <w:rPr>
          <w:rFonts w:ascii="MS PGothic" w:cs="MS PGothic" w:eastAsia="MS PGothic" w:hAnsi="MS PGothic"/>
          <w:sz w:val="12"/>
          <w:szCs w:val="12"/>
          <w:color w:val="auto"/>
        </w:rPr>
      </w:pPr>
    </w:p>
    <w:p>
      <w:pPr>
        <w:ind w:left="880" w:right="100" w:hanging="432"/>
        <w:spacing w:after="0" w:line="230"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occurrence of adverse events associated with the product candidate that are viewed to outweigh its potential benefits, or safety or tolerability concerns that could cause us or our collaborators, as applicable, to suspend or terminate a trial if we or our collaborators find that the participants are being exposed to unacceptable health risks;</w:t>
      </w:r>
    </w:p>
    <w:p>
      <w:pPr>
        <w:spacing w:after="0" w:line="25" w:lineRule="exact"/>
        <w:rPr>
          <w:rFonts w:ascii="MS PGothic" w:cs="MS PGothic" w:eastAsia="MS PGothic" w:hAnsi="MS PGothic"/>
          <w:sz w:val="12"/>
          <w:szCs w:val="12"/>
          <w:color w:val="auto"/>
        </w:rPr>
      </w:pPr>
    </w:p>
    <w:p>
      <w:pPr>
        <w:ind w:left="880" w:right="100" w:hanging="432"/>
        <w:spacing w:after="0" w:line="233"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failure to perform clinical trials in accordance with the FDA’s or any other regulatory authority’s good clinical practices, or GCP, requirements, or regulatory guidelines in other countries;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changes in regulatory requirements, policies and guidelines;</w:t>
      </w:r>
    </w:p>
    <w:p>
      <w:pPr>
        <w:spacing w:after="0" w:line="26" w:lineRule="exact"/>
        <w:rPr>
          <w:rFonts w:ascii="MS PGothic" w:cs="MS PGothic" w:eastAsia="MS PGothic" w:hAnsi="MS PGothic"/>
          <w:sz w:val="12"/>
          <w:szCs w:val="12"/>
          <w:color w:val="auto"/>
        </w:rPr>
      </w:pPr>
    </w:p>
    <w:p>
      <w:pPr>
        <w:ind w:left="880" w:right="340" w:hanging="432"/>
        <w:spacing w:after="0" w:line="233"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failure of our third-party research contractors to comply with regulatory requirements or meet their contractual obligations to us in a timely manner, or at all;</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delays in establishing the appropriate dosage levels in clinical trials;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the quality or stability of our product candidates falling below acceptable standards; and</w:t>
      </w:r>
    </w:p>
    <w:p>
      <w:pPr>
        <w:spacing w:after="0" w:line="26" w:lineRule="exact"/>
        <w:rPr>
          <w:rFonts w:ascii="MS PGothic" w:cs="MS PGothic" w:eastAsia="MS PGothic" w:hAnsi="MS PGothic"/>
          <w:sz w:val="12"/>
          <w:szCs w:val="12"/>
          <w:color w:val="auto"/>
        </w:rPr>
      </w:pPr>
    </w:p>
    <w:p>
      <w:pPr>
        <w:ind w:left="880" w:right="160" w:hanging="432"/>
        <w:spacing w:after="0" w:line="233" w:lineRule="auto"/>
        <w:tabs>
          <w:tab w:leader="none" w:pos="88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7"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b w:val="1"/>
          <w:bCs w:val="1"/>
          <w:i w:val="1"/>
          <w:iCs w:val="1"/>
          <w:color w:val="auto"/>
        </w:rPr>
        <w:t>Our clinical trials may fail to demonstrate substantial evidence of the safety and efficacy or safety, purity and potency of our product candidates or any future product candidates, which would prevent or delay or limit the scope of regulatory approval and commercialization.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To obtain the requisite regulatory approvals to market and sell any of our product candidates, including KER-050, KER-047 and any other future product candidates, we must demonstrate through extensive preclinical studies and clinical trials that our investigational drug products, such as KER-047, are safe and effective for use in each targeted indication, and in the case of our product candidates regulated as biological products, such as KER-050, that the product candidate is safe, pure and potent for use in its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448" w:right="3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involved, as well as the target indications, patient population and regulatory agency. Prior to obtaining approval to commercialize KER-050, KER-047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45"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46"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Even if the trials are successfully completed, clinical data are often susceptible to varying interpretations and analyses, and we cannot guarantee that the FDA or comparable foreign regulatory authorities will interpret the results as we do,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KER-050, KER-047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3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1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315" w:lineRule="exact"/>
        <w:rPr>
          <w:sz w:val="20"/>
          <w:szCs w:val="20"/>
          <w:color w:val="auto"/>
        </w:rPr>
      </w:pPr>
    </w:p>
    <w:p>
      <w:pPr>
        <w:ind w:right="260"/>
        <w:spacing w:after="0" w:line="227" w:lineRule="auto"/>
        <w:rPr>
          <w:sz w:val="20"/>
          <w:szCs w:val="20"/>
          <w:color w:val="auto"/>
        </w:rPr>
      </w:pPr>
      <w:r>
        <w:rPr>
          <w:rFonts w:ascii="Arial" w:cs="Arial" w:eastAsia="Arial" w:hAnsi="Arial"/>
          <w:sz w:val="17"/>
          <w:szCs w:val="17"/>
          <w:color w:val="auto"/>
        </w:rPr>
        <w:t>Additionally, some of the clinical trials we conduct may include open-label trials conducted at a limited number of clinical sites on a limited number of patients. An “open-label” clinical trial is one where both the patient and investigator know whether the patient is receiving the investigational product candidate or either an existing approved product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00"/>
          </w:cols>
          <w:pgMar w:left="320" w:top="448" w:right="3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have improved merely due to their awareness of receiving an experimental treatment. Moreover, patients selected for early-stage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open-label Phase 2 clinical trials are planned for KER-050, the results from these clinical trials may not be predictive of future clinical trial results with these or other product candidates for which we include an open-label clinical trial when studied in a controlled environment with a placebo or active control.</w:t>
      </w:r>
    </w:p>
    <w:p>
      <w:pPr>
        <w:spacing w:after="0" w:line="2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candidates, KER-050 and KER-047, have generally been well tolerated in our preclinical studies and clinical trials to date, the results from future preclinical studies and clinical trials, including of our other product candidates, may identify safety concerns or other undesirable properties of our product candidates.</w:t>
      </w:r>
    </w:p>
    <w:p>
      <w:pPr>
        <w:spacing w:after="0" w:line="14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results of our planned Phase 2 clinical trials of KER-050, our ongoing Phase 1 clinical trial of KER-047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44"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45"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w:t>
      </w:r>
    </w:p>
    <w:p>
      <w:pPr>
        <w:spacing w:after="0" w:line="107"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182" w:lineRule="exact"/>
        <w:rPr>
          <w:sz w:val="20"/>
          <w:szCs w:val="20"/>
          <w:color w:val="auto"/>
        </w:rPr>
      </w:pP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regulatory authorities may withdraw approvals of such product and require us to take our approved product off the market;</w:t>
      </w:r>
    </w:p>
    <w:p>
      <w:pPr>
        <w:spacing w:after="0" w:line="26" w:lineRule="exact"/>
        <w:rPr>
          <w:rFonts w:ascii="MS PGothic" w:cs="MS PGothic" w:eastAsia="MS PGothic" w:hAnsi="MS PGothic"/>
          <w:sz w:val="12"/>
          <w:szCs w:val="12"/>
          <w:color w:val="auto"/>
        </w:rPr>
      </w:pPr>
    </w:p>
    <w:p>
      <w:pPr>
        <w:ind w:left="880" w:right="300" w:hanging="432"/>
        <w:spacing w:after="0" w:line="233"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regulatory authorities may require the addition of labeling statements, specific warnings, a contraindication or field alerts to physicians and pharmacies;</w:t>
      </w:r>
    </w:p>
    <w:p>
      <w:pPr>
        <w:spacing w:after="0" w:line="25"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we may be subject to limitations on how we may promote the product;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sales of the product may decrease significantly;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448"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we may be subject to litigation or product liability claims;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our reputation may suffer.</w:t>
      </w:r>
    </w:p>
    <w:p>
      <w:pPr>
        <w:spacing w:after="0" w:line="14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45"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3"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timely completion of our clinical trials in accordance with their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185" w:lineRule="exact"/>
        <w:rPr>
          <w:sz w:val="20"/>
          <w:szCs w:val="20"/>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size and nature of the patient population and process for identifying patients;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proximity and availability of clinical trial sites for prospective patients;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eligibility and exclusion criteria for the trial;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design of the clinical trial;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safety profile, to date, of the product candidate under study;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perceived risks and benefits of the product candidate under study;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perceived risks and benefits of our approach;</w:t>
      </w:r>
    </w:p>
    <w:p>
      <w:pPr>
        <w:spacing w:after="0" w:line="26" w:lineRule="exact"/>
        <w:rPr>
          <w:rFonts w:ascii="MS PGothic" w:cs="MS PGothic" w:eastAsia="MS PGothic" w:hAnsi="MS PGothic"/>
          <w:sz w:val="12"/>
          <w:szCs w:val="12"/>
          <w:color w:val="auto"/>
        </w:rPr>
      </w:pPr>
    </w:p>
    <w:p>
      <w:pPr>
        <w:ind w:left="880" w:right="480" w:hanging="432"/>
        <w:spacing w:after="0" w:line="233" w:lineRule="auto"/>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severity of the disease under investigation;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degree of progression of the patient’s disease at the time of enrollment;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ability to obtain and maintain patient consent;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risk that enrolled patients will drop out before completion of the trial;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patient referral practices of physicians;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ability to adequately monitor patients during and after treatment.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Enrollment risks are heightened with respect to indications that are rare or orphan diseases, which may limit the pool of patients that may be enrolled in our planned clinical trials. For example, we are developing KER-047 for the treatment of fibrodysplasia ossificans progressiva, or FOP, which is a rare genetic disease, affecting an estimated 3,500 people worldwide. As a result, we may encounter difficulties enrolling subjects in our clinical trials evaluating KER-047 for the treatment of FOP due, in part, to the small size of this patient population.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30"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448"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47"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3" w:lineRule="exact"/>
        <w:rPr>
          <w:sz w:val="20"/>
          <w:szCs w:val="20"/>
          <w:color w:val="auto"/>
        </w:rPr>
      </w:pPr>
    </w:p>
    <w:p>
      <w:pPr>
        <w:jc w:val="both"/>
        <w:ind w:right="300"/>
        <w:spacing w:after="0" w:line="238" w:lineRule="auto"/>
        <w:rPr>
          <w:sz w:val="20"/>
          <w:szCs w:val="20"/>
          <w:color w:val="auto"/>
        </w:rPr>
      </w:pPr>
      <w:r>
        <w:rPr>
          <w:rFonts w:ascii="Arial" w:cs="Arial" w:eastAsia="Arial" w:hAnsi="Arial"/>
          <w:sz w:val="17"/>
          <w:szCs w:val="17"/>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26"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Before we can commence clinical trials for any product candidate, we must complete extensive preclinical studies that support any future Investigational New Drug, or IND, applications in the United States, or similar applications in other jurisdictions. We have not interacted with or submitted any IND to the FDA and all of our clinical trials have, to date, been conducted in Australia. Conducting preclinical testing is a lengthy, time-consuming and expensive process and delays associated with product candidates for which we are directly conducting preclinical testing and studies may cause us to incur additional operating expenses. While we are conducting a Phase 1 clinical trial for KER-047, and plan to initially conduct Phase 2 clinical trials for KER-050,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32" w:lineRule="exact"/>
        <w:rPr>
          <w:sz w:val="20"/>
          <w:szCs w:val="20"/>
          <w:color w:val="auto"/>
        </w:rPr>
      </w:pPr>
    </w:p>
    <w:p>
      <w:pPr>
        <w:jc w:val="both"/>
        <w:ind w:right="460"/>
        <w:spacing w:after="0" w:line="23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26"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448"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83" w:lineRule="exact"/>
        <w:rPr>
          <w:sz w:val="20"/>
          <w:szCs w:val="20"/>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6" w:lineRule="exact"/>
        <w:rPr>
          <w:rFonts w:ascii="MS PGothic" w:cs="MS PGothic" w:eastAsia="MS PGothic" w:hAnsi="MS PGothic"/>
          <w:sz w:val="12"/>
          <w:szCs w:val="12"/>
          <w:color w:val="auto"/>
        </w:rPr>
      </w:pPr>
    </w:p>
    <w:p>
      <w:pPr>
        <w:ind w:left="880" w:right="120" w:hanging="432"/>
        <w:spacing w:after="0" w:line="230"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as a treatment for our targeted indications, or, in the case of a product candidate regulated as a biological product, that the product candidate is safe, pure and potent for its proposed indication;</w:t>
      </w:r>
    </w:p>
    <w:p>
      <w:pPr>
        <w:spacing w:after="0" w:line="25" w:lineRule="exact"/>
        <w:rPr>
          <w:rFonts w:ascii="MS PGothic" w:cs="MS PGothic" w:eastAsia="MS PGothic" w:hAnsi="MS PGothic"/>
          <w:sz w:val="12"/>
          <w:szCs w:val="12"/>
          <w:color w:val="auto"/>
        </w:rPr>
      </w:pPr>
    </w:p>
    <w:p>
      <w:pPr>
        <w:ind w:left="880" w:right="680" w:hanging="432"/>
        <w:spacing w:after="0" w:line="233"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population studied may not be sufficiently broad or representative to assure safety or efficacy in the population for which we seek approval;</w:t>
      </w:r>
    </w:p>
    <w:p>
      <w:pPr>
        <w:spacing w:after="0" w:line="25" w:lineRule="exact"/>
        <w:rPr>
          <w:rFonts w:ascii="MS PGothic" w:cs="MS PGothic" w:eastAsia="MS PGothic" w:hAnsi="MS PGothic"/>
          <w:sz w:val="12"/>
          <w:szCs w:val="12"/>
          <w:color w:val="auto"/>
        </w:rPr>
      </w:pPr>
    </w:p>
    <w:p>
      <w:pPr>
        <w:ind w:left="880" w:right="180" w:hanging="432"/>
        <w:spacing w:after="0" w:line="233"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6" w:lineRule="exact"/>
        <w:rPr>
          <w:rFonts w:ascii="MS PGothic" w:cs="MS PGothic" w:eastAsia="MS PGothic" w:hAnsi="MS PGothic"/>
          <w:sz w:val="12"/>
          <w:szCs w:val="12"/>
          <w:color w:val="auto"/>
        </w:rPr>
      </w:pPr>
    </w:p>
    <w:p>
      <w:pPr>
        <w:ind w:left="880" w:right="60" w:hanging="432"/>
        <w:spacing w:after="0" w:line="233"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require additional preclinical studies or clinical trials beyond those that we currently anticipate;</w:t>
      </w:r>
    </w:p>
    <w:p>
      <w:pPr>
        <w:spacing w:after="0" w:line="25" w:lineRule="exact"/>
        <w:rPr>
          <w:rFonts w:ascii="MS PGothic" w:cs="MS PGothic" w:eastAsia="MS PGothic" w:hAnsi="MS PGothic"/>
          <w:sz w:val="12"/>
          <w:szCs w:val="12"/>
          <w:color w:val="auto"/>
        </w:rPr>
      </w:pPr>
    </w:p>
    <w:p>
      <w:pPr>
        <w:jc w:val="both"/>
        <w:ind w:left="880" w:right="140" w:hanging="432"/>
        <w:spacing w:after="0" w:line="230"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data collected from clinical trials of our product candidates may not be sufficient to support the submission of a New Drug Application, or NDA, or a Biologics License Application, or BLA, as applicable, to the FDA or other submission or to obtain regulatory approval in the United States or elsewhere;</w:t>
      </w:r>
    </w:p>
    <w:p>
      <w:pPr>
        <w:spacing w:after="0" w:line="25"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25" w:lineRule="exact"/>
        <w:rPr>
          <w:rFonts w:ascii="MS PGothic" w:cs="MS PGothic" w:eastAsia="MS PGothic" w:hAnsi="MS PGothic"/>
          <w:sz w:val="12"/>
          <w:szCs w:val="12"/>
          <w:color w:val="auto"/>
        </w:rPr>
      </w:pPr>
    </w:p>
    <w:p>
      <w:pPr>
        <w:ind w:left="880" w:right="360" w:hanging="432"/>
        <w:spacing w:after="0" w:line="233" w:lineRule="auto"/>
        <w:tabs>
          <w:tab w:leader="none" w:pos="88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the approval policies or regulations of the FDA or any comparable foreign regulatory authorities or the laws they enforce may significantly change in a manner rendering our clinical data insufficient for approval.</w:t>
      </w:r>
    </w:p>
    <w:p>
      <w:pPr>
        <w:spacing w:after="0" w:line="143"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14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FDA and any comparable foreign regulatory authorities may not accept data from trials conducted in locations outside of their jurisdiction.</w:t>
      </w:r>
    </w:p>
    <w:p>
      <w:pPr>
        <w:spacing w:after="0" w:line="56"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We are presently conducting clinical development solely in Australia and may choose to conduct additional international clinical trials in the future. We have not interacted with or submitted any IND to the FDA.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448"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1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or cGMPs, and GCP requirements for any clinical trials that we conduct post-approval.</w:t>
      </w:r>
    </w:p>
    <w:p>
      <w:pPr>
        <w:spacing w:after="0" w:line="14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or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4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47"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64" w:lineRule="exact"/>
        <w:rPr>
          <w:sz w:val="20"/>
          <w:szCs w:val="20"/>
          <w:color w:val="auto"/>
        </w:rPr>
      </w:pPr>
    </w:p>
    <w:p>
      <w:pPr>
        <w:ind w:left="880" w:right="200" w:hanging="432"/>
        <w:spacing w:after="0" w:line="233" w:lineRule="auto"/>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fines, warning letters or holds on clinical trials;</w:t>
      </w:r>
    </w:p>
    <w:p>
      <w:pPr>
        <w:spacing w:after="0" w:line="26" w:lineRule="exact"/>
        <w:rPr>
          <w:rFonts w:ascii="MS PGothic" w:cs="MS PGothic" w:eastAsia="MS PGothic" w:hAnsi="MS PGothic"/>
          <w:sz w:val="12"/>
          <w:szCs w:val="12"/>
          <w:color w:val="auto"/>
        </w:rPr>
      </w:pPr>
    </w:p>
    <w:p>
      <w:pPr>
        <w:ind w:left="880" w:right="560" w:hanging="432"/>
        <w:spacing w:after="0" w:line="233" w:lineRule="auto"/>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product seizure or detention or refusal to permit the import or export of our product candidates;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injunctions or the imposition of civil or criminal penalties.</w:t>
      </w:r>
    </w:p>
    <w:p>
      <w:pPr>
        <w:spacing w:after="0" w:line="144"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448"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holder of an NDA or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4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including KER-050, may face competition from biosimilars approved through an abbreviated regulatory pathway.</w:t>
      </w:r>
    </w:p>
    <w:p>
      <w:pPr>
        <w:spacing w:after="0" w:line="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We are developing KER-050 for the treatment of cytopenias, including anemia and thrombocytopenia, in patients with MDS and myelofibrosis, which we anticipate will be regulated as a biological product. 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31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448"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4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355" w:lineRule="exact"/>
        <w:rPr>
          <w:sz w:val="20"/>
          <w:szCs w:val="20"/>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decreased demand for our products due to negative public perception;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injury to our reputation;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withdrawal of clinical trial participants or difficulties in recruiting new trial participants;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initiation of investigations by regulators;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costs to defend or settle the related litigation;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a diversion of management’s time and our resources;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substantial monetary awards to trial participants or patients;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product recalls, withdrawals or labeling, marketing or promotional restrictions;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loss of revenues from product sales;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inability to commercialize any of our product candidates, if approved.</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Should any of the events described above occur, this could have a material adverse effect on our business, financial condition and results of operations.</w:t>
      </w:r>
    </w:p>
    <w:p>
      <w:pPr>
        <w:spacing w:after="0" w:line="69" w:lineRule="exact"/>
        <w:rPr>
          <w:sz w:val="20"/>
          <w:szCs w:val="20"/>
          <w:color w:val="auto"/>
        </w:rPr>
      </w:pPr>
    </w:p>
    <w:p>
      <w:pPr>
        <w:ind w:right="280"/>
        <w:spacing w:after="0" w:line="275" w:lineRule="auto"/>
        <w:rPr>
          <w:sz w:val="20"/>
          <w:szCs w:val="20"/>
          <w:color w:val="auto"/>
        </w:rPr>
      </w:pPr>
      <w:r>
        <w:rPr>
          <w:rFonts w:ascii="Arial" w:cs="Arial" w:eastAsia="Arial" w:hAnsi="Arial"/>
          <w:sz w:val="15"/>
          <w:szCs w:val="15"/>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20" w:top="448" w:right="3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500"/>
        <w:spacing w:after="0" w:line="233" w:lineRule="auto"/>
        <w:rPr>
          <w:sz w:val="20"/>
          <w:szCs w:val="20"/>
          <w:color w:val="auto"/>
        </w:rPr>
      </w:pPr>
      <w:r>
        <w:rPr>
          <w:rFonts w:ascii="Arial" w:cs="Arial" w:eastAsia="Arial" w:hAnsi="Arial"/>
          <w:sz w:val="17"/>
          <w:szCs w:val="17"/>
          <w:color w:val="auto"/>
        </w:rPr>
        <w:t>trends in the biopharmaceutical industry, in particular for our lead product candidates, KER-050 and KER-047, our business, financial condition and results of operations could be materially adversely affected.</w:t>
      </w:r>
    </w:p>
    <w:p>
      <w:pPr>
        <w:spacing w:after="0" w:line="44"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As part of our business strategy, we may seek orphan drug designation for any product candidates we develop, and we may be unsuccessful.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47" w:lineRule="exact"/>
        <w:rPr>
          <w:sz w:val="20"/>
          <w:szCs w:val="20"/>
          <w:color w:val="auto"/>
        </w:rPr>
      </w:pPr>
    </w:p>
    <w:p>
      <w:pPr>
        <w:jc w:val="both"/>
        <w:ind w:right="140"/>
        <w:spacing w:after="0" w:line="230" w:lineRule="auto"/>
        <w:rPr>
          <w:sz w:val="20"/>
          <w:szCs w:val="20"/>
          <w:color w:val="auto"/>
        </w:rPr>
      </w:pPr>
      <w:r>
        <w:rPr>
          <w:rFonts w:ascii="Arial" w:cs="Arial" w:eastAsia="Arial" w:hAnsi="Arial"/>
          <w:sz w:val="17"/>
          <w:szCs w:val="17"/>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and indication for seven years, except in limited circumstances.</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76"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3" w:lineRule="exact"/>
        <w:rPr>
          <w:sz w:val="20"/>
          <w:szCs w:val="20"/>
          <w:color w:val="auto"/>
        </w:rPr>
      </w:pPr>
    </w:p>
    <w:p>
      <w:pPr>
        <w:ind w:right="360"/>
        <w:spacing w:after="0" w:line="233" w:lineRule="auto"/>
        <w:rPr>
          <w:sz w:val="20"/>
          <w:szCs w:val="20"/>
          <w:color w:val="auto"/>
        </w:rPr>
      </w:pPr>
      <w:r>
        <w:rPr>
          <w:rFonts w:ascii="Arial" w:cs="Arial" w:eastAsia="Arial" w:hAnsi="Arial"/>
          <w:sz w:val="17"/>
          <w:szCs w:val="17"/>
          <w:color w:val="auto"/>
        </w:rPr>
        <w:t>If we are successful in obtaining marketing approval from applicable regulatory authorities for KER-050, KER-047 or any other product candidate, our ability to generate revenues from any such products will depend on our success in:</w:t>
      </w:r>
    </w:p>
    <w:p>
      <w:pPr>
        <w:spacing w:after="0" w:line="182" w:lineRule="exact"/>
        <w:rPr>
          <w:sz w:val="20"/>
          <w:szCs w:val="20"/>
          <w:color w:val="auto"/>
        </w:rPr>
      </w:pP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launching commercial sales of such products, whether alone or in collaboration with others;</w:t>
      </w:r>
    </w:p>
    <w:p>
      <w:pPr>
        <w:spacing w:after="0" w:line="26" w:lineRule="exact"/>
        <w:rPr>
          <w:rFonts w:ascii="MS PGothic" w:cs="MS PGothic" w:eastAsia="MS PGothic" w:hAnsi="MS PGothic"/>
          <w:sz w:val="12"/>
          <w:szCs w:val="12"/>
          <w:color w:val="auto"/>
        </w:rPr>
      </w:pPr>
    </w:p>
    <w:p>
      <w:pPr>
        <w:ind w:left="880" w:right="620" w:hanging="432"/>
        <w:spacing w:after="0" w:line="233" w:lineRule="auto"/>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receiving approved labels with claims that are necessary or desirable for successful marketing, and that do not contain safety or other limitations that would impede our ability to market such products;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creating market demand for such products through marketing, sales and promotion activities;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hiring, training, and deploying a sales force or contracting with third parties to commercialize such products in the United States;</w:t>
      </w:r>
    </w:p>
    <w:p>
      <w:pPr>
        <w:spacing w:after="0" w:line="26" w:lineRule="exact"/>
        <w:rPr>
          <w:rFonts w:ascii="MS PGothic" w:cs="MS PGothic" w:eastAsia="MS PGothic" w:hAnsi="MS PGothic"/>
          <w:sz w:val="12"/>
          <w:szCs w:val="12"/>
          <w:color w:val="auto"/>
        </w:rPr>
      </w:pPr>
    </w:p>
    <w:p>
      <w:pPr>
        <w:ind w:left="880" w:right="440" w:hanging="432"/>
        <w:spacing w:after="0" w:line="233" w:lineRule="auto"/>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creating strategic collaborations with, or offering licenses to, third parties to promote and sell such products in foreign markets where we receive marketing approval;</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2"/>
        </w:numPr>
        <w:rPr>
          <w:rFonts w:ascii="MS PGothic" w:cs="MS PGothic" w:eastAsia="MS PGothic" w:hAnsi="MS PGothic"/>
          <w:sz w:val="11"/>
          <w:szCs w:val="11"/>
          <w:color w:val="auto"/>
        </w:rPr>
      </w:pPr>
      <w:r>
        <w:rPr>
          <w:rFonts w:ascii="Arial" w:cs="Arial" w:eastAsia="Arial" w:hAnsi="Arial"/>
          <w:sz w:val="15"/>
          <w:szCs w:val="15"/>
          <w:color w:val="auto"/>
        </w:rPr>
        <w:t>manufacturing such products in sufficient quantities and at acceptable quality and cost to meet commercial demand at launch and thereafter;</w:t>
      </w:r>
    </w:p>
    <w:p>
      <w:pPr>
        <w:spacing w:after="0" w:line="49" w:lineRule="exact"/>
        <w:rPr>
          <w:rFonts w:ascii="MS PGothic" w:cs="MS PGothic" w:eastAsia="MS PGothic" w:hAnsi="MS PGothic"/>
          <w:sz w:val="11"/>
          <w:szCs w:val="11"/>
          <w:color w:val="auto"/>
        </w:rPr>
      </w:pPr>
    </w:p>
    <w:p>
      <w:pPr>
        <w:ind w:left="880" w:right="380" w:hanging="432"/>
        <w:spacing w:after="0" w:line="233" w:lineRule="auto"/>
        <w:tabs>
          <w:tab w:leader="none" w:pos="88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establishing and maintaining agreements with wholesalers, distributors, and group purchasing organizations on commercially reasonable terms;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448"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maintaining patent and trade secret protection and regulatory exclusivity for such products;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achieving market acceptance of such products by patients, the medical community, and third-party payors;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achieving coverage and adequate reimbursement from third-party payors for such products;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patients’ willingness to pay out-of-pocket in the absence of such coverage and adequate reimbursement from third-party payors;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effectively competing with other therapies;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maintaining a continued acceptable safety profile of such products following launch.</w:t>
      </w:r>
    </w:p>
    <w:p>
      <w:pPr>
        <w:spacing w:after="0" w:line="144" w:lineRule="exact"/>
        <w:rPr>
          <w:sz w:val="20"/>
          <w:szCs w:val="20"/>
          <w:color w:val="auto"/>
        </w:rPr>
      </w:pPr>
    </w:p>
    <w:p>
      <w:pPr>
        <w:ind w:right="700"/>
        <w:spacing w:after="0" w:line="233" w:lineRule="auto"/>
        <w:rPr>
          <w:sz w:val="20"/>
          <w:szCs w:val="20"/>
          <w:color w:val="auto"/>
        </w:rPr>
      </w:pPr>
      <w:r>
        <w:rPr>
          <w:rFonts w:ascii="Arial" w:cs="Arial" w:eastAsia="Arial" w:hAnsi="Arial"/>
          <w:sz w:val="17"/>
          <w:szCs w:val="17"/>
          <w:color w:val="auto"/>
        </w:rPr>
        <w:t>To the extent we are not able to do any of the foregoing, our business, financial condition, results of operations, stock price and prospects will be materially harmed.</w:t>
      </w:r>
    </w:p>
    <w:p>
      <w:pPr>
        <w:spacing w:after="0" w:line="44"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and our operating results will suffer if we fail to compete effectively.</w:t>
      </w:r>
    </w:p>
    <w:p>
      <w:pPr>
        <w:spacing w:after="0" w:line="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0"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We compete in the segments of the biotechnology, pharmaceutical and other related industries that develop and market therapies for the treatment of hematological and musculoskeletal disorders. There are many other companies, including large biotechnology and pharmaceutical companies, that have commercialized and/or are developing therapies for the same therapeutic areas that our product candidates target. For example, FibroGen Inc. and Astellas Pharma Inc. are developing product candidates for the treatment of anemia, and Acceleron Pharma Inc. and Bristol-Myers Squibb Company are both developing product candidates targeting diseases associated with MDS and myelofibrosis, including chronic anemia. Sierra Oncology, Inc. is developing a treatment for myelofibrosis.</w:t>
      </w:r>
    </w:p>
    <w:p>
      <w:pPr>
        <w:spacing w:after="0" w:line="144" w:lineRule="exact"/>
        <w:rPr>
          <w:sz w:val="20"/>
          <w:szCs w:val="20"/>
          <w:color w:val="auto"/>
        </w:rPr>
      </w:pPr>
    </w:p>
    <w:p>
      <w:pPr>
        <w:ind w:right="640"/>
        <w:spacing w:after="0" w:line="233" w:lineRule="auto"/>
        <w:rPr>
          <w:sz w:val="20"/>
          <w:szCs w:val="20"/>
          <w:color w:val="auto"/>
        </w:rPr>
      </w:pPr>
      <w:r>
        <w:rPr>
          <w:rFonts w:ascii="Arial" w:cs="Arial" w:eastAsia="Arial" w:hAnsi="Arial"/>
          <w:sz w:val="17"/>
          <w:szCs w:val="17"/>
          <w:color w:val="auto"/>
        </w:rPr>
        <w:t>Other companies that are developing product candidates that are designed to target the TGF-ß signaling pathways include Scholar Rock Holding Corporation, Biogen Inc. and Regeneron Pharmaceuticals, Inc.</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There are currently no approved drugs for the treatment of FOP. However, Ipsen, through its subsidiary Clementia Pharmaceuticals Inc. and pursuant to a collaboration with Blueprint Medicines Corporation, as well as Regeneron Pharmaceuticals, Inc. and BioCryst Pharmaceuticals, Inc. are developing product candidates for the treatment of FOP that are intended to work, at least in part, through inhibition of the ALK2 signaling pathway.</w:t>
      </w:r>
    </w:p>
    <w:p>
      <w:pPr>
        <w:spacing w:after="0" w:line="14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448" w:right="3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4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We do not have a sales or marketing infrastructure and have no experience in the sale or marketing of biopharmaceutical products. To achieve commercial success for any approved product, we must develop or acquire a sales and marketing organization, outsource these functions to third parties or enter into strategic collaborations.</w:t>
      </w:r>
    </w:p>
    <w:p>
      <w:pPr>
        <w:spacing w:after="0" w:line="1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85" w:lineRule="exact"/>
        <w:rPr>
          <w:sz w:val="20"/>
          <w:szCs w:val="20"/>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our inability to recruit, train and retain adequate numbers of effective sales and marketing personnel;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the inability of sales personnel to obtain access to or educate adequate numbers of physicians on the benefits of our products;</w:t>
      </w:r>
    </w:p>
    <w:p>
      <w:pPr>
        <w:spacing w:after="0" w:line="26"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unforeseen costs and expenses associated with creating an independent sales and marketing organization;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costs of marketing and promotion above those anticipated by us.</w:t>
      </w:r>
    </w:p>
    <w:p>
      <w:pPr>
        <w:spacing w:after="0" w:line="144"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46"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8"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their sales may be limited, and we may never become profitable.</w:t>
      </w:r>
    </w:p>
    <w:p>
      <w:pPr>
        <w:spacing w:after="0" w:line="13"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448" w:right="3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100"/>
        <w:spacing w:after="0" w:line="228" w:lineRule="auto"/>
        <w:rPr>
          <w:sz w:val="20"/>
          <w:szCs w:val="20"/>
          <w:color w:val="auto"/>
        </w:rPr>
      </w:pPr>
      <w:r>
        <w:rPr>
          <w:rFonts w:ascii="Arial" w:cs="Arial" w:eastAsia="Arial" w:hAnsi="Arial"/>
          <w:sz w:val="17"/>
          <w:szCs w:val="17"/>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184" w:lineRule="exact"/>
        <w:rPr>
          <w:sz w:val="20"/>
          <w:szCs w:val="20"/>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clinical indications for which our product candidates are approved;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physicians, hospitals and patients considering our product candidates as a safe and effective treatment;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potential and perceived advantages of our product candidates over alternative treatments;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prevalence and severity of any side effects;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product labeling or product insert requirements of the FDA or comparable foreign regulatory authorities;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limitations or warnings contained in the labeling approved by the FDA or comparable foreign regulatory authorities;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timing of market introduction of our product candidates in relation to other potentially competitive products;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cost of our product candidates in relation to alternative treatments;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amount of upfront costs or training required for physicians to administer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availability of coverage and adequate reimbursement from third-party payors and government authorities;</w:t>
      </w:r>
    </w:p>
    <w:p>
      <w:pPr>
        <w:spacing w:after="0" w:line="26" w:lineRule="exact"/>
        <w:rPr>
          <w:rFonts w:ascii="MS PGothic" w:cs="MS PGothic" w:eastAsia="MS PGothic" w:hAnsi="MS PGothic"/>
          <w:sz w:val="12"/>
          <w:szCs w:val="12"/>
          <w:color w:val="auto"/>
        </w:rPr>
      </w:pPr>
    </w:p>
    <w:p>
      <w:pPr>
        <w:ind w:left="880" w:right="440" w:hanging="432"/>
        <w:spacing w:after="0" w:line="233" w:lineRule="auto"/>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willingness of patients to pay out-of-pocket in the absence of comprehensive coverage and reimbursement by third-party payors and government authorities;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relative convenience and ease of administration, including as compared to alternative treatments and competitive therapies;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effectiveness of our sales and marketing efforts and distribution support;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presence or perceived risk of potential product liability claims.</w:t>
      </w:r>
    </w:p>
    <w:p>
      <w:pPr>
        <w:spacing w:after="0" w:line="46"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81" w:lineRule="exact"/>
        <w:rPr>
          <w:sz w:val="20"/>
          <w:szCs w:val="20"/>
          <w:color w:val="auto"/>
        </w:rPr>
      </w:pPr>
    </w:p>
    <w:p>
      <w:pPr>
        <w:ind w:left="880" w:right="420" w:hanging="432"/>
        <w:spacing w:after="0" w:line="230" w:lineRule="auto"/>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5" w:lineRule="exact"/>
        <w:rPr>
          <w:rFonts w:ascii="MS PGothic" w:cs="MS PGothic" w:eastAsia="MS PGothic" w:hAnsi="MS PGothic"/>
          <w:sz w:val="12"/>
          <w:szCs w:val="12"/>
          <w:color w:val="auto"/>
        </w:rPr>
      </w:pPr>
    </w:p>
    <w:p>
      <w:pPr>
        <w:ind w:left="880" w:right="380" w:hanging="432"/>
        <w:spacing w:after="0" w:line="233" w:lineRule="auto"/>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5" w:lineRule="exact"/>
        <w:rPr>
          <w:rFonts w:ascii="MS PGothic" w:cs="MS PGothic" w:eastAsia="MS PGothic" w:hAnsi="MS PGothic"/>
          <w:sz w:val="12"/>
          <w:szCs w:val="12"/>
          <w:color w:val="auto"/>
        </w:rPr>
      </w:pPr>
    </w:p>
    <w:p>
      <w:pPr>
        <w:ind w:left="880" w:right="100" w:hanging="432"/>
        <w:spacing w:after="0" w:line="269" w:lineRule="auto"/>
        <w:tabs>
          <w:tab w:leader="none" w:pos="880" w:val="left"/>
        </w:tabs>
        <w:numPr>
          <w:ilvl w:val="0"/>
          <w:numId w:val="36"/>
        </w:numPr>
        <w:rPr>
          <w:rFonts w:ascii="MS PGothic" w:cs="MS PGothic" w:eastAsia="MS PGothic" w:hAnsi="MS PGothic"/>
          <w:sz w:val="11"/>
          <w:szCs w:val="11"/>
          <w:color w:val="auto"/>
        </w:rPr>
      </w:pPr>
      <w:r>
        <w:rPr>
          <w:rFonts w:ascii="Arial" w:cs="Arial" w:eastAsia="Arial" w:hAnsi="Arial"/>
          <w:sz w:val="15"/>
          <w:szCs w:val="15"/>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8" w:lineRule="exact"/>
        <w:rPr>
          <w:rFonts w:ascii="MS PGothic" w:cs="MS PGothic" w:eastAsia="MS PGothic" w:hAnsi="MS PGothic"/>
          <w:sz w:val="11"/>
          <w:szCs w:val="11"/>
          <w:color w:val="auto"/>
        </w:rPr>
      </w:pPr>
    </w:p>
    <w:p>
      <w:pPr>
        <w:ind w:left="880" w:hanging="432"/>
        <w:spacing w:after="0"/>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a licensure framework for follow on biologic products;</w:t>
      </w:r>
    </w:p>
    <w:p>
      <w:pPr>
        <w:spacing w:after="0" w:line="26"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25" w:lineRule="exact"/>
        <w:rPr>
          <w:rFonts w:ascii="MS PGothic" w:cs="MS PGothic" w:eastAsia="MS PGothic" w:hAnsi="MS PGothic"/>
          <w:sz w:val="12"/>
          <w:szCs w:val="12"/>
          <w:color w:val="auto"/>
        </w:rPr>
      </w:pPr>
    </w:p>
    <w:p>
      <w:pPr>
        <w:ind w:left="880" w:right="260" w:hanging="432"/>
        <w:spacing w:after="0" w:line="289" w:lineRule="auto"/>
        <w:tabs>
          <w:tab w:leader="none" w:pos="880" w:val="left"/>
        </w:tabs>
        <w:numPr>
          <w:ilvl w:val="0"/>
          <w:numId w:val="36"/>
        </w:numPr>
        <w:rPr>
          <w:rFonts w:ascii="MS PGothic" w:cs="MS PGothic" w:eastAsia="MS PGothic" w:hAnsi="MS PGothic"/>
          <w:sz w:val="11"/>
          <w:szCs w:val="11"/>
          <w:color w:val="auto"/>
        </w:rPr>
      </w:pPr>
      <w:r>
        <w:rPr>
          <w:rFonts w:ascii="Arial" w:cs="Arial" w:eastAsia="Arial" w:hAnsi="Arial"/>
          <w:sz w:val="15"/>
          <w:szCs w:val="15"/>
          <w:color w:val="auto"/>
        </w:rPr>
        <w:t>establishment of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48"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Since its enactment, there have been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It is unclear how this decision, future decisions and subsequent appeals and other efforts to repeal and replace the ACA will impact the ACA and our business.</w:t>
      </w:r>
    </w:p>
    <w:p>
      <w:pPr>
        <w:spacing w:after="0" w:line="15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2029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46"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on May 11, 2018, President Trump laid out his administration’s “Blueprint” to lower drug prices and reduce out-of-pocket costs of prescription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soliciting feedback on some of these measures and, at the same time,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may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48" w:lineRule="exact"/>
        <w:rPr>
          <w:sz w:val="20"/>
          <w:szCs w:val="20"/>
          <w:color w:val="auto"/>
        </w:rPr>
      </w:pPr>
    </w:p>
    <w:p>
      <w:pPr>
        <w:jc w:val="both"/>
        <w:ind w:right="400"/>
        <w:spacing w:after="0" w:line="230"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00"/>
          </w:cols>
          <w:pgMar w:left="320" w:top="448" w:right="3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4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w:t>
      </w:r>
    </w:p>
    <w:p>
      <w:pPr>
        <w:spacing w:after="0" w:line="143"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47"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42"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9" w:lineRule="exact"/>
        <w:rPr>
          <w:sz w:val="20"/>
          <w:szCs w:val="20"/>
          <w:color w:val="auto"/>
        </w:rPr>
      </w:pPr>
    </w:p>
    <w:p>
      <w:pPr>
        <w:ind w:right="340"/>
        <w:spacing w:after="0" w:line="286" w:lineRule="auto"/>
        <w:rPr>
          <w:sz w:val="20"/>
          <w:szCs w:val="20"/>
          <w:color w:val="auto"/>
        </w:rPr>
      </w:pPr>
      <w:r>
        <w:rPr>
          <w:rFonts w:ascii="Arial" w:cs="Arial" w:eastAsia="Arial" w:hAnsi="Arial"/>
          <w:sz w:val="15"/>
          <w:szCs w:val="15"/>
          <w:b w:val="1"/>
          <w:bCs w:val="1"/>
          <w:i w:val="1"/>
          <w:iCs w:val="1"/>
          <w:color w:val="auto"/>
        </w:rPr>
        <w:t>Our business operations and current and future relationships with investigators, healthcare professionals, consultants, third-party payors, patient organizations and customers may be subject to applicable healthcare regulatory laws, which could expose us to penalties.</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84" w:lineRule="exact"/>
        <w:rPr>
          <w:sz w:val="20"/>
          <w:szCs w:val="20"/>
          <w:color w:val="auto"/>
        </w:rPr>
      </w:pPr>
    </w:p>
    <w:p>
      <w:pPr>
        <w:ind w:left="880" w:right="20" w:hanging="432"/>
        <w:spacing w:after="0" w:line="227" w:lineRule="auto"/>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26" w:lineRule="exact"/>
        <w:rPr>
          <w:rFonts w:ascii="MS PGothic" w:cs="MS PGothic" w:eastAsia="MS PGothic" w:hAnsi="MS PGothic"/>
          <w:sz w:val="12"/>
          <w:szCs w:val="12"/>
          <w:color w:val="auto"/>
        </w:rPr>
      </w:pPr>
    </w:p>
    <w:p>
      <w:pPr>
        <w:ind w:left="880" w:right="480" w:hanging="432"/>
        <w:spacing w:after="0" w:line="230" w:lineRule="auto"/>
        <w:tabs>
          <w:tab w:leader="none" w:pos="88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448"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900" w:right="20"/>
        <w:spacing w:after="0" w:line="228" w:lineRule="auto"/>
        <w:rPr>
          <w:sz w:val="20"/>
          <w:szCs w:val="20"/>
          <w:color w:val="auto"/>
        </w:rPr>
      </w:pPr>
      <w:r>
        <w:rPr>
          <w:rFonts w:ascii="Arial" w:cs="Arial" w:eastAsia="Arial" w:hAnsi="Arial"/>
          <w:sz w:val="17"/>
          <w:szCs w:val="17"/>
          <w:color w:val="auto"/>
        </w:rPr>
        <w:t>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spacing w:after="0" w:line="24" w:lineRule="exact"/>
        <w:rPr>
          <w:sz w:val="20"/>
          <w:szCs w:val="20"/>
          <w:color w:val="auto"/>
        </w:rPr>
      </w:pPr>
    </w:p>
    <w:p>
      <w:pPr>
        <w:ind w:left="880" w:right="20" w:hanging="432"/>
        <w:spacing w:after="0" w:line="260" w:lineRule="auto"/>
        <w:tabs>
          <w:tab w:leader="none" w:pos="880" w:val="left"/>
        </w:tabs>
        <w:numPr>
          <w:ilvl w:val="0"/>
          <w:numId w:val="38"/>
        </w:numPr>
        <w:rPr>
          <w:rFonts w:ascii="MS PGothic" w:cs="MS PGothic" w:eastAsia="MS PGothic" w:hAnsi="MS PGothic"/>
          <w:sz w:val="11"/>
          <w:szCs w:val="11"/>
          <w:color w:val="auto"/>
        </w:rPr>
      </w:pPr>
      <w:r>
        <w:rPr>
          <w:rFonts w:ascii="Arial" w:cs="Arial" w:eastAsia="Arial" w:hAnsi="Arial"/>
          <w:sz w:val="15"/>
          <w:szCs w:val="15"/>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 w:lineRule="exact"/>
        <w:rPr>
          <w:rFonts w:ascii="MS PGothic" w:cs="MS PGothic" w:eastAsia="MS PGothic" w:hAnsi="MS PGothic"/>
          <w:sz w:val="11"/>
          <w:szCs w:val="11"/>
          <w:color w:val="auto"/>
        </w:rPr>
      </w:pPr>
    </w:p>
    <w:p>
      <w:pPr>
        <w:ind w:left="880" w:right="80" w:hanging="432"/>
        <w:spacing w:after="0" w:line="228" w:lineRule="auto"/>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HIPAA, as amended by the Health Information Technology for Economic and Clinical Health Act of 2009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w:t>
      </w:r>
    </w:p>
    <w:p>
      <w:pPr>
        <w:spacing w:after="0" w:line="24" w:lineRule="exact"/>
        <w:rPr>
          <w:rFonts w:ascii="MS PGothic" w:cs="MS PGothic" w:eastAsia="MS PGothic" w:hAnsi="MS PGothic"/>
          <w:sz w:val="12"/>
          <w:szCs w:val="12"/>
          <w:color w:val="auto"/>
        </w:rPr>
      </w:pPr>
    </w:p>
    <w:p>
      <w:pPr>
        <w:ind w:left="880" w:hanging="432"/>
        <w:spacing w:after="0"/>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26" w:lineRule="exact"/>
        <w:rPr>
          <w:rFonts w:ascii="MS PGothic" w:cs="MS PGothic" w:eastAsia="MS PGothic" w:hAnsi="MS PGothic"/>
          <w:sz w:val="12"/>
          <w:szCs w:val="12"/>
          <w:color w:val="auto"/>
        </w:rPr>
      </w:pPr>
    </w:p>
    <w:p>
      <w:pPr>
        <w:ind w:left="880" w:right="420" w:hanging="432"/>
        <w:spacing w:after="0" w:line="233" w:lineRule="auto"/>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U.S. Public Health Service Act, which prohibits, among other things, the introduction into interstate commerce of a biological product unless a biologics license is in effect for that product;</w:t>
      </w:r>
    </w:p>
    <w:p>
      <w:pPr>
        <w:spacing w:after="0" w:line="25" w:lineRule="exact"/>
        <w:rPr>
          <w:rFonts w:ascii="MS PGothic" w:cs="MS PGothic" w:eastAsia="MS PGothic" w:hAnsi="MS PGothic"/>
          <w:sz w:val="12"/>
          <w:szCs w:val="12"/>
          <w:color w:val="auto"/>
        </w:rPr>
      </w:pPr>
    </w:p>
    <w:p>
      <w:pPr>
        <w:ind w:left="880" w:hanging="432"/>
        <w:spacing w:after="0" w:line="228" w:lineRule="auto"/>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made in the prior year to physicians, as defined under such law, teaching hospitals and, beginning in 2022, certain other healthcare providers, as well as ownership and investment interests held by such healthcare providers and their immediate family members; and</w:t>
      </w:r>
    </w:p>
    <w:p>
      <w:pPr>
        <w:spacing w:after="0" w:line="24" w:lineRule="exact"/>
        <w:rPr>
          <w:rFonts w:ascii="MS PGothic" w:cs="MS PGothic" w:eastAsia="MS PGothic" w:hAnsi="MS PGothic"/>
          <w:sz w:val="12"/>
          <w:szCs w:val="12"/>
          <w:color w:val="auto"/>
        </w:rPr>
      </w:pPr>
    </w:p>
    <w:p>
      <w:pPr>
        <w:ind w:left="880" w:right="20" w:hanging="432"/>
        <w:spacing w:after="0" w:line="226" w:lineRule="auto"/>
        <w:tabs>
          <w:tab w:leader="none" w:pos="88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43" w:lineRule="exact"/>
        <w:rPr>
          <w:sz w:val="20"/>
          <w:szCs w:val="20"/>
          <w:color w:val="auto"/>
        </w:rPr>
      </w:pPr>
    </w:p>
    <w:p>
      <w:pPr>
        <w:ind w:right="900"/>
        <w:spacing w:after="0" w:line="233" w:lineRule="auto"/>
        <w:rPr>
          <w:sz w:val="20"/>
          <w:szCs w:val="20"/>
          <w:color w:val="auto"/>
        </w:rPr>
      </w:pPr>
      <w:r>
        <w:rPr>
          <w:rFonts w:ascii="Arial" w:cs="Arial" w:eastAsia="Arial" w:hAnsi="Arial"/>
          <w:sz w:val="17"/>
          <w:szCs w:val="17"/>
          <w:color w:val="auto"/>
        </w:rPr>
        <w:t>In addition, our activities are also subject to certain federal and state consumer protection and unfair competition laws, which broadly regulate marketplace activities and activities that potentially harm consumers.</w:t>
      </w:r>
    </w:p>
    <w:p>
      <w:pPr>
        <w:spacing w:after="0" w:line="143"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448" w:right="3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49"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b w:val="1"/>
          <w:bCs w:val="1"/>
          <w:i w:val="1"/>
          <w:iCs w:val="1"/>
          <w:color w:val="auto"/>
        </w:rPr>
        <w:t>If the market opportunities for our product candidates are smaller than we believe they are, even assuming approval of a product candidate, our business may suffer.</w:t>
      </w:r>
    </w:p>
    <w:p>
      <w:pPr>
        <w:spacing w:after="0" w:line="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Our projections of both the number of people who are affected by disease within our potential target indications, as well as the subset of these people who have the potential to benefit from treatment with our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and results of operations.</w:t>
      </w:r>
    </w:p>
    <w:p>
      <w:pPr>
        <w:spacing w:after="0" w:line="4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i w:val="1"/>
          <w:iCs w:val="1"/>
          <w:color w:val="auto"/>
        </w:rPr>
        <w:t>Any product candidates we develop may become subject to unfavorable third-party coverage and reimbursement practices, as well as pricing regulations.</w:t>
      </w:r>
    </w:p>
    <w:p>
      <w:pPr>
        <w:spacing w:after="0" w:line="3"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4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47"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48"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900"/>
        <w:spacing w:after="0" w:line="233" w:lineRule="auto"/>
        <w:rPr>
          <w:sz w:val="20"/>
          <w:szCs w:val="20"/>
          <w:color w:val="auto"/>
        </w:rPr>
      </w:pPr>
      <w:r>
        <w:rPr>
          <w:rFonts w:ascii="Arial" w:cs="Arial" w:eastAsia="Arial" w:hAnsi="Arial"/>
          <w:sz w:val="17"/>
          <w:szCs w:val="17"/>
          <w:color w:val="auto"/>
        </w:rPr>
        <w:t>that coverage and reimbursement will be available for any product that we commercialize and, if reimbursement is available, what the level of reimbursement will be.</w:t>
      </w:r>
    </w:p>
    <w:p>
      <w:pPr>
        <w:spacing w:after="0" w:line="14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76"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47"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w:t>
      </w:r>
    </w:p>
    <w:p>
      <w:pPr>
        <w:spacing w:after="0" w:line="128"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00"/>
          </w:cols>
          <w:pgMar w:left="320" w:top="448" w:right="3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43"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 party or instituted by the United States Patent and Trademark Office, or USPTO, to determine who was the first to invent any of the subject matter covered by the patent claims of our applications.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320"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1"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82" w:lineRule="exact"/>
        <w:rPr>
          <w:sz w:val="20"/>
          <w:szCs w:val="20"/>
          <w:color w:val="auto"/>
        </w:rPr>
      </w:pPr>
    </w:p>
    <w:p>
      <w:pPr>
        <w:ind w:left="880" w:right="220" w:hanging="432"/>
        <w:spacing w:after="0" w:line="233" w:lineRule="auto"/>
        <w:tabs>
          <w:tab w:leader="none" w:pos="88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others may be able to make or use compounds or cells that are similar to the biological compositions of our product candidates but that are not covered by the claims of our patents;</w:t>
      </w:r>
    </w:p>
    <w:p>
      <w:pPr>
        <w:spacing w:after="0" w:line="25" w:lineRule="exact"/>
        <w:rPr>
          <w:rFonts w:ascii="MS PGothic" w:cs="MS PGothic" w:eastAsia="MS PGothic" w:hAnsi="MS PGothic"/>
          <w:sz w:val="12"/>
          <w:szCs w:val="12"/>
          <w:color w:val="auto"/>
        </w:rPr>
      </w:pPr>
    </w:p>
    <w:p>
      <w:pPr>
        <w:ind w:left="880" w:right="180" w:hanging="432"/>
        <w:spacing w:after="0" w:line="233" w:lineRule="auto"/>
        <w:tabs>
          <w:tab w:leader="none" w:pos="88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25" w:lineRule="exact"/>
        <w:rPr>
          <w:rFonts w:ascii="MS PGothic" w:cs="MS PGothic" w:eastAsia="MS PGothic" w:hAnsi="MS PGothic"/>
          <w:sz w:val="12"/>
          <w:szCs w:val="12"/>
          <w:color w:val="auto"/>
        </w:rPr>
      </w:pPr>
    </w:p>
    <w:p>
      <w:pPr>
        <w:ind w:left="880" w:right="300" w:hanging="432"/>
        <w:spacing w:after="0" w:line="233" w:lineRule="auto"/>
        <w:tabs>
          <w:tab w:leader="none" w:pos="88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48"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it is possible that our pending patent applications will not result in issued patents;</w:t>
      </w:r>
    </w:p>
    <w:p>
      <w:pPr>
        <w:spacing w:after="0" w:line="26" w:lineRule="exact"/>
        <w:rPr>
          <w:rFonts w:ascii="MS PGothic" w:cs="MS PGothic" w:eastAsia="MS PGothic" w:hAnsi="MS PGothic"/>
          <w:sz w:val="12"/>
          <w:szCs w:val="12"/>
          <w:color w:val="auto"/>
        </w:rPr>
      </w:pPr>
    </w:p>
    <w:p>
      <w:pPr>
        <w:ind w:left="880" w:right="26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it is possible that others may circumvent our owned or in-licensed patents;</w:t>
      </w:r>
    </w:p>
    <w:p>
      <w:pPr>
        <w:spacing w:after="0" w:line="26"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25" w:lineRule="exact"/>
        <w:rPr>
          <w:rFonts w:ascii="MS PGothic" w:cs="MS PGothic" w:eastAsia="MS PGothic" w:hAnsi="MS PGothic"/>
          <w:sz w:val="12"/>
          <w:szCs w:val="12"/>
          <w:color w:val="auto"/>
        </w:rPr>
      </w:pPr>
    </w:p>
    <w:p>
      <w:pPr>
        <w:ind w:left="880" w:right="2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6"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25" w:lineRule="exact"/>
        <w:rPr>
          <w:rFonts w:ascii="MS PGothic" w:cs="MS PGothic" w:eastAsia="MS PGothic" w:hAnsi="MS PGothic"/>
          <w:sz w:val="12"/>
          <w:szCs w:val="12"/>
          <w:color w:val="auto"/>
        </w:rPr>
      </w:pPr>
    </w:p>
    <w:p>
      <w:pPr>
        <w:ind w:left="880" w:right="560" w:hanging="432"/>
        <w:spacing w:after="0" w:line="230"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25" w:lineRule="exact"/>
        <w:rPr>
          <w:rFonts w:ascii="MS PGothic" w:cs="MS PGothic" w:eastAsia="MS PGothic" w:hAnsi="MS PGothic"/>
          <w:sz w:val="12"/>
          <w:szCs w:val="12"/>
          <w:color w:val="auto"/>
        </w:rPr>
      </w:pPr>
    </w:p>
    <w:p>
      <w:pPr>
        <w:ind w:left="880" w:right="220" w:hanging="432"/>
        <w:spacing w:after="0" w:line="230"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25"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25" w:lineRule="exact"/>
        <w:rPr>
          <w:rFonts w:ascii="MS PGothic" w:cs="MS PGothic" w:eastAsia="MS PGothic" w:hAnsi="MS PGothic"/>
          <w:sz w:val="12"/>
          <w:szCs w:val="12"/>
          <w:color w:val="auto"/>
        </w:rPr>
      </w:pPr>
    </w:p>
    <w:p>
      <w:pPr>
        <w:ind w:left="880" w:right="320" w:hanging="432"/>
        <w:spacing w:after="0" w:line="233" w:lineRule="auto"/>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we may not develop additional proprietary technologies for which we can obtain patent protection; it is possible that product candidates or diagnostic tests we develop may be covered by third parties’ patents or other exclusive rights; or</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the patents of others may have an adverse effect on our business.</w:t>
      </w:r>
    </w:p>
    <w:p>
      <w:pPr>
        <w:spacing w:after="0" w:line="46"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3" w:lineRule="exact"/>
        <w:rPr>
          <w:sz w:val="20"/>
          <w:szCs w:val="20"/>
          <w:color w:val="auto"/>
        </w:rPr>
      </w:pPr>
    </w:p>
    <w:p>
      <w:pPr>
        <w:jc w:val="both"/>
        <w:ind w:right="360"/>
        <w:spacing w:after="0" w:line="230"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Any termination of these licenses could result in the loss of significant rights and could harm our ability to commercialize our product candidates. See “Business—License and Collaboration Agreements” for additional information regarding our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Disputes may also arise between us and our licensors regarding intellectual property subject to a license agreement, including:</w:t>
      </w:r>
    </w:p>
    <w:p>
      <w:pPr>
        <w:spacing w:after="0" w:line="183" w:lineRule="exact"/>
        <w:rPr>
          <w:sz w:val="20"/>
          <w:szCs w:val="20"/>
          <w:color w:val="auto"/>
        </w:rPr>
      </w:pPr>
    </w:p>
    <w:p>
      <w:pPr>
        <w:ind w:left="880" w:right="700" w:hanging="432"/>
        <w:spacing w:after="0" w:line="233"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26" w:lineRule="exact"/>
        <w:rPr>
          <w:rFonts w:ascii="MS PGothic" w:cs="MS PGothic" w:eastAsia="MS PGothic" w:hAnsi="MS PGothic"/>
          <w:sz w:val="12"/>
          <w:szCs w:val="12"/>
          <w:color w:val="auto"/>
        </w:rPr>
      </w:pPr>
    </w:p>
    <w:p>
      <w:pPr>
        <w:ind w:left="880" w:right="540" w:hanging="432"/>
        <w:spacing w:after="0" w:line="233"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 and</w:t>
      </w:r>
    </w:p>
    <w:p>
      <w:pPr>
        <w:spacing w:after="0" w:line="25" w:lineRule="exact"/>
        <w:rPr>
          <w:rFonts w:ascii="MS PGothic" w:cs="MS PGothic" w:eastAsia="MS PGothic" w:hAnsi="MS PGothic"/>
          <w:sz w:val="12"/>
          <w:szCs w:val="12"/>
          <w:color w:val="auto"/>
        </w:rPr>
      </w:pPr>
    </w:p>
    <w:p>
      <w:pPr>
        <w:ind w:left="880" w:right="100" w:hanging="432"/>
        <w:spacing w:after="0" w:line="233" w:lineRule="auto"/>
        <w:tabs>
          <w:tab w:leader="none" w:pos="88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inventorship or ownership of inventions and know-how resulting from the joint creation or use of intellectual property by our licensors and us and our partners.</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448" w:right="3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5"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45"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b w:val="1"/>
          <w:bCs w:val="1"/>
          <w:i w:val="1"/>
          <w:iCs w:val="1"/>
          <w:color w:val="auto"/>
        </w:rPr>
        <w:t>If we fail to comply with our obligations under our patent license with a third party, we could lose license rights that are important to our business.</w:t>
      </w:r>
    </w:p>
    <w:p>
      <w:pPr>
        <w:spacing w:after="0" w:line="3" w:lineRule="exact"/>
        <w:rPr>
          <w:sz w:val="20"/>
          <w:szCs w:val="20"/>
          <w:color w:val="auto"/>
        </w:rPr>
      </w:pPr>
    </w:p>
    <w:p>
      <w:pPr>
        <w:ind w:right="140"/>
        <w:spacing w:after="0" w:line="227" w:lineRule="auto"/>
        <w:rPr>
          <w:sz w:val="20"/>
          <w:szCs w:val="20"/>
          <w:color w:val="auto"/>
        </w:rPr>
      </w:pPr>
      <w:r>
        <w:rPr>
          <w:rFonts w:ascii="Arial" w:cs="Arial" w:eastAsia="Arial" w:hAnsi="Arial"/>
          <w:sz w:val="17"/>
          <w:szCs w:val="17"/>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33"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In addition to patent protection, we rely heavily upon know-how and to some extent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4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42"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48"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33"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83" w:lineRule="exact"/>
        <w:rPr>
          <w:sz w:val="20"/>
          <w:szCs w:val="20"/>
          <w:color w:val="auto"/>
        </w:rPr>
      </w:pPr>
    </w:p>
    <w:p>
      <w:pPr>
        <w:ind w:left="880" w:right="420" w:hanging="432"/>
        <w:spacing w:after="0" w:line="233" w:lineRule="auto"/>
        <w:tabs>
          <w:tab w:leader="none" w:pos="88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25" w:lineRule="exact"/>
        <w:rPr>
          <w:rFonts w:ascii="MS PGothic" w:cs="MS PGothic" w:eastAsia="MS PGothic" w:hAnsi="MS PGothic"/>
          <w:sz w:val="12"/>
          <w:szCs w:val="12"/>
          <w:color w:val="auto"/>
        </w:rPr>
      </w:pPr>
    </w:p>
    <w:p>
      <w:pPr>
        <w:ind w:left="880" w:right="20" w:hanging="432"/>
        <w:spacing w:after="0" w:line="230" w:lineRule="auto"/>
        <w:tabs>
          <w:tab w:leader="none" w:pos="88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5"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25" w:lineRule="exact"/>
        <w:rPr>
          <w:rFonts w:ascii="MS PGothic" w:cs="MS PGothic" w:eastAsia="MS PGothic" w:hAnsi="MS PGothic"/>
          <w:sz w:val="12"/>
          <w:szCs w:val="12"/>
          <w:color w:val="auto"/>
        </w:rPr>
      </w:pPr>
    </w:p>
    <w:p>
      <w:pPr>
        <w:ind w:left="880" w:right="500" w:hanging="432"/>
        <w:spacing w:after="0" w:line="233" w:lineRule="auto"/>
        <w:tabs>
          <w:tab w:leader="none" w:pos="88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products; and</w:t>
      </w:r>
    </w:p>
    <w:p>
      <w:pPr>
        <w:spacing w:after="0" w:line="25" w:lineRule="exact"/>
        <w:rPr>
          <w:rFonts w:ascii="MS PGothic" w:cs="MS PGothic" w:eastAsia="MS PGothic" w:hAnsi="MS PGothic"/>
          <w:sz w:val="12"/>
          <w:szCs w:val="12"/>
          <w:color w:val="auto"/>
        </w:rPr>
      </w:pPr>
    </w:p>
    <w:p>
      <w:pPr>
        <w:ind w:left="880" w:right="380" w:hanging="432"/>
        <w:spacing w:after="0" w:line="233" w:lineRule="auto"/>
        <w:tabs>
          <w:tab w:leader="none" w:pos="88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143"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45" w:lineRule="exact"/>
        <w:rPr>
          <w:sz w:val="20"/>
          <w:szCs w:val="20"/>
          <w:color w:val="auto"/>
        </w:rPr>
      </w:pPr>
    </w:p>
    <w:p>
      <w:pPr>
        <w:ind w:right="820"/>
        <w:spacing w:after="0" w:line="233" w:lineRule="auto"/>
        <w:rPr>
          <w:sz w:val="20"/>
          <w:szCs w:val="20"/>
          <w:color w:val="auto"/>
        </w:rPr>
      </w:pPr>
      <w:r>
        <w:rPr>
          <w:rFonts w:ascii="Arial" w:cs="Arial" w:eastAsia="Arial" w:hAnsi="Arial"/>
          <w:sz w:val="17"/>
          <w:szCs w:val="17"/>
          <w:color w:val="auto"/>
        </w:rPr>
        <w:t>Third parties may assert that we are employing their proprietary technology without authorization. Generally, conducting clinical trials and other development activities in the United States is protected under the Safe Harbor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448" w:right="3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exemption as set forth in 35 U.S.C. § 271. If and when KER-050, KER-047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17"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43"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Lastly, we may need to indemnify our customers and distributors against claims relating to the infringement of intellectual property rights of third parties related to our product candidates, including KER-050 and KER-047.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46"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3"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448"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33" w:lineRule="exact"/>
        <w:rPr>
          <w:sz w:val="20"/>
          <w:szCs w:val="20"/>
          <w:color w:val="auto"/>
        </w:rPr>
      </w:pPr>
    </w:p>
    <w:p>
      <w:pPr>
        <w:ind w:right="340"/>
        <w:spacing w:after="0" w:line="233"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4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448"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16"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26"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 xml:space="preserve">We may choose to challenge the patentability of claims in a third party’s U.S. patent by requesting that the USPTO review the patent claims in an </w:t>
      </w:r>
      <w:r>
        <w:rPr>
          <w:rFonts w:ascii="Arial" w:cs="Arial" w:eastAsia="Arial" w:hAnsi="Arial"/>
          <w:sz w:val="15"/>
          <w:szCs w:val="15"/>
          <w:i w:val="1"/>
          <w:iCs w:val="1"/>
          <w:color w:val="auto"/>
        </w:rPr>
        <w:t>ex-parte</w:t>
      </w:r>
      <w:r>
        <w:rPr>
          <w:rFonts w:ascii="Arial" w:cs="Arial" w:eastAsia="Arial" w:hAnsi="Arial"/>
          <w:sz w:val="15"/>
          <w:szCs w:val="15"/>
          <w:color w:val="auto"/>
        </w:rPr>
        <w:t xml:space="preserve"> re-exam,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22"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43"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4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6" w:lineRule="exact"/>
        <w:rPr>
          <w:sz w:val="20"/>
          <w:szCs w:val="20"/>
          <w:color w:val="auto"/>
        </w:rPr>
      </w:pPr>
    </w:p>
    <w:p>
      <w:pPr>
        <w:jc w:val="both"/>
        <w:ind w:right="180"/>
        <w:spacing w:after="0" w:line="23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448"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w:t>
      </w:r>
    </w:p>
    <w:p>
      <w:pPr>
        <w:spacing w:after="0" w:line="33"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320"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Moreover, the patents included in our patent portfolio may expire before, or soon after, our first product achieves marketing approval in the United States or foreign jurisdictions. For example, the patents related to novel ALK2 inhibitors in the patent family that we license from The General Hospital Corporation are expected to expire in April 2038, without taking into account any possible patent term adjustments or extensions.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2039, without taking into account any possible patent term adjustments or extensions. However, we cannot be assured that the USPTO or relevant foreign patent offices will grant any of these patent applications.</w:t>
      </w:r>
    </w:p>
    <w:p>
      <w:pPr>
        <w:spacing w:after="0" w:line="48"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Changes in patent law in the U.S. and in ex-U.S. jurisdictions could diminish the value of patents in general, thereby impairing our ability to protect our products.</w:t>
      </w:r>
    </w:p>
    <w:p>
      <w:pPr>
        <w:spacing w:after="0" w:line="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 w:cs="Arial" w:eastAsia="Arial" w:hAnsi="Arial"/>
          <w:sz w:val="17"/>
          <w:szCs w:val="17"/>
          <w:i w:val="1"/>
          <w:iCs w:val="1"/>
          <w:color w:val="auto"/>
        </w:rPr>
        <w:t>Amgen Inc. v. Sanofi,</w:t>
      </w:r>
      <w:r>
        <w:rPr>
          <w:rFonts w:ascii="Arial" w:cs="Arial" w:eastAsia="Arial" w:hAnsi="Arial"/>
          <w:sz w:val="17"/>
          <w:szCs w:val="17"/>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Arial" w:cs="Arial" w:eastAsia="Arial" w:hAnsi="Arial"/>
          <w:sz w:val="17"/>
          <w:szCs w:val="17"/>
          <w:i w:val="1"/>
          <w:iCs w:val="1"/>
          <w:color w:val="auto"/>
        </w:rPr>
        <w:t>Assoc. for Molecular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Pathology v. Myriad Genetics, Inc., </w:t>
      </w:r>
      <w:r>
        <w:rPr>
          <w:rFonts w:ascii="Arial" w:cs="Arial" w:eastAsia="Arial" w:hAnsi="Arial"/>
          <w:sz w:val="17"/>
          <w:szCs w:val="17"/>
          <w:color w:val="auto"/>
        </w:rPr>
        <w:t>the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448"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340"/>
        <w:spacing w:after="0" w:line="230" w:lineRule="auto"/>
        <w:rPr>
          <w:sz w:val="20"/>
          <w:szCs w:val="20"/>
          <w:color w:val="auto"/>
        </w:rPr>
      </w:pPr>
      <w:r>
        <w:rPr>
          <w:rFonts w:ascii="Arial" w:cs="Arial" w:eastAsia="Arial" w:hAnsi="Arial"/>
          <w:sz w:val="17"/>
          <w:szCs w:val="17"/>
          <w:color w:val="auto"/>
        </w:rPr>
        <w:t>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45"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b w:val="1"/>
          <w:bCs w:val="1"/>
          <w:i w:val="1"/>
          <w:iCs w:val="1"/>
          <w:color w:val="auto"/>
        </w:rPr>
        <w:t>Some of our in-licensed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1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At least one of our in-licensed patent cases related to our KER-047 product candidate has been funded in part by the U.S. government and, therefore, is subject to certain federal regulations pursuant to the Bayh-Dole Act of 1980, or the Bayh-Dole Act, and it is possible that additional patent filings we may choose to in-license in the future may also be subject to similar regulations. In particular, the federal government retains a “nonexclusive, nontransferable, irrevocable, paid-up license” for its own benefit to inventions produced with its financial assistance.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Intellectual property discovered under government-funded programs are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Moreover, we sometimes collaborate with academic institutions to accelerate our preclinical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Further, we may choose to license intellectual property in the future that may be subject to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33"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Also,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316"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00"/>
          </w:cols>
          <w:pgMar w:left="320" w:top="448" w:right="3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patents, and we may be unable to protect our rights to our products and technology.</w:t>
      </w:r>
    </w:p>
    <w:p>
      <w:pPr>
        <w:spacing w:after="0" w:line="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42" w:lineRule="exact"/>
        <w:rPr>
          <w:sz w:val="20"/>
          <w:szCs w:val="20"/>
          <w:color w:val="auto"/>
        </w:rPr>
      </w:pPr>
    </w:p>
    <w:p>
      <w:pPr>
        <w:ind w:right="260"/>
        <w:spacing w:after="0" w:line="227"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4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 xml:space="preserve">If another party questions the patentability of any of our claims in our owned or in-licensed U.S. patents, the third-party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45"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33"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448"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44"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5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7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or GLPs, as applicable, and GCP requirements, which are regulations and guidelines enforced by the FDA and comparable foreign regulatory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48"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45"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42"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43"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4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4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4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i w:val="1"/>
          <w:iCs w:val="1"/>
          <w:color w:val="auto"/>
        </w:rPr>
        <w:t>We rely on third parties to supply and manufacture our product candidates, and we expect to continue to rely on third parties to manufacture our products, if approved. The development of such product candidates and the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448"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b w:val="1"/>
          <w:bCs w:val="1"/>
          <w:i w:val="1"/>
          <w:iCs w:val="1"/>
          <w:color w:val="auto"/>
        </w:rPr>
        <w:t>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26"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We do not currently have the infrastructure or capability internally to manufacture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each of KER-050 and KER-047.</w:t>
      </w:r>
    </w:p>
    <w:p>
      <w:pPr>
        <w:spacing w:after="0" w:line="14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42"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and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clinical studies and the commercialization of our products, if approved, which could materially adversely affect our business, financial condition and results of operation.</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facilities used by our contract manufacturers to manufacture our product candidates are subject to review by the FDA pursuant to inspections that will be conducted after we submit our NDA or BLA to the FDA. We do not control the manufacturing process of, and are completely dependent on, our contract manufacturing partners for compliance with cGMP requirements for manufacture of drug and biologic products. If our contract manufacturers cannot successfully manufacture material that conforms to our specifications and the strict regulatory requirements of the FDA or others, we will not be able to secure or maintain regulatory approval for our product candidates manufactured at these manufacturing facilities. In addition, we have no control over the ability of our contract manufacturers to maintain adequate quality control, quality assurance and qualified personnel. If the FDA or a comparable foreign regulatory agency does not approve these facilities for the manufacture of our product candidates or if any agency withdraws its approval in the future, we and they may need to find alternative manufacturing facilities, which would negatively impact the ability to develop, obtain regulatory approval for or market our product candidates, if approved. The failure of our manufacturers to comply with regulatory requirements could also result in an enforcement action against us, including the seizure of products and shutting down of production. If any of our third-party suppliers fails to comply with cGMP or other applicable manufacturing regulations, our ability to develop and commercialize the products could suffer significant interruptions. We face risks inherent in relying on a single CMO, as any disruption, such as a fire, natural hazards or vandalism at the CMO could significantly interrupt our manufacturing capability. All of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1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 part of our strategy is to strategically evaluate and, as deemed appropriate, enter into additional strategic collaborations in the future when strategically attractive, including potentially with major biotechnology or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00"/>
          </w:cols>
          <w:pgMar w:left="320" w:top="448" w:right="3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Any future collaborations we enter into may pose a number of risks, including, but not limited to, the following:</w:t>
      </w:r>
    </w:p>
    <w:p>
      <w:pPr>
        <w:spacing w:after="0" w:line="183" w:lineRule="exact"/>
        <w:rPr>
          <w:sz w:val="20"/>
          <w:szCs w:val="20"/>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have significant discretion in determining the efforts and resources that they will apply;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may not perform their obligations as expected;</w:t>
      </w:r>
    </w:p>
    <w:p>
      <w:pPr>
        <w:spacing w:after="0" w:line="26" w:lineRule="exact"/>
        <w:rPr>
          <w:rFonts w:ascii="MS PGothic" w:cs="MS PGothic" w:eastAsia="MS PGothic" w:hAnsi="MS PGothic"/>
          <w:sz w:val="12"/>
          <w:szCs w:val="12"/>
          <w:color w:val="auto"/>
        </w:rPr>
      </w:pPr>
    </w:p>
    <w:p>
      <w:pPr>
        <w:ind w:left="880" w:right="200" w:hanging="432"/>
        <w:spacing w:after="0" w:line="228"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27" w:lineRule="exact"/>
        <w:rPr>
          <w:rFonts w:ascii="MS PGothic" w:cs="MS PGothic" w:eastAsia="MS PGothic" w:hAnsi="MS PGothic"/>
          <w:sz w:val="12"/>
          <w:szCs w:val="12"/>
          <w:color w:val="auto"/>
        </w:rPr>
      </w:pPr>
    </w:p>
    <w:p>
      <w:pPr>
        <w:ind w:left="880" w:right="740" w:hanging="432"/>
        <w:spacing w:after="0" w:line="233"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5" w:lineRule="exact"/>
        <w:rPr>
          <w:rFonts w:ascii="MS PGothic" w:cs="MS PGothic" w:eastAsia="MS PGothic" w:hAnsi="MS PGothic"/>
          <w:sz w:val="12"/>
          <w:szCs w:val="12"/>
          <w:color w:val="auto"/>
        </w:rPr>
      </w:pPr>
    </w:p>
    <w:p>
      <w:pPr>
        <w:ind w:left="880" w:right="360" w:hanging="432"/>
        <w:spacing w:after="0" w:line="230"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25" w:lineRule="exact"/>
        <w:rPr>
          <w:rFonts w:ascii="MS PGothic" w:cs="MS PGothic" w:eastAsia="MS PGothic" w:hAnsi="MS PGothic"/>
          <w:sz w:val="12"/>
          <w:szCs w:val="12"/>
          <w:color w:val="auto"/>
        </w:rPr>
      </w:pPr>
    </w:p>
    <w:p>
      <w:pPr>
        <w:ind w:left="880" w:right="160" w:hanging="432"/>
        <w:spacing w:after="0" w:line="269" w:lineRule="auto"/>
        <w:tabs>
          <w:tab w:leader="none" w:pos="880" w:val="left"/>
        </w:tabs>
        <w:numPr>
          <w:ilvl w:val="0"/>
          <w:numId w:val="43"/>
        </w:numPr>
        <w:rPr>
          <w:rFonts w:ascii="MS PGothic" w:cs="MS PGothic" w:eastAsia="MS PGothic" w:hAnsi="MS PGothic"/>
          <w:sz w:val="11"/>
          <w:szCs w:val="11"/>
          <w:color w:val="auto"/>
        </w:rPr>
      </w:pPr>
      <w:r>
        <w:rPr>
          <w:rFonts w:ascii="Arial" w:cs="Arial" w:eastAsia="Arial" w:hAnsi="Arial"/>
          <w:sz w:val="15"/>
          <w:szCs w:val="15"/>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 w:lineRule="exact"/>
        <w:rPr>
          <w:rFonts w:ascii="MS PGothic" w:cs="MS PGothic" w:eastAsia="MS PGothic" w:hAnsi="MS PGothic"/>
          <w:sz w:val="11"/>
          <w:szCs w:val="11"/>
          <w:color w:val="auto"/>
        </w:rPr>
      </w:pPr>
    </w:p>
    <w:p>
      <w:pPr>
        <w:ind w:left="880" w:right="60" w:hanging="432"/>
        <w:spacing w:after="0" w:line="233"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spacing w:after="0" w:line="25"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25" w:lineRule="exact"/>
        <w:rPr>
          <w:rFonts w:ascii="MS PGothic" w:cs="MS PGothic" w:eastAsia="MS PGothic" w:hAnsi="MS PGothic"/>
          <w:sz w:val="12"/>
          <w:szCs w:val="12"/>
          <w:color w:val="auto"/>
        </w:rPr>
      </w:pPr>
    </w:p>
    <w:p>
      <w:pPr>
        <w:ind w:left="880" w:right="360" w:hanging="432"/>
        <w:spacing w:after="0" w:line="228"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7" w:lineRule="exact"/>
        <w:rPr>
          <w:rFonts w:ascii="MS PGothic" w:cs="MS PGothic" w:eastAsia="MS PGothic" w:hAnsi="MS PGothic"/>
          <w:sz w:val="12"/>
          <w:szCs w:val="12"/>
          <w:color w:val="auto"/>
        </w:rPr>
      </w:pPr>
    </w:p>
    <w:p>
      <w:pPr>
        <w:ind w:left="880" w:right="220" w:hanging="432"/>
        <w:spacing w:after="0" w:line="269" w:lineRule="auto"/>
        <w:tabs>
          <w:tab w:leader="none" w:pos="880" w:val="left"/>
        </w:tabs>
        <w:numPr>
          <w:ilvl w:val="0"/>
          <w:numId w:val="43"/>
        </w:numPr>
        <w:rPr>
          <w:rFonts w:ascii="MS PGothic" w:cs="MS PGothic" w:eastAsia="MS PGothic" w:hAnsi="MS PGothic"/>
          <w:sz w:val="11"/>
          <w:szCs w:val="11"/>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 w:lineRule="exact"/>
        <w:rPr>
          <w:rFonts w:ascii="MS PGothic" w:cs="MS PGothic" w:eastAsia="MS PGothic" w:hAnsi="MS PGothic"/>
          <w:sz w:val="11"/>
          <w:szCs w:val="11"/>
          <w:color w:val="auto"/>
        </w:rPr>
      </w:pPr>
    </w:p>
    <w:p>
      <w:pPr>
        <w:ind w:left="880" w:hanging="432"/>
        <w:spacing w:after="0"/>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26" w:lineRule="exact"/>
        <w:rPr>
          <w:rFonts w:ascii="MS PGothic" w:cs="MS PGothic" w:eastAsia="MS PGothic" w:hAnsi="MS PGothic"/>
          <w:sz w:val="12"/>
          <w:szCs w:val="12"/>
          <w:color w:val="auto"/>
        </w:rPr>
      </w:pPr>
    </w:p>
    <w:p>
      <w:pPr>
        <w:ind w:left="880" w:right="820" w:hanging="432"/>
        <w:spacing w:after="0" w:line="233"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25" w:lineRule="exact"/>
        <w:rPr>
          <w:rFonts w:ascii="MS PGothic" w:cs="MS PGothic" w:eastAsia="MS PGothic" w:hAnsi="MS PGothic"/>
          <w:sz w:val="12"/>
          <w:szCs w:val="12"/>
          <w:color w:val="auto"/>
        </w:rPr>
      </w:pPr>
    </w:p>
    <w:p>
      <w:pPr>
        <w:ind w:left="880" w:right="420" w:hanging="432"/>
        <w:spacing w:after="0" w:line="233" w:lineRule="auto"/>
        <w:tabs>
          <w:tab w:leader="none" w:pos="88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143" w:lineRule="exact"/>
        <w:rPr>
          <w:sz w:val="20"/>
          <w:szCs w:val="20"/>
          <w:color w:val="auto"/>
        </w:rPr>
      </w:pPr>
    </w:p>
    <w:p>
      <w:pPr>
        <w:ind w:right="280"/>
        <w:spacing w:after="0" w:line="228" w:lineRule="auto"/>
        <w:rPr>
          <w:sz w:val="20"/>
          <w:szCs w:val="20"/>
          <w:color w:val="auto"/>
        </w:rPr>
      </w:pPr>
      <w:r>
        <w:rPr>
          <w:rFonts w:ascii="Arial" w:cs="Arial" w:eastAsia="Arial" w:hAnsi="Arial"/>
          <w:sz w:val="17"/>
          <w:szCs w:val="17"/>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prospectus also apply to the activities of our therapeutic collaborators.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48"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43"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46"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4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3"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From time to time, we may evaluate various acquisition opportunities and strategic collaborations, including licensing or acquiring complementary products, intellectual property rights, technologies or businesses. Any potential acquisition or strategic collaboration may entail numerous risks, including:</w:t>
      </w:r>
    </w:p>
    <w:p>
      <w:pPr>
        <w:spacing w:after="0" w:line="146" w:lineRule="exact"/>
        <w:rPr>
          <w:sz w:val="20"/>
          <w:szCs w:val="20"/>
          <w:color w:val="auto"/>
        </w:rPr>
      </w:pPr>
    </w:p>
    <w:p>
      <w:pPr>
        <w:ind w:left="880" w:hanging="432"/>
        <w:spacing w:after="0"/>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increased operating expenses and cash requirements;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the assumption of additional indebtedness or contingent liabilities;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the issuance of our equity securities;</w:t>
      </w:r>
    </w:p>
    <w:p>
      <w:pPr>
        <w:spacing w:after="0" w:line="26" w:lineRule="exact"/>
        <w:rPr>
          <w:rFonts w:ascii="MS PGothic" w:cs="MS PGothic" w:eastAsia="MS PGothic" w:hAnsi="MS PGothic"/>
          <w:sz w:val="12"/>
          <w:szCs w:val="12"/>
          <w:color w:val="auto"/>
        </w:rPr>
      </w:pPr>
    </w:p>
    <w:p>
      <w:pPr>
        <w:ind w:left="880" w:right="300" w:hanging="432"/>
        <w:spacing w:after="0" w:line="233"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 w:lineRule="exact"/>
        <w:rPr>
          <w:rFonts w:ascii="MS PGothic" w:cs="MS PGothic" w:eastAsia="MS PGothic" w:hAnsi="MS PGothic"/>
          <w:sz w:val="12"/>
          <w:szCs w:val="12"/>
          <w:color w:val="auto"/>
        </w:rPr>
      </w:pPr>
    </w:p>
    <w:p>
      <w:pPr>
        <w:ind w:left="880" w:right="160" w:hanging="432"/>
        <w:spacing w:after="0" w:line="233"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marketing approvals; and</w:t>
      </w:r>
    </w:p>
    <w:p>
      <w:pPr>
        <w:spacing w:after="0" w:line="25"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addition, if we undertake acquisitions or pursue collaborations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448" w:right="3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Employee Matters, Managing Our Growth and Other Risks Relating to Our Operations</w:t>
      </w:r>
    </w:p>
    <w:p>
      <w:pPr>
        <w:spacing w:after="0" w:line="7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b w:val="1"/>
          <w:bCs w:val="1"/>
          <w:i w:val="1"/>
          <w:iCs w:val="1"/>
          <w:color w:val="auto"/>
        </w:rPr>
        <w:t>We are highly dependent on our key personnel, including our Chief Executive Officer, Chief Scientific Officer and Chief Medical Officer. If we are not successful in attracting, motivating and retaining highly qualified personnel, we may not be able to successfully implement our business strategy.</w:t>
      </w:r>
    </w:p>
    <w:p>
      <w:pPr>
        <w:spacing w:after="0" w:line="13"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scientific personnel including Jasbir Seehra, Ph.D., our Chief Executive Officer, Jennifer Lachey, Ph.D., our Chief Scientific Officer, and Claudia Ordonez, M.D., our Chief Medical Officer. We believe that their drug discovery and development experience and overall biopharmaceutical company management experience would be difficult to replace. Any of our executive officers could leave our employment at any time, as all of our employees are “at-will”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w:t>
      </w:r>
    </w:p>
    <w:p>
      <w:pPr>
        <w:spacing w:after="0" w:line="12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33"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As of December 31, 2019, we had 23 full-time employees, including 17 employees engaged in research and development and six employees engaged in management or general and administrative activities. As our clinical development and commercialization plans and strategies develop, and as we 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184" w:lineRule="exact"/>
        <w:rPr>
          <w:sz w:val="20"/>
          <w:szCs w:val="20"/>
          <w:color w:val="auto"/>
        </w:rPr>
      </w:pPr>
    </w:p>
    <w:p>
      <w:pPr>
        <w:ind w:left="880" w:hanging="432"/>
        <w:spacing w:after="0"/>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identifying, recruiting, integrating, maintaining and motivating additional employees;</w:t>
      </w:r>
    </w:p>
    <w:p>
      <w:pPr>
        <w:spacing w:after="0" w:line="26" w:lineRule="exact"/>
        <w:rPr>
          <w:rFonts w:ascii="MS PGothic" w:cs="MS PGothic" w:eastAsia="MS PGothic" w:hAnsi="MS PGothic"/>
          <w:sz w:val="12"/>
          <w:szCs w:val="12"/>
          <w:color w:val="auto"/>
        </w:rPr>
      </w:pPr>
    </w:p>
    <w:p>
      <w:pPr>
        <w:ind w:left="880" w:right="260" w:hanging="432"/>
        <w:spacing w:after="0" w:line="233" w:lineRule="auto"/>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managing our development efforts effectively, including the clinical and FDA review process for KER-050, KER-047 and any future product candidates, while complying with our contractual obligations to contractors and other third parties;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improving our operational, financial and management controls, reporting systems and procedures.</w:t>
      </w:r>
    </w:p>
    <w:p>
      <w:pPr>
        <w:spacing w:after="0" w:line="144"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Our future financial performance and our ability to commercialize our KER-050, KER-047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KER-050, KER-047 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448"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If we are not able to effectively expand our organization by hiring qualified new employees and expanding our groups of consultants and contractors, we may not be able to successfully implement the tasks necessary to further develop and commercialize KER-050, KER-047 and our other product candidates and, accordingly, may not achieve our research, development and commercialization goals.</w:t>
      </w:r>
    </w:p>
    <w:p>
      <w:pPr>
        <w:spacing w:after="0" w:line="45"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b w:val="1"/>
          <w:bCs w:val="1"/>
          <w:i w:val="1"/>
          <w:iCs w:val="1"/>
          <w:color w:val="auto"/>
        </w:rPr>
        <w:t>Our internal computer systems, or those used by our contract research organizations, or other contractors or consultants, may fail or suffer security breaches.</w:t>
      </w:r>
    </w:p>
    <w:p>
      <w:pPr>
        <w:spacing w:after="0" w:line="3"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Despite the implementation of security measures, our internal computer systems and those of our future CROs and other contractors and consultants are vulnerable to damage or unauthorized access or use resulting from computer viruses, malware, cyber-attacks or cyber-intrusions over the Internet, denial or degradation of service attacks, ransomware, hacking, phishing and other social engineering attacks, attachments to emails, persons inside our organization or persons with access to systems inside our organization. While we have not experienced any such material system failure or security breach to date, if such an event were to occur and cause interruptions in our operations, it could result in a material disruption of our development programs, our business operations, and the privacy or confidentiality of the information that we maintain. For example, the loss of preclinical or clinical data could result in delays in our regulatory approval efforts and significantly increase our costs to recover or reproduce the data.</w:t>
      </w:r>
    </w:p>
    <w:p>
      <w:pPr>
        <w:spacing w:after="0" w:line="128"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Any security breach affecting us, our partners or our industry, whether real or perceived, could harm our reputation, erode confidence in the effectiveness of our security measures and lead to regulatory scrutiny. Likewise, we may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face governmental reporting obligations, incur liability and the further development and commercialization of our product candidates could be delayed.</w:t>
      </w:r>
    </w:p>
    <w:p>
      <w:pPr>
        <w:spacing w:after="0" w:line="48"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We and any potential collaborators may be subject to or affected by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including Section 5 of the Federal Trade Commission Act, that govern the collection, use, disclosure and protection of health information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In addition, certain state and foreign laws govern the privacy and security of health information in certain circumstances, some of which are more stringent</w:t>
      </w:r>
    </w:p>
    <w:p>
      <w:pPr>
        <w:spacing w:after="0" w:line="236" w:lineRule="auto"/>
        <w:rPr>
          <w:sz w:val="20"/>
          <w:szCs w:val="20"/>
          <w:color w:val="auto"/>
        </w:rPr>
      </w:pPr>
      <w:r>
        <w:rPr>
          <w:rFonts w:ascii="Arial" w:cs="Arial" w:eastAsia="Arial" w:hAnsi="Arial"/>
          <w:sz w:val="17"/>
          <w:szCs w:val="17"/>
          <w:color w:val="auto"/>
        </w:rPr>
        <w:t>than U.S. federal law and many of which differ from each other in significant ways and may not have the same effect, thus complicating compliance</w:t>
      </w:r>
    </w:p>
    <w:p>
      <w:pPr>
        <w:spacing w:after="0" w:line="225" w:lineRule="auto"/>
        <w:rPr>
          <w:sz w:val="20"/>
          <w:szCs w:val="20"/>
          <w:color w:val="auto"/>
        </w:rPr>
      </w:pPr>
      <w:r>
        <w:rPr>
          <w:rFonts w:ascii="Arial" w:cs="Arial" w:eastAsia="Arial" w:hAnsi="Arial"/>
          <w:sz w:val="17"/>
          <w:szCs w:val="17"/>
          <w:color w:val="auto"/>
        </w:rPr>
        <w:t>efforts. For instance, the California Consumer Privacy Act of 2018 (CCPA), which became effective on January 1, 2020, gives California residents</w:t>
      </w:r>
    </w:p>
    <w:p>
      <w:pPr>
        <w:spacing w:after="0" w:line="224" w:lineRule="auto"/>
        <w:rPr>
          <w:sz w:val="20"/>
          <w:szCs w:val="20"/>
          <w:color w:val="auto"/>
        </w:rPr>
      </w:pPr>
      <w:r>
        <w:rPr>
          <w:rFonts w:ascii="Arial" w:cs="Arial" w:eastAsia="Arial" w:hAnsi="Arial"/>
          <w:sz w:val="17"/>
          <w:szCs w:val="17"/>
          <w:color w:val="auto"/>
        </w:rPr>
        <w:t>expanded rights to access and require deletion of their personal information, opt out of certain personal information sharing, and receive detailed</w:t>
      </w:r>
    </w:p>
    <w:p>
      <w:pPr>
        <w:spacing w:after="0" w:line="225" w:lineRule="auto"/>
        <w:rPr>
          <w:sz w:val="20"/>
          <w:szCs w:val="20"/>
          <w:color w:val="auto"/>
        </w:rPr>
      </w:pPr>
      <w:r>
        <w:rPr>
          <w:rFonts w:ascii="Arial" w:cs="Arial" w:eastAsia="Arial" w:hAnsi="Arial"/>
          <w:sz w:val="17"/>
          <w:szCs w:val="17"/>
          <w:color w:val="auto"/>
        </w:rPr>
        <w:t>information about how their personal information is used. The CCPA authorizes private lawsuits to recover statutory damages for certain data</w:t>
      </w:r>
    </w:p>
    <w:p>
      <w:pPr>
        <w:spacing w:after="0"/>
        <w:rPr>
          <w:sz w:val="20"/>
          <w:szCs w:val="20"/>
          <w:color w:val="auto"/>
        </w:rPr>
      </w:pPr>
      <w:r>
        <w:rPr>
          <w:rFonts w:ascii="Arial" w:cs="Arial" w:eastAsia="Arial" w:hAnsi="Arial"/>
          <w:sz w:val="15"/>
          <w:szCs w:val="15"/>
          <w:color w:val="auto"/>
        </w:rPr>
        <w:t>breaches. Although the CCPA exempts some data regulated by HIPAA and certain data regarding clinical trials, the CCPA, to the extent applicable to our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business and operations, may increase our compliance costs and potential liability with respect to other personal information we maintain about California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residents. Other privacy legislation has been proposed at the federal and state levels, which, if enacted, could adversely affect our business. In Europe,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European Union General Data Protection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448"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Regulation (2016/679), or GDPR, went into effect in May 2018 and introduces strict requirements for processing the personal data of European Union data subjects. The GDPR may apply to the company to the extent it processes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Compliance with U.S. and foreign data protection laws and regulations could require us to take on more onerous obligations in our contracts, increase our costs of legal compliance, restrict our ability to collect, use and disclose data, or in some cases, impact our or our partners’ or suppliers’ ability to operate in certain jurisdictions. Failure to comply with these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17" w:lineRule="exact"/>
        <w:rPr>
          <w:sz w:val="20"/>
          <w:szCs w:val="20"/>
          <w:color w:val="auto"/>
        </w:rPr>
      </w:pPr>
    </w:p>
    <w:p>
      <w:pPr>
        <w:ind w:right="700"/>
        <w:spacing w:after="0" w:line="251"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13"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October 2018, we formed a wholly-owned Australian subsidiary, Keros Therapeutics Australia Pty Ltd, to conduct various preclinical studies and clinical trials for our product candidates in Australia. Due to the geographical distance and lack of employees currently in Australia, as well as our lack of experience operating in Australia, we may not be able to efficiently or successfully monitor our clinical activities in Australia, including conducting</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448"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 addition, current Australian tax regulations provide for a refundable research and development incentive payment equal to 43.5% of qualified</w:t>
      </w:r>
    </w:p>
    <w:p>
      <w:pPr>
        <w:jc w:val="both"/>
        <w:ind w:right="400"/>
        <w:spacing w:after="0" w:line="271" w:lineRule="auto"/>
        <w:rPr>
          <w:sz w:val="20"/>
          <w:szCs w:val="20"/>
          <w:color w:val="auto"/>
        </w:rPr>
      </w:pPr>
      <w:r>
        <w:rPr>
          <w:rFonts w:ascii="Arial" w:cs="Arial" w:eastAsia="Arial" w:hAnsi="Arial"/>
          <w:sz w:val="15"/>
          <w:szCs w:val="15"/>
          <w:color w:val="auto"/>
        </w:rPr>
        <w:t>expenditures. We expect to receive incentive payments of approximately AUD$ during 2020 for research expenditures made during 2018. If our subsidiary loses its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variety of risks are associated with operating our business internationally which could materially adversely affect our business.</w:t>
      </w:r>
    </w:p>
    <w:p>
      <w:pPr>
        <w:spacing w:after="0" w:line="33"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We conduct certain research and development operations in Australia. In addition, we may conduct certain future clinical trials outside of the United States. Accordingly, we are subject to risks related to operating in foreign countries, including:</w:t>
      </w:r>
    </w:p>
    <w:p>
      <w:pPr>
        <w:spacing w:after="0" w:line="182" w:lineRule="exact"/>
        <w:rPr>
          <w:sz w:val="20"/>
          <w:szCs w:val="20"/>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different standards of care in various countries that could complicate the evaluation of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different United States and foreign drug import and export rules;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reduced protection for intellectual property rights in certain countries;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unexpected changes in tariffs, trade barriers and regulatory requirements;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compliance with tax, employment, immigration, and labor laws for employees living or traveling abroad;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compliance with the FCPA and other anti-corruption and anti-bribery laws;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foreign taxes, including withholding of payroll taxes;</w:t>
      </w:r>
    </w:p>
    <w:p>
      <w:pPr>
        <w:spacing w:after="0" w:line="26" w:lineRule="exact"/>
        <w:rPr>
          <w:rFonts w:ascii="MS PGothic" w:cs="MS PGothic" w:eastAsia="MS PGothic" w:hAnsi="MS PGothic"/>
          <w:sz w:val="12"/>
          <w:szCs w:val="12"/>
          <w:color w:val="auto"/>
        </w:rPr>
      </w:pPr>
    </w:p>
    <w:p>
      <w:pPr>
        <w:ind w:left="880" w:right="400" w:hanging="432"/>
        <w:spacing w:after="0" w:line="233"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workforce uncertainty in countries where labor unrest is more common than in the United States;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production shortages resulting from any events affecting raw material supply or manufacturing capabilities abroad;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different payor reimbursement regimes, governmental payors or patient self-pay systems and price controls;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potential liability resulting from development work conducted by foreign partners;</w:t>
      </w:r>
    </w:p>
    <w:p>
      <w:pPr>
        <w:spacing w:after="0" w:line="26" w:lineRule="exact"/>
        <w:rPr>
          <w:rFonts w:ascii="MS PGothic" w:cs="MS PGothic" w:eastAsia="MS PGothic" w:hAnsi="MS PGothic"/>
          <w:sz w:val="12"/>
          <w:szCs w:val="12"/>
          <w:color w:val="auto"/>
        </w:rPr>
      </w:pPr>
    </w:p>
    <w:p>
      <w:pPr>
        <w:ind w:left="880" w:right="620" w:hanging="432"/>
        <w:spacing w:after="0" w:line="233" w:lineRule="auto"/>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business interruptions resulting from natural disasters or geopolitical actions, including war and terrorism, or systems failure including cybersecurity breaches;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compliance with evolving and expansive foreign data privacy laws, such as the GDPR.</w:t>
      </w:r>
    </w:p>
    <w:p>
      <w:pPr>
        <w:spacing w:after="0" w:line="46" w:lineRule="exact"/>
        <w:rPr>
          <w:sz w:val="20"/>
          <w:szCs w:val="20"/>
          <w:color w:val="auto"/>
        </w:rPr>
      </w:pPr>
    </w:p>
    <w:p>
      <w:pPr>
        <w:ind w:right="780"/>
        <w:spacing w:after="0" w:line="251"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are presently conducting clinical development solely in Australia and may choose to conduct additional international clinical trials in the future. The U.S. Foreign Corrupt Practices Act, or FCPA, prohibits companies and their employees and third-party intermediaries from paying, offering, promising or authorizing others to pay or offer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The FCPA presents particular challenges in the pharmaceutical industry, because, in many countries, hospitals are owned and operated by the government, and doctors and other hospital employees are considered foreign officials. We can be held liable for the corrupt or other illegal activities of our employees, representatives, contractors, business partners and agents, even if we do not explicitly authorize or have actual knowledge of such activities. Noncompliance with the FCPA and anti-corruption laws could subject us to whistleblower complaints, investigations, sanctions, settlements, prosecution, other enforcement actions,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00"/>
          </w:cols>
          <w:pgMar w:left="320" w:top="448" w:right="3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60"/>
        <w:spacing w:after="0" w:line="228" w:lineRule="auto"/>
        <w:rPr>
          <w:sz w:val="20"/>
          <w:szCs w:val="20"/>
          <w:color w:val="auto"/>
        </w:rPr>
      </w:pPr>
      <w:r>
        <w:rPr>
          <w:rFonts w:ascii="Arial" w:cs="Arial" w:eastAsia="Arial" w:hAnsi="Arial"/>
          <w:sz w:val="17"/>
          <w:szCs w:val="17"/>
          <w:color w:val="auto"/>
        </w:rPr>
        <w:t>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w:t>
      </w:r>
    </w:p>
    <w:p>
      <w:pPr>
        <w:spacing w:after="0" w:line="145"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 addition, our products may be subject to export controls, trade sanctions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45"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50"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December 2017 tax reform law could adversely affect our business and financial condition.</w:t>
      </w:r>
    </w:p>
    <w:p>
      <w:pPr>
        <w:spacing w:after="0" w:line="33"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On December 22, 2017, the Tax Act was enacted and significantly revised the Internal Revenue Code of 1986, as amended, or the Code. The Tax Act, among other things, contained significant changes to U.S. federal corporate income taxation, including reduction of the corporate tax rate from a top marginal rate of 35% to a flat rate of 21%, limitation of the tax deduction for interest expense to 30% of adjusted taxable income (except for certain small businesses), limitation of the deduction for net operating losses to 80% of current year taxable income and elimination of net operating loss, or NOL, carrybacks (in each case applicable to net operating losses, or NOLs,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448"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arising in taxable years beginning after December 31, 2017),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other business deductions and credits, including the reduction of the business tax credit for certain clinical testing expenses incurred in the testing of certain drugs for rare diseases or conditions generally known as “orphan drugs.” Notwithstanding the reduction in the corporate income tax rate, the overall impact of the Tax Act is uncertain and our business, financial conditions, results of operations and growth prospects could be materially and adversely affected. In addition, it is uncertain if and to what extent various states will conform to the Tax Act. The impact of the Tax Act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33"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As of December 31, 2019, we had $ million of U.S. federal and $ million of state net operating loss, or NOL, carryforwards. Under the Tax Act, federal NOLs incurred in tax years ending after December 31, 2017, may be carried forward indefinitely, but the deductibility of federal NOLs generated in tax years beginning after December 31, 2017, is limited.</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Our NOL carryforwards are subject to review and possible adjustment by the U.S. and state tax authorities.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 carryforwards and R&amp;D credits to offset its post-change income may be limited. This could limit the amount of NOLs or R&amp;D credit carryforwards that we can utilize annually to offset future taxable income or tax liabilities. Subsequent ownership changes and changes to the U.S. tax rules in respect of the utilization of NOLs and R&amp;D credits carried forward may further affect the limitation in future years. In addition, at the state level, there may be periods during which the use of NOLs is suspended or otherwise limited, which could accelerate or permanently increase state taxes owed.</w:t>
      </w:r>
    </w:p>
    <w:p>
      <w:pPr>
        <w:spacing w:after="0" w:line="147"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Additionally, we have not undertaken a study on our determination of our U.S. R&amp;D credits. Consequently, our U.S. R&amp;D credits may change, and in any event are subject to review and adjustment by the tax authorities.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b w:val="1"/>
          <w:bCs w:val="1"/>
          <w:i w:val="1"/>
          <w:iCs w:val="1"/>
          <w:color w:val="auto"/>
        </w:rPr>
        <w:t>No public market for our common stock currently exists, and we do not know whether an active, liquid and orderly trading market will develop for our common stock, or what the market price of our common stock will be, and as a result it may be difficult for you to sell your shares of our common stock.</w:t>
      </w:r>
    </w:p>
    <w:p>
      <w:pPr>
        <w:spacing w:after="0" w:line="13"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Prior to this offering there has been no public market for shares of our common stock. Although we intend to list our common stock on the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 An inactive trading market may also impair our ability to raise capital to continue to fund operations by selling shares and may impair our ability to enter into collaborations or acquire other companies or technologies using our shares as consideration.</w:t>
      </w:r>
    </w:p>
    <w:p>
      <w:pPr>
        <w:spacing w:after="0" w:line="4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182" w:lineRule="exact"/>
        <w:rPr>
          <w:sz w:val="20"/>
          <w:szCs w:val="20"/>
          <w:color w:val="auto"/>
        </w:rPr>
      </w:pPr>
    </w:p>
    <w:p>
      <w:pPr>
        <w:ind w:left="880" w:hanging="432"/>
        <w:spacing w:after="0"/>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variations in the level of expense related to the ongoing development of our product candidates and preclinical development programs;</w:t>
      </w:r>
    </w:p>
    <w:p>
      <w:pPr>
        <w:spacing w:after="0" w:line="26" w:lineRule="exact"/>
        <w:rPr>
          <w:rFonts w:ascii="MS PGothic" w:cs="MS PGothic" w:eastAsia="MS PGothic" w:hAnsi="MS PGothic"/>
          <w:sz w:val="12"/>
          <w:szCs w:val="12"/>
          <w:color w:val="auto"/>
        </w:rPr>
      </w:pPr>
    </w:p>
    <w:p>
      <w:pPr>
        <w:ind w:left="880" w:right="20" w:hanging="432"/>
        <w:spacing w:after="0" w:line="233" w:lineRule="auto"/>
        <w:tabs>
          <w:tab w:leader="none" w:pos="88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results of preclinical studies and future clinical trials, or the addition or termination of future clinical trials or funding support by us, or current or future collaborators or licensing partners;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48"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200" w:hanging="432"/>
        <w:spacing w:after="0" w:line="233" w:lineRule="auto"/>
        <w:tabs>
          <w:tab w:leader="none" w:pos="88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additions and departures of key personnel;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8"/>
        </w:numPr>
        <w:rPr>
          <w:rFonts w:ascii="MS PGothic" w:cs="MS PGothic" w:eastAsia="MS PGothic" w:hAnsi="MS PGothic"/>
          <w:sz w:val="11"/>
          <w:szCs w:val="11"/>
          <w:color w:val="auto"/>
        </w:rPr>
      </w:pPr>
      <w:r>
        <w:rPr>
          <w:rFonts w:ascii="Arial" w:cs="Arial" w:eastAsia="Arial" w:hAnsi="Arial"/>
          <w:sz w:val="15"/>
          <w:szCs w:val="15"/>
          <w:color w:val="auto"/>
        </w:rPr>
        <w:t>strategic decisions by us, such as acquisitions, divestitures, spin-offs, joint ventures, strategic investments or changes in business strategy;</w:t>
      </w:r>
    </w:p>
    <w:p>
      <w:pPr>
        <w:spacing w:after="0" w:line="49" w:lineRule="exact"/>
        <w:rPr>
          <w:rFonts w:ascii="MS PGothic" w:cs="MS PGothic" w:eastAsia="MS PGothic" w:hAnsi="MS PGothic"/>
          <w:sz w:val="11"/>
          <w:szCs w:val="11"/>
          <w:color w:val="auto"/>
        </w:rPr>
      </w:pPr>
    </w:p>
    <w:p>
      <w:pPr>
        <w:ind w:left="880" w:right="540" w:hanging="432"/>
        <w:spacing w:after="0" w:line="233" w:lineRule="auto"/>
        <w:tabs>
          <w:tab w:leader="none" w:pos="88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if any of our product candidates receives regulatory approval, the terms of such approval and market acceptance and demand for such product candidates;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regulatory developments affecting our product candidates.</w:t>
      </w:r>
    </w:p>
    <w:p>
      <w:pPr>
        <w:spacing w:after="0" w:line="144"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47"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b w:val="1"/>
          <w:bCs w:val="1"/>
          <w:i w:val="1"/>
          <w:iCs w:val="1"/>
          <w:color w:val="auto"/>
        </w:rPr>
        <w:t>The market price of our common stock may be volatile and fluctuate substantially, which could result in substantial losses for purchasers of our common stock in this offering.</w:t>
      </w:r>
    </w:p>
    <w:p>
      <w:pPr>
        <w:spacing w:after="0" w:line="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stock price is likely to be volatile. The stock market in general, and the markets for pharmaceutical, biopharmaceutical and biotechnology stocks in particular, have experienced extreme price and volume fluctuations that have been often unrelated or disproportionate to the operating performance of the issuer. As a result of this volatility, you may not be able to sell your common stock at or above the initial public offering price. The market price for our common stock may be influenced by many factors, including:</w:t>
      </w:r>
    </w:p>
    <w:p>
      <w:pPr>
        <w:spacing w:after="0" w:line="184" w:lineRule="exact"/>
        <w:rPr>
          <w:sz w:val="20"/>
          <w:szCs w:val="20"/>
          <w:color w:val="auto"/>
        </w:rPr>
      </w:pPr>
    </w:p>
    <w:p>
      <w:pPr>
        <w:ind w:left="880" w:right="660" w:hanging="432"/>
        <w:spacing w:after="0" w:line="233" w:lineRule="auto"/>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results of preclinical studies and clinical trials of KER-050, KER-047 and any other product candidate we may develop or those of our competitors;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1"/>
          <w:szCs w:val="11"/>
          <w:color w:val="auto"/>
        </w:rPr>
      </w:pPr>
      <w:r>
        <w:rPr>
          <w:rFonts w:ascii="Arial" w:cs="Arial" w:eastAsia="Arial" w:hAnsi="Arial"/>
          <w:sz w:val="15"/>
          <w:szCs w:val="15"/>
          <w:color w:val="auto"/>
        </w:rPr>
        <w:t>announcements by our competitors of significant acquisitions, strategic partnerships, joint ventures, collaborations or capital commitments;</w:t>
      </w:r>
    </w:p>
    <w:p>
      <w:pPr>
        <w:spacing w:after="0" w:line="49" w:lineRule="exact"/>
        <w:rPr>
          <w:rFonts w:ascii="MS PGothic" w:cs="MS PGothic" w:eastAsia="MS PGothic" w:hAnsi="MS PGothic"/>
          <w:sz w:val="11"/>
          <w:szCs w:val="11"/>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failure or discontinuation of any of our development programs;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results of clinical trials of product candidates of our competitors;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regulatory or legal developments in the United States and other countries;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developments or disputes concerning patent applications, issued patents or other proprietary rights;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the recruitment or departure of key personnel;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the level of expenses related to the development of KER-050, KER-047 and any other product candidate we may develop;</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variations in our financial results or those of companies that are perceived to be similar to us;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announcements or expectations of additional financing efforts by us;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sales of our common stock by us, our insiders or other stockholders;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expiration of market stand-off or lock-up agreements;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recommendations and changes in estimates or recommendations by securities analysts, if any, that cover our stock;</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changes in the structure of healthcare payment systems;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market conditions in the pharmaceutical and biotechnology sectors;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general economic, political, and market conditions and overall fluctuations in the financial markets in the United States and abroad;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investors’ general perception of us and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48"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180"/>
        <w:spacing w:after="0" w:line="230"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33"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In the past, securities class action litigation has often been brought against public companies following declines in the market prices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2" w:lineRule="exact"/>
        <w:rPr>
          <w:sz w:val="20"/>
          <w:szCs w:val="20"/>
          <w:color w:val="auto"/>
        </w:rPr>
      </w:pPr>
    </w:p>
    <w:p>
      <w:pPr>
        <w:ind w:right="440"/>
        <w:spacing w:after="0" w:line="286" w:lineRule="auto"/>
        <w:rPr>
          <w:sz w:val="20"/>
          <w:szCs w:val="20"/>
          <w:color w:val="auto"/>
        </w:rPr>
      </w:pPr>
      <w:r>
        <w:rPr>
          <w:rFonts w:ascii="Arial" w:cs="Arial" w:eastAsia="Arial" w:hAnsi="Arial"/>
          <w:sz w:val="15"/>
          <w:szCs w:val="15"/>
          <w:b w:val="1"/>
          <w:bCs w:val="1"/>
          <w:i w:val="1"/>
          <w:iCs w:val="1"/>
          <w:color w:val="auto"/>
        </w:rPr>
        <w:t xml:space="preserve">If you purchase our common stock in this offering, you will incur immediate and substantial dilution in the book value of your shares. </w:t>
      </w:r>
      <w:r>
        <w:rPr>
          <w:rFonts w:ascii="Arial" w:cs="Arial" w:eastAsia="Arial" w:hAnsi="Arial"/>
          <w:sz w:val="15"/>
          <w:szCs w:val="15"/>
          <w:color w:val="auto"/>
        </w:rPr>
        <w:t>You will suffer immediate and substantial dilution with respect to the common stock you purchase in this offering. Based on an assumed initial public</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offering price of $ per share, which is the midpoint of the price range set forth on the cover page of this prospectus, and assuming that the number of shares offered by us, as set forth on the cover page of this prospectus, remains the same and that the underwriters do not exercise their option to acquire</w:t>
      </w:r>
    </w:p>
    <w:p>
      <w:pPr>
        <w:ind w:right="20"/>
        <w:spacing w:after="0" w:line="226" w:lineRule="auto"/>
        <w:rPr>
          <w:sz w:val="20"/>
          <w:szCs w:val="20"/>
          <w:color w:val="auto"/>
        </w:rPr>
      </w:pPr>
      <w:r>
        <w:rPr>
          <w:rFonts w:ascii="Arial" w:cs="Arial" w:eastAsia="Arial" w:hAnsi="Arial"/>
          <w:sz w:val="17"/>
          <w:szCs w:val="17"/>
          <w:color w:val="auto"/>
        </w:rPr>
        <w:t>additional common stock in this offering, purchasers of common stock in this offering will experience immediate dilution of $ per share, representing the difference between our pro forma as adjusted net tangible book value per share after giving effect to this offering and the assumed initial public offering price, and, following the completion of this offering, investors purchasing common stock in this offering will have contributed % of the total amount invested by stockholders since inception but will only own % of the shares of common stock outstanding. In the past, we have issued options to purchase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49"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together with our existing cash and cash equivalents, to advance the clinical development of KER-050, including the initiation of two Phase 2 clinical trials, one in patients with MDS and one in patients with myelofibrosis, to advance the clinical development of KER-047, including the completion of our current Phase 1 clinical trial and the initiation of two Phase 2 clinical trials, one in patients with IRIDA and one in patients with FOP, and the remainder to fund other research and development activities, working capital and general corporate purposes. See “Use of Proceeds.”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33"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2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b w:val="1"/>
          <w:bCs w:val="1"/>
          <w:i w:val="1"/>
          <w:iCs w:val="1"/>
          <w:color w:val="auto"/>
        </w:rPr>
        <w:t>Our executive officers, directors, and stockholders and their affiliates who beneficially own more than 5% of our common stock will continue to exercise significant influence over our company after this offering, which will limit your ability to influence corporate matters and could delay or prevent a change in corporate control.</w:t>
      </w:r>
    </w:p>
    <w:p>
      <w:pPr>
        <w:spacing w:after="0" w:line="13"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Based upon the 19,575,235 shares of our common stock outstanding as of December 31, 2019, and after giving effect to the automatic conversion of all outstanding shares of our convertible preferred stock into an aggregate of 14,227,004 shares of our common stock upon the closing of this offering and</w:t>
      </w:r>
    </w:p>
    <w:p>
      <w:pPr>
        <w:ind w:right="60"/>
        <w:spacing w:after="0" w:line="230" w:lineRule="auto"/>
        <w:rPr>
          <w:sz w:val="20"/>
          <w:szCs w:val="20"/>
          <w:color w:val="auto"/>
        </w:rPr>
      </w:pPr>
      <w:r>
        <w:rPr>
          <w:rFonts w:ascii="Arial" w:cs="Arial" w:eastAsia="Arial" w:hAnsi="Arial"/>
          <w:sz w:val="17"/>
          <w:szCs w:val="17"/>
          <w:color w:val="auto"/>
        </w:rPr>
        <w:t>the sale of shares in this offering, immediately following the completion of this offering, the existing holdings of our executive officers, directors, and stockholders and their affiliates who beneficially own more than 5% of our common stock will represent beneficial ownership, in the aggregate, of approximately % of our outstanding common stock, assuming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448"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no exercise of the underwriters’ option to acquire additional common stock in this offering. As a result, these stockholders, if they act together, will be able to exercise significant influence over our management and affairs and the outcome of matters submitted to our stockholders for approval, including the election of directors and any sale, merger, consolidation, or sale of all or substantially all of our assets. These stockholders acquired their shares of common stock at prices per share that were substantially less than the per share price of the shares of common stock being sold in this offering,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87" w:lineRule="exact"/>
        <w:rPr>
          <w:sz w:val="20"/>
          <w:szCs w:val="20"/>
          <w:color w:val="auto"/>
        </w:rPr>
      </w:pP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delaying, deferring or preventing a change of control of our company;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impeding a merger, consolidation, takeover or other business combination involving our company; 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discouraging a potential acquirer from making a tender offer or otherwise attempting to obtain control of our company.</w:t>
      </w:r>
    </w:p>
    <w:p>
      <w:pPr>
        <w:spacing w:after="0" w:line="144"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principal stockholders and their respective affiliates.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of interest may arise because some members of our board of directors are representatives of our principal stockholders.</w:t>
      </w:r>
    </w:p>
    <w:p>
      <w:pPr>
        <w:spacing w:after="0" w:line="3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Certain of our principal stockholders or their affiliates are venture capital funds or other investment vehicles that could invest in entities that directly or indirectly compete with us. As a result of these relationships, conflicts may arise between the interests of the principal stockholders or their affiliates and the interests of other stockholders, and members of our board of directors that are representatives of such principal stockholders may not be disinterested in such conflicts. Neither the principal stockholders nor the representatives of the principal stockholders on our board of directors, by the terms of our amended and restated certificate of incorporation, are required to offer us any transaction opportunity of which they become aware and could take any such opportunity for themselves or offer it their other affiliates, unless such opportunity is expressly offered to them solely in their capacity as members of our board of directors.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33"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stand-off and other legal restrictions on resale discussed in this prospectus lapse, the market price of our common stock could decline. Based upon the number of</w:t>
      </w:r>
    </w:p>
    <w:p>
      <w:pPr>
        <w:ind w:right="100"/>
        <w:spacing w:after="0" w:line="224" w:lineRule="auto"/>
        <w:rPr>
          <w:sz w:val="20"/>
          <w:szCs w:val="20"/>
          <w:color w:val="auto"/>
        </w:rPr>
      </w:pPr>
      <w:r>
        <w:rPr>
          <w:rFonts w:ascii="Arial" w:cs="Arial" w:eastAsia="Arial" w:hAnsi="Arial"/>
          <w:sz w:val="17"/>
          <w:szCs w:val="17"/>
          <w:color w:val="auto"/>
        </w:rPr>
        <w:t>shares of common stock, on an as-converted basis, outstanding as of December 31, 2019 and the sale of shares in this offering, upon the completion of this offering, we will have outstanding a total of shares of common stock, assuming no exercise of the underwriters’ option to purchase an additional shares. Of these shares, the shares sold by us in this offering will be freely tradable without restriction in the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public market immediately following this offering unless purchased by our “affiliates.” Under the Securities Act of 1933, as amended, or the Securities Act, an “affiliate” of an issuer is a person who directly or indirectly controls, is controlled by or is under common control with that issuer. The remaining</w:t>
      </w:r>
    </w:p>
    <w:p>
      <w:pPr>
        <w:ind w:right="160" w:firstLine="780"/>
        <w:spacing w:after="0" w:line="230" w:lineRule="auto"/>
        <w:rPr>
          <w:sz w:val="20"/>
          <w:szCs w:val="20"/>
          <w:color w:val="auto"/>
        </w:rPr>
      </w:pPr>
      <w:r>
        <w:rPr>
          <w:rFonts w:ascii="Arial" w:cs="Arial" w:eastAsia="Arial" w:hAnsi="Arial"/>
          <w:sz w:val="17"/>
          <w:szCs w:val="17"/>
          <w:color w:val="auto"/>
        </w:rPr>
        <w:t>shares are currently restricted under securities laws or as a result of lock-up or other agreements, but will be able to be sold after this offering as described in “Shares Eligible for Future Sale.” The representatives of the underwriters for this offering may release stockholders from their lock-up agreements with the underwriters at any time and without notice, which would allow for earlier sales of shares in the public market.</w:t>
      </w:r>
    </w:p>
    <w:p>
      <w:pPr>
        <w:spacing w:after="0" w:line="143"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auto"/>
        </w:rPr>
        <w:t>Upon completion of this offering, shares of common stock that are either subject to outstanding options or reserved for future issuance under our equity incentive plans will become eligible for sale in the public market to the extent permitted by the provisions of various vesting schedules, the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lock-up agreements described above and applicable securities laws. We plan to register under the Securities Act all of these shares that we may issue under our equity incentive plans. Once we register these shares, they can be freely sold in the public market upon issuance and once vested, subject to volume limitations applicable to affiliates and the lock-up agreements described above. If any of the additional shares of common stock described above are sold, or if it is perceived that they will be sold, in the public market, the market price of our common stock could decline.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448"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After the completion of this offering, the holders of 16,358,871 shares of our common stock, or their permitted transferees, will be entitled to rights with respect to the registration of their shares under the Securities Act, subject to the lock-up agreements described above. See “Description of Capital Stock —Registration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44"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44" w:lineRule="exact"/>
        <w:rPr>
          <w:sz w:val="20"/>
          <w:szCs w:val="20"/>
          <w:color w:val="auto"/>
        </w:rPr>
      </w:pPr>
    </w:p>
    <w:p>
      <w:pPr>
        <w:ind w:right="600"/>
        <w:spacing w:after="0" w:line="251" w:lineRule="auto"/>
        <w:rPr>
          <w:sz w:val="20"/>
          <w:szCs w:val="20"/>
          <w:color w:val="auto"/>
        </w:rPr>
      </w:pPr>
      <w:r>
        <w:rPr>
          <w:rFonts w:ascii="Arial" w:cs="Arial" w:eastAsia="Arial" w:hAnsi="Arial"/>
          <w:sz w:val="17"/>
          <w:szCs w:val="17"/>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3"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1" w:lineRule="exact"/>
        <w:rPr>
          <w:sz w:val="20"/>
          <w:szCs w:val="20"/>
          <w:color w:val="auto"/>
        </w:rPr>
      </w:pPr>
    </w:p>
    <w:p>
      <w:pPr>
        <w:ind w:right="320"/>
        <w:spacing w:after="0" w:line="28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48"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public and private companies, we will disclose the date on which adoption is required for non-emerging growth companies and the date on which we will adopt the recently issued accounting standard.</w:t>
      </w:r>
    </w:p>
    <w:p>
      <w:pPr>
        <w:spacing w:after="0" w:line="14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w:t>
      </w:r>
    </w:p>
    <w:p>
      <w:pPr>
        <w:spacing w:after="0" w:line="14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We cannot predict if investors will find our common stock less attractive because we may rely on the exemptions and reduced disclosure obligations applicable to emerging growth companies and smaller reporting companies. If some investors find our common stock less attractive as a result, there may be a less active trading market for our common stock and our share price may be more volatile.</w:t>
      </w:r>
    </w:p>
    <w:p>
      <w:pPr>
        <w:spacing w:after="0" w:line="45" w:lineRule="exact"/>
        <w:rPr>
          <w:sz w:val="20"/>
          <w:szCs w:val="20"/>
          <w:color w:val="auto"/>
        </w:rPr>
      </w:pPr>
    </w:p>
    <w:p>
      <w:pPr>
        <w:ind w:right="780"/>
        <w:spacing w:after="0" w:line="251"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over financial reporting our ability to produce accurate and timely financial statements could be impaired.</w:t>
      </w:r>
    </w:p>
    <w:p>
      <w:pPr>
        <w:spacing w:after="0" w:line="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2021. When we lose our status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or the Exchange Act, we will need to implement additional financial and management controls, reporting systems and procedures and hire additional accounting and finance staff.</w:t>
      </w:r>
    </w:p>
    <w:p>
      <w:pPr>
        <w:spacing w:after="0" w:line="147"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33" w:lineRule="exact"/>
        <w:rPr>
          <w:sz w:val="20"/>
          <w:szCs w:val="20"/>
          <w:color w:val="auto"/>
        </w:rPr>
      </w:pPr>
    </w:p>
    <w:p>
      <w:pPr>
        <w:jc w:val="both"/>
        <w:ind w:right="140"/>
        <w:spacing w:after="0" w:line="254" w:lineRule="auto"/>
        <w:rPr>
          <w:sz w:val="20"/>
          <w:szCs w:val="20"/>
          <w:color w:val="auto"/>
        </w:rPr>
      </w:pPr>
      <w:r>
        <w:rPr>
          <w:rFonts w:ascii="Arial" w:cs="Arial" w:eastAsia="Arial" w:hAnsi="Arial"/>
          <w:sz w:val="15"/>
          <w:szCs w:val="15"/>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448"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collusion of two or more people or by an unauthorized override of the controls. Accordingly, because of the inherent limitations in our control system, misstatements due to error or fraud may occur and not be detected.</w:t>
      </w:r>
    </w:p>
    <w:p>
      <w:pPr>
        <w:spacing w:after="0" w:line="44"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that will become effective upon the completion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limit the manner in which stockholders can remove directors from the board;</w:t>
      </w:r>
    </w:p>
    <w:p>
      <w:pPr>
        <w:spacing w:after="0" w:line="26" w:lineRule="exact"/>
        <w:rPr>
          <w:rFonts w:ascii="MS PGothic" w:cs="MS PGothic" w:eastAsia="MS PGothic" w:hAnsi="MS PGothic"/>
          <w:sz w:val="12"/>
          <w:szCs w:val="12"/>
          <w:color w:val="auto"/>
        </w:rPr>
      </w:pPr>
    </w:p>
    <w:p>
      <w:pPr>
        <w:ind w:left="880" w:right="100" w:hanging="432"/>
        <w:spacing w:after="0" w:line="233"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25" w:lineRule="exact"/>
        <w:rPr>
          <w:rFonts w:ascii="MS PGothic" w:cs="MS PGothic" w:eastAsia="MS PGothic" w:hAnsi="MS PGothic"/>
          <w:sz w:val="12"/>
          <w:szCs w:val="12"/>
          <w:color w:val="auto"/>
        </w:rPr>
      </w:pPr>
    </w:p>
    <w:p>
      <w:pPr>
        <w:ind w:left="880" w:right="400" w:hanging="432"/>
        <w:spacing w:after="0" w:line="233"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prohibit our stockholders from calling a special meeting of our stockholders;</w:t>
      </w:r>
    </w:p>
    <w:p>
      <w:pPr>
        <w:spacing w:after="0" w:line="26" w:lineRule="exact"/>
        <w:rPr>
          <w:rFonts w:ascii="MS PGothic" w:cs="MS PGothic" w:eastAsia="MS PGothic" w:hAnsi="MS PGothic"/>
          <w:sz w:val="12"/>
          <w:szCs w:val="12"/>
          <w:color w:val="auto"/>
        </w:rPr>
      </w:pPr>
    </w:p>
    <w:p>
      <w:pPr>
        <w:ind w:left="880" w:right="120" w:hanging="432"/>
        <w:spacing w:after="0" w:line="230"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5" w:lineRule="exact"/>
        <w:rPr>
          <w:rFonts w:ascii="MS PGothic" w:cs="MS PGothic" w:eastAsia="MS PGothic" w:hAnsi="MS PGothic"/>
          <w:sz w:val="12"/>
          <w:szCs w:val="12"/>
          <w:color w:val="auto"/>
        </w:rPr>
      </w:pPr>
    </w:p>
    <w:p>
      <w:pPr>
        <w:ind w:left="880" w:right="460" w:hanging="432"/>
        <w:spacing w:after="0" w:line="233" w:lineRule="auto"/>
        <w:tabs>
          <w:tab w:leader="none" w:pos="88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require the approval of the holders of at least 66 2/3% of the votes that all our stockholders would be entitled to cast to amend or repeal certain provisions of our charter or bylaws.</w:t>
      </w:r>
    </w:p>
    <w:p>
      <w:pPr>
        <w:spacing w:after="0" w:line="143"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exclusive forum for substantially all disputes between us and our stockholders, which could limit our stockholders’ ability to obtain a favorable judicial forum for disputes with us or our directors, officers or employees.</w:t>
      </w:r>
    </w:p>
    <w:p>
      <w:pPr>
        <w:spacing w:after="0" w:line="1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the following types of actions or proceedings under Delaware statutory or common law:</w:t>
      </w:r>
    </w:p>
    <w:p>
      <w:pPr>
        <w:spacing w:after="0" w:line="184" w:lineRule="exact"/>
        <w:rPr>
          <w:sz w:val="20"/>
          <w:szCs w:val="20"/>
          <w:color w:val="auto"/>
        </w:rPr>
      </w:pPr>
    </w:p>
    <w:p>
      <w:pPr>
        <w:ind w:left="880" w:hanging="432"/>
        <w:spacing w:after="0"/>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any derivative action or proceeding brought on our behalf;</w:t>
      </w:r>
    </w:p>
    <w:p>
      <w:pPr>
        <w:spacing w:after="0" w:line="26" w:lineRule="exact"/>
        <w:rPr>
          <w:rFonts w:ascii="MS PGothic" w:cs="MS PGothic" w:eastAsia="MS PGothic" w:hAnsi="MS PGothic"/>
          <w:sz w:val="12"/>
          <w:szCs w:val="12"/>
          <w:color w:val="auto"/>
        </w:rPr>
      </w:pPr>
    </w:p>
    <w:p>
      <w:pPr>
        <w:ind w:left="880" w:right="540" w:hanging="432"/>
        <w:spacing w:after="0" w:line="233" w:lineRule="auto"/>
        <w:tabs>
          <w:tab w:leader="none" w:pos="88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any action or proceeding asserting a claim of breach of a fiduciary duty owed by any of our current or former directors, officers or other employees to us or our stockholders;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448" w:right="3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140" w:hanging="432"/>
        <w:spacing w:after="0" w:line="233" w:lineRule="auto"/>
        <w:tabs>
          <w:tab w:leader="none" w:pos="88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any action or proceeding asserting a claim against us or any of our current or former directors, officers or other employees, arising out of or pursuant to any provision of the Delaware General Corporation Law, our certificate of incorporation or our bylaws;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any action or proceeding to interpret, apply, enforce or determine the validity of our certificate of incorporation or our bylaws;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any action asserting a claim against us or any of our directors, officers or other employees governed by the internal affairs doctrine.</w:t>
      </w:r>
    </w:p>
    <w:p>
      <w:pPr>
        <w:spacing w:after="0" w:line="144" w:lineRule="exact"/>
        <w:rPr>
          <w:sz w:val="20"/>
          <w:szCs w:val="20"/>
          <w:color w:val="auto"/>
        </w:rPr>
      </w:pPr>
    </w:p>
    <w:p>
      <w:pPr>
        <w:ind w:right="340"/>
        <w:spacing w:after="0" w:line="233"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or any other claim for which the U.S. federal courts have exclusive jurisdiction.</w:t>
      </w:r>
    </w:p>
    <w:p>
      <w:pPr>
        <w:spacing w:after="0" w:line="143"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In addition, our amended and restated certificate of incorporation provides that the federal district courts of the United States will be the exclusive forum for resolving any complaint asserting a cause of action arising under the Securities Act, unless we consent in writing to the selection of an alternative forum.</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may be reviewed and ultimately overturned by the Delaware Supreme Court.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60"/>
          </w:cols>
          <w:pgMar w:left="320" w:top="448" w:right="4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33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This prospectus contains forward-looking statements that involve substantial risks and uncertainties. These forward-looking statements are contained principally in the sections of this prospectus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These forward-looking statements include statements about:</w:t>
      </w:r>
    </w:p>
    <w:p>
      <w:pPr>
        <w:spacing w:after="0" w:line="183" w:lineRule="exact"/>
        <w:rPr>
          <w:sz w:val="20"/>
          <w:szCs w:val="20"/>
          <w:color w:val="auto"/>
        </w:rPr>
      </w:pPr>
    </w:p>
    <w:p>
      <w:pPr>
        <w:ind w:left="880" w:right="60" w:hanging="432"/>
        <w:spacing w:after="0" w:line="233" w:lineRule="auto"/>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the timing of completion of our ongoing Phase 1 clinical trial and the timing of initiation for future clinical trials for our lead product candidates, KER-050 and KER-047;</w:t>
      </w:r>
    </w:p>
    <w:p>
      <w:pPr>
        <w:spacing w:after="0" w:line="25" w:lineRule="exact"/>
        <w:rPr>
          <w:rFonts w:ascii="MS PGothic" w:cs="MS PGothic" w:eastAsia="MS PGothic" w:hAnsi="MS PGothic"/>
          <w:sz w:val="12"/>
          <w:szCs w:val="12"/>
          <w:color w:val="auto"/>
        </w:rPr>
      </w:pPr>
    </w:p>
    <w:p>
      <w:pPr>
        <w:ind w:left="880" w:right="180" w:hanging="432"/>
        <w:spacing w:after="0" w:line="233" w:lineRule="auto"/>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receive the required regulatory approvals and clearances to successfully market and sell our products in the United States and certain other countries;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successfully advance our pipeline of additional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develop sales and marketing capabilities;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the rate and degree of market acceptance of any products we are able to commercialize;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develop sales and marketing capabilities;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the effects of increased competition as well as innovations by new and existing competitors in our market;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obtain funding for our operations;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establish and maintain collaborations;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effectively manage our anticipated growth;</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maintain, protect and enhance our intellectual property rights and proprietary technologies;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operate our business without infringing the intellectual property rights and proprietary technology of third parties;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costs associated with defending intellectual property infringement, product liability and other claims;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regulatory developments in the United States and other foreign countries;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ability to attract and retain qualified employees;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expectations regarding the period during which we qualify as an emerging growth company under the JOBS Act;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statements regarding future revenue, hiring plans, expenses, capital expenditures, capital requirements and stock performance;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our expected use of proceeds of this offering;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the future trading prices of our common stock and the impact of securities analysts’ reports on these prices.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w:t>
      </w:r>
    </w:p>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These forward-looking statements are subject to a number of risks, uncertainties and assumptions described under the section titled “Risk Factors” and elsewhere in this prospectus. We also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or implied by, any forward-looking statements. In light of these risks, uncertainties and assumptions, the forward-looking events and circumstances described in this prospectus may not occur and actual results could differ materially and adversely from those anticipated or implied in the forward-looking statements contained in this prospectus.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448"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circumstances or achievements reflected in the forward-looking statements will ever be achieved or occur. Except as required by law, we undertake no obligation to update publicly any forward-looking statements for any reason after the date of this prospectus to conform these statements to actual results or to changes in our expectations.</w:t>
      </w:r>
    </w:p>
    <w:p>
      <w:pPr>
        <w:spacing w:after="0" w:line="14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60"/>
          </w:cols>
          <w:pgMar w:left="320" w:top="448" w:right="41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INDUSTRY AND MARKET DATA</w:t>
      </w:r>
    </w:p>
    <w:p>
      <w:pPr>
        <w:spacing w:after="0" w:line="33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This prospectus includes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We believe that these third-party sources and estimates are reliable, but have not independently verified them.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8"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In addition, projections, assumptions and estimates of our future performance and the future performance of the industry in which we operate is necessarily subject to a high degree of uncertainty and risk due to a variety of factors, including those described in the section of this prospectus titled “Risk Factors” and elsewhere in this prospectus. These and other factors could cause results to differ materially from those expressed in the estimates made by the independent parties and by us.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80"/>
          </w:cols>
          <w:pgMar w:left="320" w:top="448" w:right="4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33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We estimate that the net proceeds to us from this offering will be approximately $ million, or approximately $ million if the underwriters exercise in full their option to purchase additional shares from us, in each case after deducting the estimated underwriting discounts and commissions and estimated</w:t>
      </w:r>
    </w:p>
    <w:p>
      <w:pPr>
        <w:ind w:right="340"/>
        <w:spacing w:after="0" w:line="233" w:lineRule="auto"/>
        <w:rPr>
          <w:sz w:val="20"/>
          <w:szCs w:val="20"/>
          <w:color w:val="auto"/>
        </w:rPr>
      </w:pPr>
      <w:r>
        <w:rPr>
          <w:rFonts w:ascii="Arial" w:cs="Arial" w:eastAsia="Arial" w:hAnsi="Arial"/>
          <w:sz w:val="17"/>
          <w:szCs w:val="17"/>
          <w:color w:val="auto"/>
        </w:rPr>
        <w:t>offering expenses payable by us and based on an assumed initial public offering price of $ per share, which is the midpoint of the price range set forth on the cover page of this prospectus.</w:t>
      </w:r>
    </w:p>
    <w:p>
      <w:pPr>
        <w:spacing w:after="0" w:line="143" w:lineRule="exact"/>
        <w:rPr>
          <w:sz w:val="20"/>
          <w:szCs w:val="20"/>
          <w:color w:val="auto"/>
        </w:rPr>
      </w:pPr>
    </w:p>
    <w:p>
      <w:pPr>
        <w:ind w:right="240"/>
        <w:spacing w:after="0" w:line="224"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price range set forth on the cover page of this prospectus, would increase or decrease the net proceeds to us from this offering by approximately $ million, assuming that the</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number of shares offered by us, as set forth on the cover page of this prospectus, remains the same, and after deducting estimated underwriting discounts and commissions payable by us. We may also increase or decrease the number of shares we are offering. Each 1,000,000 share increase or</w:t>
      </w:r>
    </w:p>
    <w:p>
      <w:pPr>
        <w:ind w:right="40"/>
        <w:spacing w:after="0" w:line="230" w:lineRule="auto"/>
        <w:rPr>
          <w:sz w:val="20"/>
          <w:szCs w:val="20"/>
          <w:color w:val="auto"/>
        </w:rPr>
      </w:pPr>
      <w:r>
        <w:rPr>
          <w:rFonts w:ascii="Arial" w:cs="Arial" w:eastAsia="Arial" w:hAnsi="Arial"/>
          <w:sz w:val="17"/>
          <w:szCs w:val="17"/>
          <w:color w:val="auto"/>
        </w:rPr>
        <w:t>decrease in the number of shares offered by us would increase or decrease the net proceeds to us from this offering by approximately $ million, assuming that the assumed initial public offering price remains the same, and after deducting estimated underwriting discounts and commissions payable by us.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intend to use the net proceeds of this offering, together with our existing cash and cash equivalents, as follows:</w:t>
      </w:r>
    </w:p>
    <w:p>
      <w:pPr>
        <w:spacing w:after="0" w:line="183" w:lineRule="exact"/>
        <w:rPr>
          <w:sz w:val="20"/>
          <w:szCs w:val="20"/>
          <w:color w:val="auto"/>
        </w:rPr>
      </w:pPr>
    </w:p>
    <w:p>
      <w:pPr>
        <w:ind w:left="880" w:right="440" w:hanging="432"/>
        <w:spacing w:after="0" w:line="232" w:lineRule="auto"/>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approximately $ million to advance the clinical development of KER-050, including the initiation of two Phase 2 clinical trials, one in patients with MDS and one in patients with myelofibrosis;</w:t>
      </w:r>
    </w:p>
    <w:p>
      <w:pPr>
        <w:ind w:left="880" w:hanging="432"/>
        <w:spacing w:after="0" w:line="233" w:lineRule="auto"/>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approximately $ million to advance the clinical development of KER-047, including the completion of our current Phase 1 clinical trial and the initiation of two Phase 2 clinical trials, one in patients with IRIDA and one in patients with FOP;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the remainder to fund other research and development activities, working capital and general corporate purposes.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We may also use a portion of the remaining net proceeds to in-license, acquire or invest in complementary businesses, technologies, products or assets.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However, we have no current commitments or obligations to do so.</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Based on our current plans, we believe that our existing cash and cash equivalents, together with the net proceeds from this offering, will enable us to</w:t>
      </w:r>
    </w:p>
    <w:p>
      <w:pPr>
        <w:spacing w:after="0" w:line="10"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fund our operating expenses and capital expenditure requirements into . The expected net proceeds from this offering will not be sufficient for us to fund any of our product candidates through regulatory approval, and we will need to raise substantial additional capital to complete the development and commercialization of our product candidates. For additional information regarding our potential capital requirements, see “Risk Factors.”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320" w:top="448" w:right="3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DIVIDEND POLICY</w:t>
      </w:r>
    </w:p>
    <w:p>
      <w:pPr>
        <w:spacing w:after="0" w:line="330"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for the operation and expansion of our business and, therefore, we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any limitations on payment of dividends present in any future debt agreements and other factors that our board of directors may deem relevant.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80"/>
          </w:cols>
          <w:pgMar w:left="320" w:top="448" w:right="4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December 31, 2019:</w:t>
      </w:r>
    </w:p>
    <w:p>
      <w:pPr>
        <w:spacing w:after="0" w:line="183" w:lineRule="exact"/>
        <w:rPr>
          <w:sz w:val="20"/>
          <w:szCs w:val="20"/>
          <w:color w:val="auto"/>
        </w:rPr>
      </w:pPr>
    </w:p>
    <w:p>
      <w:pPr>
        <w:ind w:left="880" w:hanging="432"/>
        <w:spacing w:after="0"/>
        <w:tabs>
          <w:tab w:leader="none" w:pos="880" w:val="left"/>
        </w:tabs>
        <w:numPr>
          <w:ilvl w:val="0"/>
          <w:numId w:val="56"/>
        </w:numPr>
        <w:rPr>
          <w:rFonts w:ascii="MS PGothic" w:cs="MS PGothic" w:eastAsia="MS PGothic" w:hAnsi="MS PGothic"/>
          <w:sz w:val="12"/>
          <w:szCs w:val="12"/>
          <w:color w:val="auto"/>
        </w:rPr>
      </w:pPr>
      <w:r>
        <w:rPr>
          <w:rFonts w:ascii="Arial" w:cs="Arial" w:eastAsia="Arial" w:hAnsi="Arial"/>
          <w:sz w:val="17"/>
          <w:szCs w:val="17"/>
          <w:color w:val="auto"/>
        </w:rPr>
        <w:t>on an actual basis;</w:t>
      </w:r>
    </w:p>
    <w:p>
      <w:pPr>
        <w:spacing w:after="0" w:line="26" w:lineRule="exact"/>
        <w:rPr>
          <w:rFonts w:ascii="MS PGothic" w:cs="MS PGothic" w:eastAsia="MS PGothic" w:hAnsi="MS PGothic"/>
          <w:sz w:val="12"/>
          <w:szCs w:val="12"/>
          <w:color w:val="auto"/>
        </w:rPr>
      </w:pPr>
    </w:p>
    <w:p>
      <w:pPr>
        <w:ind w:left="880" w:right="420" w:hanging="432"/>
        <w:spacing w:after="0" w:line="230" w:lineRule="auto"/>
        <w:tabs>
          <w:tab w:leader="none" w:pos="880" w:val="left"/>
        </w:tabs>
        <w:numPr>
          <w:ilvl w:val="0"/>
          <w:numId w:val="56"/>
        </w:numPr>
        <w:rPr>
          <w:rFonts w:ascii="MS PGothic" w:cs="MS PGothic" w:eastAsia="MS PGothic" w:hAnsi="MS PGothic"/>
          <w:sz w:val="12"/>
          <w:szCs w:val="12"/>
          <w:color w:val="auto"/>
        </w:rPr>
      </w:pPr>
      <w:r>
        <w:rPr>
          <w:rFonts w:ascii="Arial" w:cs="Arial" w:eastAsia="Arial" w:hAnsi="Arial"/>
          <w:sz w:val="17"/>
          <w:szCs w:val="17"/>
          <w:color w:val="auto"/>
        </w:rPr>
        <w:t>on a pro forma basis, giving effect to (1) the automatic conversion of all of our outstanding shares of preferred stock into an aggregate of 14,227,004 shares of our common stock upon the closing of this offering and (2) the filing of our amended and restated certificate of incorporation, which will be filed in connection with this offering; and</w:t>
      </w:r>
    </w:p>
    <w:p>
      <w:pPr>
        <w:sectPr>
          <w:pgSz w:w="11900" w:h="16838" w:orient="portrait"/>
          <w:cols w:equalWidth="0" w:num="1">
            <w:col w:w="11240"/>
          </w:cols>
          <w:pgMar w:left="320" w:top="448" w:right="339" w:bottom="1440" w:gutter="0" w:footer="0" w:header="0"/>
        </w:sectPr>
      </w:pPr>
    </w:p>
    <w:p>
      <w:pPr>
        <w:spacing w:after="0" w:line="8" w:lineRule="exact"/>
        <w:rPr>
          <w:sz w:val="20"/>
          <w:szCs w:val="20"/>
          <w:color w:val="auto"/>
        </w:rPr>
      </w:pPr>
    </w:p>
    <w:p>
      <w:pPr>
        <w:ind w:left="4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on a pro forma as adjusted basis to reflect (1) the pro forma items described immediately above and (2) the sale of shares of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45" w:lineRule="exact"/>
        <w:rPr>
          <w:sz w:val="20"/>
          <w:szCs w:val="20"/>
          <w:color w:val="auto"/>
        </w:rPr>
      </w:pPr>
    </w:p>
    <w:p>
      <w:pPr>
        <w:sectPr>
          <w:pgSz w:w="11900" w:h="16838" w:orient="portrait"/>
          <w:cols w:equalWidth="0" w:num="2">
            <w:col w:w="520" w:space="360"/>
            <w:col w:w="10360"/>
          </w:cols>
          <w:pgMar w:left="320" w:top="448" w:right="339" w:bottom="1440" w:gutter="0" w:footer="0" w:header="0"/>
          <w:type w:val="continuous"/>
        </w:sectPr>
      </w:pPr>
    </w:p>
    <w:p>
      <w:pPr>
        <w:ind w:right="300"/>
        <w:spacing w:after="0" w:line="233" w:lineRule="auto"/>
        <w:rPr>
          <w:sz w:val="20"/>
          <w:szCs w:val="20"/>
          <w:color w:val="auto"/>
        </w:rPr>
      </w:pPr>
      <w:r>
        <w:rPr>
          <w:rFonts w:ascii="Arial" w:cs="Arial" w:eastAsia="Arial" w:hAnsi="Arial"/>
          <w:sz w:val="17"/>
          <w:szCs w:val="17"/>
          <w:color w:val="auto"/>
        </w:rPr>
        <w:t>The information below is illustrative only, and our capitalization following the closing of this offering will depend on the actual initial public offering price and other terms of the offering determined at the pricing of this offering.</w:t>
      </w:r>
    </w:p>
    <w:p>
      <w:pPr>
        <w:spacing w:after="0" w:line="143"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You should read this table together with the sections of this prospectus titled “Selected Consolidated Financial Data,” “Management’s Discussion and Analysis of Financial Condition and Results of Operations” and our consolidated financial statements and the related notes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20" w:type="dxa"/>
            <w:vAlign w:val="bottom"/>
            <w:gridSpan w:val="6"/>
          </w:tcPr>
          <w:p>
            <w:pPr>
              <w:jc w:val="center"/>
              <w:ind w:right="1100"/>
              <w:spacing w:after="0"/>
              <w:rPr>
                <w:sz w:val="20"/>
                <w:szCs w:val="20"/>
                <w:color w:val="auto"/>
              </w:rPr>
            </w:pPr>
            <w:r>
              <w:rPr>
                <w:rFonts w:ascii="Arial" w:cs="Arial" w:eastAsia="Arial" w:hAnsi="Arial"/>
                <w:sz w:val="14"/>
                <w:szCs w:val="14"/>
                <w:b w:val="1"/>
                <w:bCs w:val="1"/>
                <w:color w:val="auto"/>
                <w:w w:val="99"/>
              </w:rPr>
              <w:t>AS OF DECEMBER 31, 2019</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9"/>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PRO FORMA</w:t>
            </w:r>
          </w:p>
        </w:tc>
        <w:tc>
          <w:tcPr>
            <w:tcW w:w="160" w:type="dxa"/>
            <w:vAlign w:val="bottom"/>
          </w:tcPr>
          <w:p>
            <w:pPr>
              <w:spacing w:after="0"/>
              <w:rPr>
                <w:sz w:val="15"/>
                <w:szCs w:val="15"/>
                <w:color w:val="auto"/>
              </w:rPr>
            </w:pPr>
          </w:p>
        </w:tc>
        <w:tc>
          <w:tcPr>
            <w:tcW w:w="1360" w:type="dxa"/>
            <w:vAlign w:val="bottom"/>
            <w:gridSpan w:val="2"/>
          </w:tcPr>
          <w:p>
            <w:pPr>
              <w:jc w:val="center"/>
              <w:ind w:right="60"/>
              <w:spacing w:after="0" w:line="173"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20" w:type="dxa"/>
            <w:vAlign w:val="bottom"/>
            <w:tcBorders>
              <w:top w:val="single" w:sz="8" w:color="auto"/>
            </w:tcBorders>
            <w:gridSpan w:val="6"/>
          </w:tcPr>
          <w:p>
            <w:pPr>
              <w:jc w:val="center"/>
              <w:spacing w:after="0" w:line="150"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14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890"/>
              <w:spacing w:after="0" w:line="183" w:lineRule="exact"/>
              <w:rPr>
                <w:sz w:val="20"/>
                <w:szCs w:val="20"/>
                <w:color w:val="auto"/>
              </w:rPr>
            </w:pPr>
            <w:r>
              <w:rPr>
                <w:rFonts w:ascii="Arial" w:cs="Arial" w:eastAsia="Arial" w:hAnsi="Arial"/>
                <w:sz w:val="17"/>
                <w:szCs w:val="17"/>
                <w:color w:val="auto"/>
              </w:rPr>
              <w:t>$</w:t>
            </w:r>
          </w:p>
        </w:tc>
        <w:tc>
          <w:tcPr>
            <w:tcW w:w="1700" w:type="dxa"/>
            <w:vAlign w:val="bottom"/>
            <w:gridSpan w:val="3"/>
            <w:shd w:val="clear" w:color="auto" w:fill="CCEEFF"/>
          </w:tcPr>
          <w:p>
            <w:pPr>
              <w:jc w:val="right"/>
              <w:ind w:right="1150"/>
              <w:spacing w:after="0" w:line="183"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154"/>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7"/>
                <w:szCs w:val="17"/>
                <w:color w:val="auto"/>
              </w:rPr>
              <w:t>Convertible preferred stock:</w:t>
            </w:r>
          </w:p>
        </w:tc>
        <w:tc>
          <w:tcPr>
            <w:tcW w:w="1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20" w:type="dxa"/>
            <w:vAlign w:val="bottom"/>
            <w:gridSpan w:val="5"/>
            <w:shd w:val="clear" w:color="auto" w:fill="CCEEFF"/>
          </w:tcPr>
          <w:p>
            <w:pPr>
              <w:ind w:left="240"/>
              <w:spacing w:after="0" w:line="177" w:lineRule="exact"/>
              <w:rPr>
                <w:sz w:val="20"/>
                <w:szCs w:val="20"/>
                <w:color w:val="auto"/>
              </w:rPr>
            </w:pPr>
            <w:r>
              <w:rPr>
                <w:rFonts w:ascii="Arial" w:cs="Arial" w:eastAsia="Arial" w:hAnsi="Arial"/>
                <w:sz w:val="17"/>
                <w:szCs w:val="17"/>
                <w:color w:val="auto"/>
              </w:rPr>
              <w:t>Series A preferred stock, $0.0001 par value per share; 10,000,000 shares authorized,</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gridSpan w:val="5"/>
            <w:shd w:val="clear" w:color="auto" w:fill="CCEEFF"/>
          </w:tcPr>
          <w:p>
            <w:pPr>
              <w:ind w:left="500"/>
              <w:spacing w:after="0" w:line="183" w:lineRule="exact"/>
              <w:rPr>
                <w:sz w:val="20"/>
                <w:szCs w:val="20"/>
                <w:color w:val="auto"/>
              </w:rPr>
            </w:pPr>
            <w:r>
              <w:rPr>
                <w:rFonts w:ascii="Arial" w:cs="Arial" w:eastAsia="Arial" w:hAnsi="Arial"/>
                <w:sz w:val="17"/>
                <w:szCs w:val="17"/>
                <w:color w:val="auto"/>
              </w:rPr>
              <w:t>10,000,000 shares issued and outstanding, actual; no shares authorized, issued or</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w w:val="96"/>
              </w:rPr>
              <w:t>outstanding, pro forma and pro forma as adjusted</w:t>
            </w:r>
          </w:p>
        </w:tc>
        <w:tc>
          <w:tcPr>
            <w:tcW w:w="22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890"/>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3"/>
            <w:shd w:val="clear" w:color="auto" w:fill="CCEEFF"/>
          </w:tcPr>
          <w:p>
            <w:pPr>
              <w:jc w:val="right"/>
              <w:ind w:right="1150"/>
              <w:spacing w:after="0" w:line="189"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154"/>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20" w:type="dxa"/>
            <w:vAlign w:val="bottom"/>
            <w:gridSpan w:val="5"/>
          </w:tcPr>
          <w:p>
            <w:pPr>
              <w:ind w:left="240"/>
              <w:spacing w:after="0" w:line="177" w:lineRule="exact"/>
              <w:rPr>
                <w:sz w:val="20"/>
                <w:szCs w:val="20"/>
                <w:color w:val="auto"/>
              </w:rPr>
            </w:pPr>
            <w:r>
              <w:rPr>
                <w:rFonts w:ascii="Arial" w:cs="Arial" w:eastAsia="Arial" w:hAnsi="Arial"/>
                <w:sz w:val="17"/>
                <w:szCs w:val="17"/>
                <w:color w:val="auto"/>
              </w:rPr>
              <w:t>Series A-1 preferred stock, $0.0001 par value per share; 800,000 shares authorized,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gridSpan w:val="3"/>
          </w:tcPr>
          <w:p>
            <w:pPr>
              <w:ind w:left="500"/>
              <w:spacing w:after="0" w:line="183" w:lineRule="exact"/>
              <w:rPr>
                <w:sz w:val="20"/>
                <w:szCs w:val="20"/>
                <w:color w:val="auto"/>
              </w:rPr>
            </w:pPr>
            <w:r>
              <w:rPr>
                <w:rFonts w:ascii="Arial" w:cs="Arial" w:eastAsia="Arial" w:hAnsi="Arial"/>
                <w:sz w:val="17"/>
                <w:szCs w:val="17"/>
                <w:color w:val="auto"/>
                <w:w w:val="96"/>
              </w:rPr>
              <w:t>800,000 shares issued and outstanding, actual; no shares authorized, issued or</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500"/>
              <w:spacing w:after="0" w:line="189" w:lineRule="exact"/>
              <w:rPr>
                <w:sz w:val="20"/>
                <w:szCs w:val="20"/>
                <w:color w:val="auto"/>
              </w:rPr>
            </w:pPr>
            <w:r>
              <w:rPr>
                <w:rFonts w:ascii="Arial" w:cs="Arial" w:eastAsia="Arial" w:hAnsi="Arial"/>
                <w:sz w:val="17"/>
                <w:szCs w:val="17"/>
                <w:color w:val="auto"/>
                <w:w w:val="96"/>
              </w:rPr>
              <w:t>outstanding, pro forma and pro forma as adjusted</w:t>
            </w:r>
          </w:p>
        </w:tc>
        <w:tc>
          <w:tcPr>
            <w:tcW w:w="2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20" w:type="dxa"/>
            <w:vAlign w:val="bottom"/>
            <w:gridSpan w:val="5"/>
            <w:shd w:val="clear" w:color="auto" w:fill="CCEEFF"/>
          </w:tcPr>
          <w:p>
            <w:pPr>
              <w:ind w:left="240"/>
              <w:spacing w:after="0" w:line="177" w:lineRule="exact"/>
              <w:rPr>
                <w:sz w:val="20"/>
                <w:szCs w:val="20"/>
                <w:color w:val="auto"/>
              </w:rPr>
            </w:pPr>
            <w:r>
              <w:rPr>
                <w:rFonts w:ascii="Arial" w:cs="Arial" w:eastAsia="Arial" w:hAnsi="Arial"/>
                <w:sz w:val="17"/>
                <w:szCs w:val="17"/>
                <w:color w:val="auto"/>
              </w:rPr>
              <w:t>Series B-1 preferred stock, $0.0001 par value per share; 3,427,004 shares authorized,</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gridSpan w:val="5"/>
            <w:shd w:val="clear" w:color="auto" w:fill="CCEEFF"/>
          </w:tcPr>
          <w:p>
            <w:pPr>
              <w:ind w:left="500"/>
              <w:spacing w:after="0" w:line="183" w:lineRule="exact"/>
              <w:rPr>
                <w:sz w:val="20"/>
                <w:szCs w:val="20"/>
                <w:color w:val="auto"/>
              </w:rPr>
            </w:pPr>
            <w:r>
              <w:rPr>
                <w:rFonts w:ascii="Arial" w:cs="Arial" w:eastAsia="Arial" w:hAnsi="Arial"/>
                <w:sz w:val="17"/>
                <w:szCs w:val="17"/>
                <w:color w:val="auto"/>
              </w:rPr>
              <w:t>3,427,004 shares issued and outstanding, actual; no shares authorized, issued or</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w w:val="96"/>
              </w:rPr>
              <w:t>outstanding, pro forma and pro forma as adjusted</w:t>
            </w:r>
          </w:p>
        </w:tc>
        <w:tc>
          <w:tcPr>
            <w:tcW w:w="2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20" w:type="dxa"/>
            <w:vAlign w:val="bottom"/>
            <w:gridSpan w:val="5"/>
          </w:tcPr>
          <w:p>
            <w:pPr>
              <w:ind w:left="240"/>
              <w:spacing w:after="0" w:line="177" w:lineRule="exact"/>
              <w:rPr>
                <w:sz w:val="20"/>
                <w:szCs w:val="20"/>
                <w:color w:val="auto"/>
              </w:rPr>
            </w:pPr>
            <w:r>
              <w:rPr>
                <w:rFonts w:ascii="Arial" w:cs="Arial" w:eastAsia="Arial" w:hAnsi="Arial"/>
                <w:sz w:val="17"/>
                <w:szCs w:val="17"/>
                <w:color w:val="auto"/>
              </w:rPr>
              <w:t>Series B-2 preferred stock, $0.0001 par value per share; 3,062,891 shares authorized, 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gridSpan w:val="5"/>
          </w:tcPr>
          <w:p>
            <w:pPr>
              <w:ind w:left="500"/>
              <w:spacing w:after="0" w:line="183" w:lineRule="exact"/>
              <w:rPr>
                <w:sz w:val="20"/>
                <w:szCs w:val="20"/>
                <w:color w:val="auto"/>
              </w:rPr>
            </w:pPr>
            <w:r>
              <w:rPr>
                <w:rFonts w:ascii="Arial" w:cs="Arial" w:eastAsia="Arial" w:hAnsi="Arial"/>
                <w:sz w:val="17"/>
                <w:szCs w:val="17"/>
                <w:color w:val="auto"/>
              </w:rPr>
              <w:t>shares issued and outstanding, actual; no shares authorized, issued or outstanding,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pro forma and pro forma as adjusted</w:t>
            </w:r>
          </w:p>
        </w:tc>
        <w:tc>
          <w:tcPr>
            <w:tcW w:w="2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Stockholders’ (deficit) equity:</w:t>
            </w:r>
          </w:p>
        </w:tc>
        <w:tc>
          <w:tcPr>
            <w:tcW w:w="14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20" w:type="dxa"/>
            <w:vAlign w:val="bottom"/>
            <w:gridSpan w:val="5"/>
          </w:tcPr>
          <w:p>
            <w:pPr>
              <w:ind w:left="240"/>
              <w:spacing w:after="0" w:line="177" w:lineRule="exact"/>
              <w:rPr>
                <w:sz w:val="20"/>
                <w:szCs w:val="20"/>
                <w:color w:val="auto"/>
              </w:rPr>
            </w:pPr>
            <w:r>
              <w:rPr>
                <w:rFonts w:ascii="Arial" w:cs="Arial" w:eastAsia="Arial" w:hAnsi="Arial"/>
                <w:sz w:val="17"/>
                <w:szCs w:val="17"/>
                <w:color w:val="auto"/>
              </w:rPr>
              <w:t>Common stock, $0.0001 par value per share; 27,000,000 shares authorized, 19,575,235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gridSpan w:val="2"/>
          </w:tcPr>
          <w:p>
            <w:pPr>
              <w:ind w:left="500"/>
              <w:spacing w:after="0" w:line="183" w:lineRule="exact"/>
              <w:rPr>
                <w:sz w:val="20"/>
                <w:szCs w:val="20"/>
                <w:color w:val="auto"/>
              </w:rPr>
            </w:pPr>
            <w:r>
              <w:rPr>
                <w:rFonts w:ascii="Arial" w:cs="Arial" w:eastAsia="Arial" w:hAnsi="Arial"/>
                <w:sz w:val="17"/>
                <w:szCs w:val="17"/>
                <w:color w:val="auto"/>
              </w:rPr>
              <w:t>shares issued and outstanding, actual;</w:t>
            </w:r>
          </w:p>
        </w:tc>
        <w:tc>
          <w:tcPr>
            <w:tcW w:w="2200" w:type="dxa"/>
            <w:vAlign w:val="bottom"/>
          </w:tcPr>
          <w:p>
            <w:pPr>
              <w:ind w:left="20"/>
              <w:spacing w:after="0" w:line="183" w:lineRule="exact"/>
              <w:rPr>
                <w:sz w:val="20"/>
                <w:szCs w:val="20"/>
                <w:color w:val="auto"/>
              </w:rPr>
            </w:pPr>
            <w:r>
              <w:rPr>
                <w:rFonts w:ascii="Arial" w:cs="Arial" w:eastAsia="Arial" w:hAnsi="Arial"/>
                <w:sz w:val="17"/>
                <w:szCs w:val="17"/>
                <w:color w:val="auto"/>
              </w:rPr>
              <w:t>shares authorized,</w:t>
            </w:r>
          </w:p>
        </w:tc>
        <w:tc>
          <w:tcPr>
            <w:tcW w:w="1700" w:type="dxa"/>
            <w:vAlign w:val="bottom"/>
            <w:gridSpan w:val="2"/>
          </w:tcPr>
          <w:p>
            <w:pPr>
              <w:jc w:val="right"/>
              <w:ind w:right="1130"/>
              <w:spacing w:after="0" w:line="183" w:lineRule="exact"/>
              <w:rPr>
                <w:sz w:val="20"/>
                <w:szCs w:val="20"/>
                <w:color w:val="auto"/>
              </w:rPr>
            </w:pPr>
            <w:r>
              <w:rPr>
                <w:rFonts w:ascii="Arial" w:cs="Arial" w:eastAsia="Arial" w:hAnsi="Arial"/>
                <w:sz w:val="17"/>
                <w:szCs w:val="17"/>
                <w:color w:val="auto"/>
                <w:w w:val="93"/>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gridSpan w:val="2"/>
          </w:tcPr>
          <w:p>
            <w:pPr>
              <w:ind w:left="500"/>
              <w:spacing w:after="0" w:line="183" w:lineRule="exact"/>
              <w:rPr>
                <w:sz w:val="20"/>
                <w:szCs w:val="20"/>
                <w:color w:val="auto"/>
              </w:rPr>
            </w:pPr>
            <w:r>
              <w:rPr>
                <w:rFonts w:ascii="Arial" w:cs="Arial" w:eastAsia="Arial" w:hAnsi="Arial"/>
                <w:sz w:val="17"/>
                <w:szCs w:val="17"/>
                <w:color w:val="auto"/>
              </w:rPr>
              <w:t>issued and outstanding, pro forma and</w:t>
            </w:r>
          </w:p>
        </w:tc>
        <w:tc>
          <w:tcPr>
            <w:tcW w:w="390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shares issued and outstanding, pro</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500"/>
              <w:spacing w:after="0" w:line="189" w:lineRule="exact"/>
              <w:rPr>
                <w:sz w:val="20"/>
                <w:szCs w:val="20"/>
                <w:color w:val="auto"/>
              </w:rPr>
            </w:pPr>
            <w:r>
              <w:rPr>
                <w:rFonts w:ascii="Arial" w:cs="Arial" w:eastAsia="Arial" w:hAnsi="Arial"/>
                <w:sz w:val="17"/>
                <w:szCs w:val="17"/>
                <w:color w:val="auto"/>
              </w:rPr>
              <w:t>forma as adjusted</w:t>
            </w:r>
          </w:p>
        </w:tc>
        <w:tc>
          <w:tcPr>
            <w:tcW w:w="1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320" w:type="dxa"/>
            <w:vAlign w:val="bottom"/>
            <w:gridSpan w:val="3"/>
            <w:shd w:val="clear" w:color="auto" w:fill="CCEEFF"/>
          </w:tcPr>
          <w:p>
            <w:pPr>
              <w:ind w:left="240"/>
              <w:spacing w:after="0" w:line="177" w:lineRule="exact"/>
              <w:rPr>
                <w:sz w:val="20"/>
                <w:szCs w:val="20"/>
                <w:color w:val="auto"/>
              </w:rPr>
            </w:pPr>
            <w:r>
              <w:rPr>
                <w:rFonts w:ascii="Arial" w:cs="Arial" w:eastAsia="Arial" w:hAnsi="Arial"/>
                <w:sz w:val="17"/>
                <w:szCs w:val="17"/>
                <w:color w:val="auto"/>
              </w:rPr>
              <w:t>Preferred stock, $0.0001 par value per share; no shares authorized, issued or</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outstanding, actual;</w:t>
            </w:r>
          </w:p>
        </w:tc>
        <w:tc>
          <w:tcPr>
            <w:tcW w:w="5300" w:type="dxa"/>
            <w:vAlign w:val="bottom"/>
            <w:gridSpan w:val="4"/>
            <w:shd w:val="clear" w:color="auto" w:fill="CCEEFF"/>
          </w:tcPr>
          <w:p>
            <w:pPr>
              <w:jc w:val="right"/>
              <w:ind w:right="1130"/>
              <w:spacing w:after="0" w:line="183" w:lineRule="exact"/>
              <w:rPr>
                <w:sz w:val="20"/>
                <w:szCs w:val="20"/>
                <w:color w:val="auto"/>
              </w:rPr>
            </w:pPr>
            <w:r>
              <w:rPr>
                <w:rFonts w:ascii="Arial" w:cs="Arial" w:eastAsia="Arial" w:hAnsi="Arial"/>
                <w:sz w:val="17"/>
                <w:szCs w:val="17"/>
                <w:color w:val="auto"/>
                <w:w w:val="97"/>
              </w:rPr>
              <w:t>shares authorized, no shares issued or outstanding, pro</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forma and pro forma as adjusted</w:t>
            </w:r>
          </w:p>
        </w:tc>
        <w:tc>
          <w:tcPr>
            <w:tcW w:w="2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tcPr>
          <w:p>
            <w:pPr>
              <w:spacing w:after="0" w:line="183" w:lineRule="exact"/>
              <w:rPr>
                <w:sz w:val="20"/>
                <w:szCs w:val="20"/>
                <w:color w:val="auto"/>
              </w:rPr>
            </w:pPr>
            <w:r>
              <w:rPr>
                <w:rFonts w:ascii="Arial" w:cs="Arial" w:eastAsia="Arial" w:hAnsi="Arial"/>
                <w:sz w:val="17"/>
                <w:szCs w:val="17"/>
                <w:color w:val="auto"/>
              </w:rPr>
              <w:t>Additional paid-in capital</w:t>
            </w:r>
          </w:p>
        </w:tc>
        <w:tc>
          <w:tcPr>
            <w:tcW w:w="1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Accumulated deficit</w:t>
            </w:r>
          </w:p>
        </w:tc>
        <w:tc>
          <w:tcPr>
            <w:tcW w:w="14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line="189" w:lineRule="exact"/>
              <w:rPr>
                <w:sz w:val="20"/>
                <w:szCs w:val="20"/>
                <w:color w:val="auto"/>
              </w:rPr>
            </w:pPr>
            <w:r>
              <w:rPr>
                <w:rFonts w:ascii="Arial" w:cs="Arial" w:eastAsia="Arial" w:hAnsi="Arial"/>
                <w:sz w:val="17"/>
                <w:szCs w:val="17"/>
                <w:color w:val="auto"/>
                <w:w w:val="97"/>
              </w:rPr>
              <w:t>Total stockholders’ (deficit) equity</w:t>
            </w:r>
          </w:p>
        </w:tc>
        <w:tc>
          <w:tcPr>
            <w:tcW w:w="1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Total capitalization</w:t>
            </w:r>
          </w:p>
        </w:tc>
        <w:tc>
          <w:tcPr>
            <w:tcW w:w="14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890"/>
              <w:spacing w:after="0" w:line="183" w:lineRule="exact"/>
              <w:rPr>
                <w:sz w:val="20"/>
                <w:szCs w:val="20"/>
                <w:color w:val="auto"/>
              </w:rPr>
            </w:pPr>
            <w:r>
              <w:rPr>
                <w:rFonts w:ascii="Arial" w:cs="Arial" w:eastAsia="Arial" w:hAnsi="Arial"/>
                <w:sz w:val="17"/>
                <w:szCs w:val="17"/>
                <w:color w:val="auto"/>
              </w:rPr>
              <w:t>$</w:t>
            </w:r>
          </w:p>
        </w:tc>
        <w:tc>
          <w:tcPr>
            <w:tcW w:w="1700" w:type="dxa"/>
            <w:vAlign w:val="bottom"/>
            <w:gridSpan w:val="3"/>
            <w:shd w:val="clear" w:color="auto" w:fill="CCEEFF"/>
          </w:tcPr>
          <w:p>
            <w:pPr>
              <w:jc w:val="right"/>
              <w:ind w:right="1150"/>
              <w:spacing w:after="0" w:line="183"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154"/>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tcPr>
          <w:p>
            <w:pPr>
              <w:jc w:val="right"/>
              <w:ind w:right="519"/>
              <w:spacing w:after="0"/>
              <w:rPr>
                <w:sz w:val="20"/>
                <w:szCs w:val="20"/>
                <w:color w:val="auto"/>
              </w:rPr>
            </w:pPr>
            <w:r>
              <w:rPr>
                <w:rFonts w:ascii="Arial" w:cs="Arial" w:eastAsia="Arial" w:hAnsi="Arial"/>
                <w:sz w:val="16"/>
                <w:szCs w:val="16"/>
                <w:color w:val="auto"/>
              </w:rPr>
              <w:t>67</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type w:val="continuous"/>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4" w:lineRule="exact"/>
        <w:rPr>
          <w:sz w:val="20"/>
          <w:szCs w:val="20"/>
          <w:color w:val="auto"/>
        </w:rPr>
      </w:pPr>
    </w:p>
    <w:p>
      <w:pPr>
        <w:ind w:left="440" w:hanging="292"/>
        <w:spacing w:after="0"/>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information set forth above is illustrative only and will change based on the actual initial public offering price and other terms of this offering</w:t>
      </w:r>
    </w:p>
    <w:p>
      <w:pPr>
        <w:ind w:left="440" w:right="120"/>
        <w:spacing w:after="0" w:line="251" w:lineRule="auto"/>
        <w:rPr>
          <w:sz w:val="20"/>
          <w:szCs w:val="20"/>
          <w:color w:val="auto"/>
        </w:rPr>
      </w:pPr>
      <w:r>
        <w:rPr>
          <w:rFonts w:ascii="Arial" w:cs="Arial" w:eastAsia="Arial" w:hAnsi="Arial"/>
          <w:sz w:val="13"/>
          <w:szCs w:val="13"/>
          <w:color w:val="auto"/>
        </w:rPr>
        <w:t>determined at pricing. Each $1.00 increase or decrease in the assumed initial public offering price of $ per share, which is the midpoint of the price range set forth on the cover page of this prospectus, would increase or decrease pro forma as adjusted cash and cash equivalents, additional paid-in capital, total stockholders’ (deficit) equity and</w:t>
      </w:r>
    </w:p>
    <w:p>
      <w:pPr>
        <w:spacing w:after="0" w:line="1" w:lineRule="exact"/>
        <w:rPr>
          <w:sz w:val="20"/>
          <w:szCs w:val="20"/>
          <w:color w:val="auto"/>
        </w:rPr>
      </w:pPr>
    </w:p>
    <w:p>
      <w:pPr>
        <w:ind w:left="440"/>
        <w:spacing w:after="0" w:line="251" w:lineRule="auto"/>
        <w:rPr>
          <w:sz w:val="20"/>
          <w:szCs w:val="20"/>
          <w:color w:val="auto"/>
        </w:rPr>
      </w:pPr>
      <w:r>
        <w:rPr>
          <w:rFonts w:ascii="Arial" w:cs="Arial" w:eastAsia="Arial" w:hAnsi="Arial"/>
          <w:sz w:val="13"/>
          <w:szCs w:val="13"/>
          <w:color w:val="auto"/>
        </w:rPr>
        <w:t>total capitalization by approximately $ million, assuming that the number of shares offered by us, as set forth on the cover page of this prospectus, remains the same, and after deducting estimated underwriting discounts and commissions payable by us. We may also increase or decrease the number of shares we are offering. Each 1,000,000 share increase or decrease in the number of shares offered by us would increase or decrease pro forma as adjusted cash and cash equivalents, additional paid-in capital, total</w:t>
      </w:r>
    </w:p>
    <w:p>
      <w:pPr>
        <w:spacing w:after="0" w:line="1" w:lineRule="exact"/>
        <w:rPr>
          <w:sz w:val="20"/>
          <w:szCs w:val="20"/>
          <w:color w:val="auto"/>
        </w:rPr>
      </w:pPr>
    </w:p>
    <w:p>
      <w:pPr>
        <w:ind w:left="440" w:right="560"/>
        <w:spacing w:after="0" w:line="243" w:lineRule="auto"/>
        <w:rPr>
          <w:sz w:val="20"/>
          <w:szCs w:val="20"/>
          <w:color w:val="auto"/>
        </w:rPr>
      </w:pPr>
      <w:r>
        <w:rPr>
          <w:rFonts w:ascii="Arial" w:cs="Arial" w:eastAsia="Arial" w:hAnsi="Arial"/>
          <w:sz w:val="14"/>
          <w:szCs w:val="14"/>
          <w:color w:val="auto"/>
        </w:rPr>
        <w:t>stockholders’ (deficit) equity and total capitalization by approximately $ million, assuming that the assumed initial public offering price remains the same, and after deducting estimated underwriting discounts and commissions payable by us.</w:t>
      </w:r>
    </w:p>
    <w:p>
      <w:pPr>
        <w:spacing w:after="0" w:line="133"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The number of shares of our common stock shown as issued and outstanding in the table above is based on 19,575,235 shares of our common stock (which includes 75,000 shares of restricted common stock subject to repurchase) outstanding as of December 31, 2019 and excludes:</w:t>
      </w:r>
    </w:p>
    <w:p>
      <w:pPr>
        <w:spacing w:after="0" w:line="182" w:lineRule="exact"/>
        <w:rPr>
          <w:sz w:val="20"/>
          <w:szCs w:val="20"/>
          <w:color w:val="auto"/>
        </w:rPr>
      </w:pPr>
    </w:p>
    <w:p>
      <w:pPr>
        <w:ind w:left="880" w:right="160" w:hanging="432"/>
        <w:spacing w:after="0" w:line="233" w:lineRule="auto"/>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2,526,538 shares of our common stock issuable upon the exercise of options outstanding as of December 31, 2019, at a weighted-average exercise price of $0.16 per share;</w:t>
      </w:r>
    </w:p>
    <w:p>
      <w:pPr>
        <w:spacing w:after="0" w:line="25" w:lineRule="exact"/>
        <w:rPr>
          <w:rFonts w:ascii="MS PGothic" w:cs="MS PGothic" w:eastAsia="MS PGothic" w:hAnsi="MS PGothic"/>
          <w:sz w:val="12"/>
          <w:szCs w:val="12"/>
          <w:color w:val="auto"/>
        </w:rPr>
      </w:pPr>
    </w:p>
    <w:p>
      <w:pPr>
        <w:ind w:left="880" w:right="300" w:hanging="432"/>
        <w:spacing w:after="0" w:line="233" w:lineRule="auto"/>
        <w:tabs>
          <w:tab w:leader="none" w:pos="88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138,806 shares of our common stock reserved for future issuance under our 2017 Stock Incentive Plan, as amended, or 2017 Plan, as of December 31, 2019;</w:t>
      </w:r>
    </w:p>
    <w:p>
      <w:pPr>
        <w:spacing w:after="0" w:line="25" w:lineRule="exact"/>
        <w:rPr>
          <w:rFonts w:ascii="MS PGothic" w:cs="MS PGothic" w:eastAsia="MS PGothic" w:hAnsi="MS PGothic"/>
          <w:sz w:val="12"/>
          <w:szCs w:val="12"/>
          <w:color w:val="auto"/>
        </w:rPr>
      </w:pPr>
    </w:p>
    <w:p>
      <w:pPr>
        <w:ind w:left="880" w:right="100" w:hanging="432"/>
        <w:spacing w:after="0" w:line="228" w:lineRule="auto"/>
        <w:tabs>
          <w:tab w:leader="none" w:pos="166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shares of our common stock reserved for future issuance pursuant to our 2020 Equity Incentive Plan, or 2020 Plan, which will become effective upon the execution of the underwriting agreement related to this offering, as well as any shares underlying options outstanding under the 2017 Plan that expire or otherwise terminate prior to exercise after the effective date of the 2020 Plan and any shares reserved pursuant to provisions in our 2020 Plan that automatically increase the number of shares of common stock reserved for issuance under the 2020 Plan; and</w:t>
      </w:r>
    </w:p>
    <w:p>
      <w:pPr>
        <w:spacing w:after="0" w:line="24" w:lineRule="exact"/>
        <w:rPr>
          <w:rFonts w:ascii="MS PGothic" w:cs="MS PGothic" w:eastAsia="MS PGothic" w:hAnsi="MS PGothic"/>
          <w:sz w:val="12"/>
          <w:szCs w:val="12"/>
          <w:color w:val="auto"/>
        </w:rPr>
      </w:pPr>
    </w:p>
    <w:p>
      <w:pPr>
        <w:ind w:left="880" w:right="340" w:hanging="432"/>
        <w:spacing w:after="0" w:line="271" w:lineRule="auto"/>
        <w:tabs>
          <w:tab w:leader="none" w:pos="1660" w:val="left"/>
        </w:tabs>
        <w:numPr>
          <w:ilvl w:val="0"/>
          <w:numId w:val="58"/>
        </w:numPr>
        <w:rPr>
          <w:rFonts w:ascii="MS PGothic" w:cs="MS PGothic" w:eastAsia="MS PGothic" w:hAnsi="MS PGothic"/>
          <w:sz w:val="11"/>
          <w:szCs w:val="11"/>
          <w:color w:val="auto"/>
        </w:rPr>
      </w:pPr>
      <w:r>
        <w:rPr>
          <w:rFonts w:ascii="Arial" w:cs="Arial" w:eastAsia="Arial" w:hAnsi="Arial"/>
          <w:sz w:val="15"/>
          <w:szCs w:val="15"/>
          <w:color w:val="auto"/>
        </w:rPr>
        <w:t>shares of our common stock reserved for future issuance under our 2020 Employee Stock Purchase Plan, or ESPP, which will become effective upon the execution of the underwriting agreement related to this offering, as well as any shares reserved pursuant to provisions in the ESPP that automatically increase the number of shares of common stock reserved for issuance under the ESPP.</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80"/>
          </w:cols>
          <w:pgMar w:left="320" w:top="448" w:right="3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330"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color w:val="auto"/>
        </w:rPr>
        <w:t>If you invest in our common stock, your interest will be diluted to the extent of the difference between the initial public offering price per share of our common stock and the pro forma as adjusted net tangible book value per share of our common stock immediately after the closing of this offering.</w:t>
      </w:r>
    </w:p>
    <w:p>
      <w:pPr>
        <w:spacing w:after="0" w:line="107"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Our historical net tangible book value as of December 31, 2019 was $ million, or $ per share of common stock. Our historical net tangible book value is the amount of our total tangible assets less our liabilities and preferred stock, which is not included within stockholders’ deficit. Historical net tangible book value per share is our historical net tangible book value divided by the number of shares of common stock outstanding as of December 31, 2019.</w:t>
      </w:r>
    </w:p>
    <w:p>
      <w:pPr>
        <w:spacing w:after="0" w:line="145"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Our pro forma net tangible book value as of December 31, 2019 was $ million, or $ per share of common stock. Pro forma net tangible book value per share is our pro forma net tangible book value divided by the total number of shares of common stock (which includes shares of restricted common stock subject to repurchase) outstanding as of December 31, 2019, after giving effect to the automatic conversion of all of our outstanding shares of convertible preferred stock into an aggregate of 14,227,004 shares of our common stock upon the closing of this offering.</w:t>
      </w:r>
    </w:p>
    <w:p>
      <w:pPr>
        <w:spacing w:after="0" w:line="145" w:lineRule="exact"/>
        <w:rPr>
          <w:sz w:val="20"/>
          <w:szCs w:val="20"/>
          <w:color w:val="auto"/>
        </w:rPr>
      </w:pPr>
    </w:p>
    <w:p>
      <w:pPr>
        <w:ind w:right="260"/>
        <w:spacing w:after="0" w:line="224" w:lineRule="auto"/>
        <w:rPr>
          <w:sz w:val="20"/>
          <w:szCs w:val="20"/>
          <w:color w:val="auto"/>
        </w:rPr>
      </w:pPr>
      <w:r>
        <w:rPr>
          <w:rFonts w:ascii="Arial" w:cs="Arial" w:eastAsia="Arial" w:hAnsi="Arial"/>
          <w:sz w:val="17"/>
          <w:szCs w:val="17"/>
          <w:color w:val="auto"/>
        </w:rPr>
        <w:t>Our pro forma as adjusted net tangible book value is our pro forma net tangible book value, after giving further effect to the sale of shares of common stock in this offering at an assumed initial public offering price of $ per share, which is the midpoint of the price range set forth on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cover page of this prospectus, after deducting estimated underwriting discounts and commissions and estimated offering expenses payable by us. Our</w:t>
      </w:r>
    </w:p>
    <w:p>
      <w:pPr>
        <w:spacing w:after="0" w:line="355" w:lineRule="exact"/>
        <w:rPr>
          <w:sz w:val="20"/>
          <w:szCs w:val="20"/>
          <w:color w:val="auto"/>
        </w:rPr>
      </w:pPr>
    </w:p>
    <w:p>
      <w:pPr>
        <w:ind w:right="180"/>
        <w:spacing w:after="0" w:line="224" w:lineRule="auto"/>
        <w:rPr>
          <w:sz w:val="20"/>
          <w:szCs w:val="20"/>
          <w:color w:val="auto"/>
        </w:rPr>
      </w:pPr>
      <w:r>
        <w:rPr>
          <w:rFonts w:ascii="Arial" w:cs="Arial" w:eastAsia="Arial" w:hAnsi="Arial"/>
          <w:sz w:val="17"/>
          <w:szCs w:val="17"/>
          <w:color w:val="auto"/>
        </w:rPr>
        <w:t>pro forma as adjusted net tangible book value as of December 31, 2019 was $ million, or $ per share of common stock. This amount represents an immediate increase in pro forma as adjusted net tangible book value of $ per share to our existing stockholders and an immediate dilution of $ per share to new investors participating in this offering. We determine dilution per share to new investors by subtracting pro forma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adjusted net tangible book value per share after this offering from the assumed initial public offering price per share paid by new investors.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80" w:type="dxa"/>
            <w:vAlign w:val="bottom"/>
            <w:gridSpan w:val="4"/>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9100" w:type="dxa"/>
            <w:vAlign w:val="bottom"/>
          </w:tcPr>
          <w:p>
            <w:pPr>
              <w:ind w:left="220"/>
              <w:spacing w:after="0" w:line="183" w:lineRule="exact"/>
              <w:rPr>
                <w:sz w:val="20"/>
                <w:szCs w:val="20"/>
                <w:color w:val="auto"/>
              </w:rPr>
            </w:pPr>
            <w:r>
              <w:rPr>
                <w:rFonts w:ascii="Arial" w:cs="Arial" w:eastAsia="Arial" w:hAnsi="Arial"/>
                <w:sz w:val="17"/>
                <w:szCs w:val="17"/>
                <w:color w:val="auto"/>
              </w:rPr>
              <w:t>Historical net tangible book value per share as of December 31, 2019</w:t>
            </w:r>
          </w:p>
        </w:tc>
        <w:tc>
          <w:tcPr>
            <w:tcW w:w="1100" w:type="dxa"/>
            <w:vAlign w:val="bottom"/>
            <w:gridSpan w:val="2"/>
          </w:tcPr>
          <w:p>
            <w:pPr>
              <w:jc w:val="right"/>
              <w:ind w:right="620"/>
              <w:spacing w:after="0" w:line="183"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910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Increase per share attributable to the pro forma adjustments described above</w:t>
            </w:r>
          </w:p>
        </w:tc>
        <w:tc>
          <w:tcPr>
            <w:tcW w:w="3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100" w:type="dxa"/>
            <w:vAlign w:val="bottom"/>
          </w:tcPr>
          <w:p>
            <w:pPr>
              <w:ind w:left="220"/>
              <w:spacing w:after="0" w:line="189" w:lineRule="exact"/>
              <w:rPr>
                <w:sz w:val="20"/>
                <w:szCs w:val="20"/>
                <w:color w:val="auto"/>
              </w:rPr>
            </w:pPr>
            <w:r>
              <w:rPr>
                <w:rFonts w:ascii="Arial" w:cs="Arial" w:eastAsia="Arial" w:hAnsi="Arial"/>
                <w:sz w:val="17"/>
                <w:szCs w:val="17"/>
                <w:color w:val="auto"/>
              </w:rPr>
              <w:t>Pro forma net tangible book value per share as of December 31, 2019</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9100" w:type="dxa"/>
            <w:vAlign w:val="bottom"/>
            <w:shd w:val="clear" w:color="auto" w:fill="CCEEFF"/>
          </w:tcPr>
          <w:p>
            <w:pPr>
              <w:ind w:left="220"/>
              <w:spacing w:after="0" w:line="177" w:lineRule="exact"/>
              <w:rPr>
                <w:sz w:val="20"/>
                <w:szCs w:val="20"/>
                <w:color w:val="auto"/>
              </w:rPr>
            </w:pPr>
            <w:r>
              <w:rPr>
                <w:rFonts w:ascii="Arial" w:cs="Arial" w:eastAsia="Arial" w:hAnsi="Arial"/>
                <w:sz w:val="17"/>
                <w:szCs w:val="17"/>
                <w:color w:val="auto"/>
              </w:rPr>
              <w:t>Increase in pro forma net tangible book value per share attributed to new investors purchasing shares from us in this</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10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offering</w:t>
            </w:r>
          </w:p>
        </w:tc>
        <w:tc>
          <w:tcPr>
            <w:tcW w:w="3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5"/>
        </w:trPr>
        <w:tc>
          <w:tcPr>
            <w:tcW w:w="9120" w:type="dxa"/>
            <w:vAlign w:val="bottom"/>
            <w:gridSpan w:val="2"/>
          </w:tcPr>
          <w:p>
            <w:pPr>
              <w:spacing w:after="0" w:line="189" w:lineRule="exact"/>
              <w:rPr>
                <w:sz w:val="20"/>
                <w:szCs w:val="20"/>
                <w:color w:val="auto"/>
              </w:rPr>
            </w:pPr>
            <w:r>
              <w:rPr>
                <w:rFonts w:ascii="Arial" w:cs="Arial" w:eastAsia="Arial" w:hAnsi="Arial"/>
                <w:sz w:val="17"/>
                <w:szCs w:val="17"/>
                <w:color w:val="auto"/>
              </w:rPr>
              <w:t>Pro forma as adjusted net tangible book value per share after giving effect to this offering</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9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Dilution per share to new investors participating in this offering</w:t>
            </w:r>
          </w:p>
        </w:tc>
        <w:tc>
          <w:tcPr>
            <w:tcW w:w="2080" w:type="dxa"/>
            <w:vAlign w:val="bottom"/>
            <w:gridSpan w:val="4"/>
            <w:shd w:val="clear" w:color="auto" w:fill="CCEEFF"/>
          </w:tcPr>
          <w:p>
            <w:pPr>
              <w:jc w:val="right"/>
              <w:ind w:right="620"/>
              <w:spacing w:after="0" w:line="183"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dilution information discussed above is illustrative only and will change based on the actual initial public offering price and other terms of this offering</w:t>
      </w:r>
    </w:p>
    <w:p>
      <w:pPr>
        <w:spacing w:after="0"/>
        <w:tabs>
          <w:tab w:leader="none" w:pos="7980" w:val="left"/>
        </w:tabs>
        <w:rPr>
          <w:sz w:val="20"/>
          <w:szCs w:val="20"/>
          <w:color w:val="auto"/>
        </w:rPr>
      </w:pPr>
      <w:r>
        <w:rPr>
          <w:rFonts w:ascii="Arial" w:cs="Arial" w:eastAsia="Arial" w:hAnsi="Arial"/>
          <w:sz w:val="17"/>
          <w:szCs w:val="17"/>
          <w:color w:val="auto"/>
        </w:rPr>
        <w:t>determined at pricing. Each $1.00 increase or decrease in the assumed initial public offering price of $</w:t>
      </w:r>
      <w:r>
        <w:rPr>
          <w:sz w:val="20"/>
          <w:szCs w:val="20"/>
          <w:color w:val="auto"/>
        </w:rPr>
        <w:tab/>
      </w:r>
      <w:r>
        <w:rPr>
          <w:rFonts w:ascii="Arial" w:cs="Arial" w:eastAsia="Arial" w:hAnsi="Arial"/>
          <w:sz w:val="15"/>
          <w:szCs w:val="15"/>
          <w:color w:val="auto"/>
        </w:rPr>
        <w:t>per share, which is the midpoint of the price</w:t>
      </w:r>
    </w:p>
    <w:p>
      <w:pPr>
        <w:spacing w:after="0" w:line="225" w:lineRule="auto"/>
        <w:rPr>
          <w:sz w:val="20"/>
          <w:szCs w:val="20"/>
          <w:color w:val="auto"/>
        </w:rPr>
      </w:pPr>
      <w:r>
        <w:rPr>
          <w:rFonts w:ascii="Arial" w:cs="Arial" w:eastAsia="Arial" w:hAnsi="Arial"/>
          <w:sz w:val="17"/>
          <w:szCs w:val="17"/>
          <w:color w:val="auto"/>
        </w:rPr>
        <w:t>range set forth on the cover page of this prospectus, would increase or decrease the pro forma as adjusted net tangible book value per share by</w:t>
      </w:r>
    </w:p>
    <w:p>
      <w:pPr>
        <w:spacing w:after="0"/>
        <w:tabs>
          <w:tab w:leader="none" w:pos="620" w:val="left"/>
          <w:tab w:leader="none" w:pos="7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and the dilution per share to investors participating in this offering by $</w:t>
      </w:r>
      <w:r>
        <w:rPr>
          <w:sz w:val="20"/>
          <w:szCs w:val="20"/>
          <w:color w:val="auto"/>
        </w:rPr>
        <w:tab/>
      </w:r>
      <w:r>
        <w:rPr>
          <w:rFonts w:ascii="Arial" w:cs="Arial" w:eastAsia="Arial" w:hAnsi="Arial"/>
          <w:sz w:val="15"/>
          <w:szCs w:val="15"/>
          <w:color w:val="auto"/>
        </w:rPr>
        <w:t>per share, assuming that the number of shares offered</w:t>
      </w:r>
    </w:p>
    <w:p>
      <w:pPr>
        <w:spacing w:after="0" w:line="1"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color w:val="auto"/>
        </w:rPr>
        <w:t>by us, as set forth on the cover page of this prospectus, remains the same and after deducting estimated underwriting discounts and commissions payable by us. We may also increase or decrease the number of shares we are offering. Each 1,000,000 share increase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40"/>
        <w:spacing w:after="0" w:line="233" w:lineRule="auto"/>
        <w:rPr>
          <w:sz w:val="20"/>
          <w:szCs w:val="20"/>
          <w:color w:val="auto"/>
        </w:rPr>
      </w:pPr>
      <w:r>
        <w:rPr>
          <w:rFonts w:ascii="Arial" w:cs="Arial" w:eastAsia="Arial" w:hAnsi="Arial"/>
          <w:sz w:val="17"/>
          <w:szCs w:val="17"/>
          <w:color w:val="auto"/>
        </w:rPr>
        <w:t>by us, as set forth on the cover page of this prospectus, would increase the pro forma as adjusted net tangible book value per share by $ and decrease the dilution per share to investors participating in this offering by $ ,</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448"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assuming the assumed initial public offering price of $ per share, which is the midpoint of the price range set forth on the cover page of this prospectus, remains the same and after deducting estimated underwriting discounts and commissions payable by us. Each 1,000,000 share decrease in the number of shares offered by us, as set forth on the cover page of this prospectus, would decrease the pro forma as adjusted net tangible book value</w:t>
      </w:r>
    </w:p>
    <w:p>
      <w:pPr>
        <w:spacing w:after="0"/>
        <w:tabs>
          <w:tab w:leader="none" w:pos="2860" w:val="left"/>
          <w:tab w:leader="none" w:pos="9560" w:val="left"/>
        </w:tabs>
        <w:rPr>
          <w:sz w:val="20"/>
          <w:szCs w:val="20"/>
          <w:color w:val="auto"/>
        </w:rPr>
      </w:pPr>
      <w:r>
        <w:rPr>
          <w:rFonts w:ascii="Arial" w:cs="Arial" w:eastAsia="Arial" w:hAnsi="Arial"/>
          <w:sz w:val="17"/>
          <w:szCs w:val="17"/>
          <w:color w:val="auto"/>
        </w:rPr>
        <w:t>per share after this offering by $</w:t>
      </w:r>
      <w:r>
        <w:rPr>
          <w:sz w:val="20"/>
          <w:szCs w:val="20"/>
          <w:color w:val="auto"/>
        </w:rPr>
        <w:tab/>
      </w:r>
      <w:r>
        <w:rPr>
          <w:rFonts w:ascii="Arial" w:cs="Arial" w:eastAsia="Arial" w:hAnsi="Arial"/>
          <w:sz w:val="17"/>
          <w:szCs w:val="17"/>
          <w:color w:val="auto"/>
        </w:rPr>
        <w:t>and increase the dilution per share to new investors participating in this offering by $</w:t>
      </w:r>
      <w:r>
        <w:rPr>
          <w:sz w:val="20"/>
          <w:szCs w:val="20"/>
          <w:color w:val="auto"/>
        </w:rPr>
        <w:tab/>
      </w:r>
      <w:r>
        <w:rPr>
          <w:rFonts w:ascii="Arial" w:cs="Arial" w:eastAsia="Arial" w:hAnsi="Arial"/>
          <w:sz w:val="15"/>
          <w:szCs w:val="15"/>
          <w:color w:val="auto"/>
        </w:rPr>
        <w:t>, assuming the</w:t>
      </w:r>
    </w:p>
    <w:p>
      <w:pPr>
        <w:ind w:right="100"/>
        <w:spacing w:after="0" w:line="233" w:lineRule="auto"/>
        <w:rPr>
          <w:sz w:val="20"/>
          <w:szCs w:val="20"/>
          <w:color w:val="auto"/>
        </w:rPr>
      </w:pPr>
      <w:r>
        <w:rPr>
          <w:rFonts w:ascii="Arial" w:cs="Arial" w:eastAsia="Arial" w:hAnsi="Arial"/>
          <w:sz w:val="17"/>
          <w:szCs w:val="17"/>
          <w:color w:val="auto"/>
        </w:rPr>
        <w:t>assumed initial public offering price of $ per share, which is the midpoint of the price range set forth on the cover page of this prospectus, remains the same and after deducting estimated underwriting discounts and commissions payable by us.</w:t>
      </w:r>
    </w:p>
    <w:p>
      <w:pPr>
        <w:spacing w:after="0" w:line="143"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If the underwriters exercise in full their option to purchase an additional shares of our common stock in this offering, the pro forma as adjusted net tangible book value would increase to $ per share, representing an immediate increase to existing stockholders of $ per share and the dilution per share to new investors participating in this offering would be $ per share, assuming the assumed initial public offering price of</w:t>
      </w:r>
    </w:p>
    <w:p>
      <w:pPr>
        <w:spacing w:after="0" w:line="1" w:lineRule="exact"/>
        <w:rPr>
          <w:sz w:val="20"/>
          <w:szCs w:val="20"/>
          <w:color w:val="auto"/>
        </w:rPr>
      </w:pPr>
    </w:p>
    <w:p>
      <w:pPr>
        <w:ind w:right="720" w:firstLine="4"/>
        <w:spacing w:after="0" w:line="233" w:lineRule="auto"/>
        <w:tabs>
          <w:tab w:leader="none" w:pos="6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remains the same and after deducting estimated underwriting discounts and commissions payable by us.</w:t>
      </w:r>
    </w:p>
    <w:p>
      <w:pPr>
        <w:spacing w:after="0" w:line="143" w:lineRule="exact"/>
        <w:rPr>
          <w:sz w:val="20"/>
          <w:szCs w:val="20"/>
          <w:color w:val="auto"/>
        </w:rPr>
      </w:pPr>
    </w:p>
    <w:p>
      <w:pPr>
        <w:ind w:right="260"/>
        <w:spacing w:after="0" w:line="254" w:lineRule="auto"/>
        <w:rPr>
          <w:sz w:val="20"/>
          <w:szCs w:val="20"/>
          <w:color w:val="auto"/>
        </w:rPr>
      </w:pPr>
      <w:r>
        <w:rPr>
          <w:rFonts w:ascii="Arial" w:cs="Arial" w:eastAsia="Arial" w:hAnsi="Arial"/>
          <w:sz w:val="15"/>
          <w:szCs w:val="15"/>
          <w:color w:val="auto"/>
        </w:rPr>
        <w:t>The following table summarizes as of December 31, 2019, on the pro forma as adjusted basis described above, the number of shares of our common stock, the total consideration and the average price per share (1) paid to us by our existing stockholders and (2) to be paid by investors purchasing our</w:t>
      </w:r>
    </w:p>
    <w:p>
      <w:pPr>
        <w:jc w:val="both"/>
        <w:ind w:right="400"/>
        <w:spacing w:after="0" w:line="289" w:lineRule="auto"/>
        <w:rPr>
          <w:sz w:val="20"/>
          <w:szCs w:val="20"/>
          <w:color w:val="auto"/>
        </w:rPr>
      </w:pPr>
      <w:r>
        <w:rPr>
          <w:rFonts w:ascii="Arial" w:cs="Arial" w:eastAsia="Arial" w:hAnsi="Arial"/>
          <w:sz w:val="15"/>
          <w:szCs w:val="15"/>
          <w:color w:val="auto"/>
        </w:rPr>
        <w:t>common stock in this offering at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136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4"/>
            <w:vMerge w:val="restart"/>
          </w:tcPr>
          <w:p>
            <w:pPr>
              <w:jc w:val="right"/>
              <w:ind w:right="657"/>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WEIGHTED-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7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2"/>
            <w:vMerge w:val="restart"/>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AVERAGE PRICE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560" w:type="dxa"/>
            <w:vAlign w:val="bottom"/>
            <w:gridSpan w:val="3"/>
          </w:tcPr>
          <w:p>
            <w:pPr>
              <w:jc w:val="right"/>
              <w:ind w:right="517"/>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8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Existing stockholders</w:t>
            </w:r>
          </w:p>
        </w:tc>
        <w:tc>
          <w:tcPr>
            <w:tcW w:w="1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jc w:val="right"/>
              <w:ind w:right="57"/>
              <w:spacing w:after="0" w:line="176" w:lineRule="exact"/>
              <w:rPr>
                <w:sz w:val="20"/>
                <w:szCs w:val="20"/>
                <w:color w:val="auto"/>
              </w:rPr>
            </w:pPr>
            <w:r>
              <w:rPr>
                <w:rFonts w:ascii="Arial" w:cs="Arial" w:eastAsia="Arial" w:hAnsi="Arial"/>
                <w:sz w:val="17"/>
                <w:szCs w:val="17"/>
                <w:color w:val="auto"/>
                <w:w w:val="92"/>
              </w:rPr>
              <w:t>%</w:t>
            </w:r>
          </w:p>
        </w:tc>
        <w:tc>
          <w:tcPr>
            <w:tcW w:w="220" w:type="dxa"/>
            <w:vAlign w:val="bottom"/>
            <w:tcBorders>
              <w:top w:val="single" w:sz="8" w:color="auto"/>
            </w:tcBorders>
            <w:shd w:val="clear" w:color="auto" w:fill="CCEEFF"/>
          </w:tcPr>
          <w:p>
            <w:pPr>
              <w:jc w:val="right"/>
              <w:ind w:right="37"/>
              <w:spacing w:after="0" w:line="176" w:lineRule="exact"/>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79"/>
              </w:rPr>
              <w:t>%</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1105"/>
              <w:spacing w:after="0" w:line="176"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line="183" w:lineRule="exact"/>
              <w:rPr>
                <w:sz w:val="20"/>
                <w:szCs w:val="20"/>
                <w:color w:val="auto"/>
              </w:rPr>
            </w:pPr>
            <w:r>
              <w:rPr>
                <w:rFonts w:ascii="Arial" w:cs="Arial" w:eastAsia="Arial" w:hAnsi="Arial"/>
                <w:sz w:val="17"/>
                <w:szCs w:val="17"/>
                <w:color w:val="auto"/>
              </w:rPr>
              <w:t>New investors</w:t>
            </w:r>
          </w:p>
        </w:tc>
        <w:tc>
          <w:tcPr>
            <w:tcW w:w="1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57"/>
              <w:spacing w:after="0" w:line="183" w:lineRule="exact"/>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jc w:val="right"/>
              <w:ind w:right="37"/>
              <w:spacing w:after="0" w:line="183"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1360" w:type="dxa"/>
            <w:vAlign w:val="bottom"/>
            <w:gridSpan w:val="2"/>
            <w:shd w:val="clear" w:color="auto" w:fill="CCEEFF"/>
          </w:tcPr>
          <w:p>
            <w:pPr>
              <w:jc w:val="right"/>
              <w:ind w:right="1105"/>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Borders>
              <w:bottom w:val="single" w:sz="8" w:color="auto"/>
            </w:tcBorders>
            <w:gridSpan w:val="4"/>
          </w:tcPr>
          <w:p>
            <w:pPr>
              <w:spacing w:after="0"/>
              <w:rPr>
                <w:sz w:val="17"/>
                <w:szCs w:val="17"/>
                <w:color w:val="auto"/>
              </w:rPr>
            </w:pPr>
          </w:p>
        </w:tc>
        <w:tc>
          <w:tcPr>
            <w:tcW w:w="5140" w:type="dxa"/>
            <w:vAlign w:val="bottom"/>
            <w:tcBorders>
              <w:bottom w:val="single" w:sz="8" w:color="auto"/>
            </w:tcBorders>
            <w:gridSpan w:val="10"/>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6100" w:type="dxa"/>
            <w:vAlign w:val="bottom"/>
            <w:gridSpan w:val="5"/>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5140" w:type="dxa"/>
            <w:vAlign w:val="bottom"/>
            <w:gridSpan w:val="10"/>
          </w:tcPr>
          <w:p>
            <w:pPr>
              <w:ind w:left="260"/>
              <w:spacing w:after="0"/>
              <w:rPr>
                <w:sz w:val="20"/>
                <w:szCs w:val="20"/>
                <w:color w:val="auto"/>
              </w:rPr>
            </w:pPr>
            <w:r>
              <w:rPr>
                <w:rFonts w:ascii="Arial" w:cs="Arial" w:eastAsia="Arial" w:hAnsi="Arial"/>
                <w:sz w:val="17"/>
                <w:szCs w:val="17"/>
                <w:color w:val="auto"/>
                <w:w w:val="98"/>
              </w:rPr>
              <w:t>per share, which is the midpoint of the price range set forth on the</w:t>
            </w:r>
          </w:p>
        </w:tc>
        <w:tc>
          <w:tcPr>
            <w:tcW w:w="0" w:type="dxa"/>
            <w:vAlign w:val="bottom"/>
          </w:tcPr>
          <w:p>
            <w:pPr>
              <w:spacing w:after="0"/>
              <w:rPr>
                <w:sz w:val="1"/>
                <w:szCs w:val="1"/>
                <w:color w:val="auto"/>
              </w:rPr>
            </w:pPr>
          </w:p>
        </w:tc>
      </w:tr>
      <w:tr>
        <w:trPr>
          <w:trHeight w:val="183"/>
        </w:trPr>
        <w:tc>
          <w:tcPr>
            <w:tcW w:w="9820" w:type="dxa"/>
            <w:vAlign w:val="bottom"/>
            <w:gridSpan w:val="12"/>
          </w:tcPr>
          <w:p>
            <w:pPr>
              <w:spacing w:after="0" w:line="183" w:lineRule="exact"/>
              <w:rPr>
                <w:sz w:val="20"/>
                <w:szCs w:val="20"/>
                <w:color w:val="auto"/>
              </w:rPr>
            </w:pPr>
            <w:r>
              <w:rPr>
                <w:rFonts w:ascii="Arial" w:cs="Arial" w:eastAsia="Arial" w:hAnsi="Arial"/>
                <w:sz w:val="17"/>
                <w:szCs w:val="17"/>
                <w:color w:val="auto"/>
                <w:w w:val="97"/>
              </w:rPr>
              <w:t>cover page of this prospectus, would increase or decrease the total consideration paid by investors in this offering by approximately $</w:t>
            </w:r>
          </w:p>
        </w:tc>
        <w:tc>
          <w:tcPr>
            <w:tcW w:w="80" w:type="dxa"/>
            <w:vAlign w:val="bottom"/>
          </w:tcPr>
          <w:p>
            <w:pPr>
              <w:spacing w:after="0"/>
              <w:rPr>
                <w:sz w:val="15"/>
                <w:szCs w:val="15"/>
                <w:color w:val="auto"/>
              </w:rPr>
            </w:pPr>
          </w:p>
        </w:tc>
        <w:tc>
          <w:tcPr>
            <w:tcW w:w="1340" w:type="dxa"/>
            <w:vAlign w:val="bottom"/>
            <w:gridSpan w:val="2"/>
          </w:tcPr>
          <w:p>
            <w:pPr>
              <w:jc w:val="center"/>
              <w:ind w:right="60"/>
              <w:spacing w:after="0" w:line="183" w:lineRule="exact"/>
              <w:rPr>
                <w:sz w:val="20"/>
                <w:szCs w:val="20"/>
                <w:color w:val="auto"/>
              </w:rPr>
            </w:pPr>
            <w:r>
              <w:rPr>
                <w:rFonts w:ascii="Arial" w:cs="Arial" w:eastAsia="Arial" w:hAnsi="Arial"/>
                <w:sz w:val="17"/>
                <w:szCs w:val="17"/>
                <w:color w:val="auto"/>
                <w:w w:val="98"/>
              </w:rPr>
              <w:t>million,</w:t>
            </w:r>
          </w:p>
        </w:tc>
        <w:tc>
          <w:tcPr>
            <w:tcW w:w="0" w:type="dxa"/>
            <w:vAlign w:val="bottom"/>
          </w:tcPr>
          <w:p>
            <w:pPr>
              <w:spacing w:after="0"/>
              <w:rPr>
                <w:sz w:val="1"/>
                <w:szCs w:val="1"/>
                <w:color w:val="auto"/>
              </w:rPr>
            </w:pPr>
          </w:p>
        </w:tc>
      </w:tr>
    </w:tbl>
    <w:p>
      <w:pPr>
        <w:ind w:right="120"/>
        <w:spacing w:after="0" w:line="254" w:lineRule="auto"/>
        <w:rPr>
          <w:sz w:val="20"/>
          <w:szCs w:val="20"/>
          <w:color w:val="auto"/>
        </w:rPr>
      </w:pPr>
      <w:r>
        <w:rPr>
          <w:rFonts w:ascii="Arial" w:cs="Arial" w:eastAsia="Arial" w:hAnsi="Arial"/>
          <w:sz w:val="15"/>
          <w:szCs w:val="15"/>
          <w:color w:val="auto"/>
        </w:rPr>
        <w:t>assuming that the number of shares offered by us, as set forth on the cover page of this prospectus, remains the same and after deducting estimated underwriting discounts and commissions payable by us. We may also increase or decrease the number of shares we are offering. Each 1,000,000 share increase or decrease in the number of shares offered by us, as set forth on the cover page of this prospectus, would increase or decrease the total</w:t>
      </w:r>
    </w:p>
    <w:p>
      <w:pPr>
        <w:spacing w:after="0" w:line="1"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consideration paid by investors in this offering by approximately $ million, assuming the assumed initial public offering price of $ per share, which is the midpoint of the price range set forth on the cover page of this prospectus, remains the same and after deducting estimated underwriting discounts and commissions payable by us.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exercise in full their</w:t>
      </w:r>
    </w:p>
    <w:p>
      <w:pPr>
        <w:spacing w:after="0"/>
        <w:tabs>
          <w:tab w:leader="none" w:pos="2180" w:val="left"/>
        </w:tabs>
        <w:rPr>
          <w:sz w:val="20"/>
          <w:szCs w:val="20"/>
          <w:color w:val="auto"/>
        </w:rPr>
      </w:pPr>
      <w:r>
        <w:rPr>
          <w:rFonts w:ascii="Arial" w:cs="Arial" w:eastAsia="Arial" w:hAnsi="Arial"/>
          <w:sz w:val="17"/>
          <w:szCs w:val="17"/>
          <w:color w:val="auto"/>
        </w:rPr>
        <w:t>option to purchase</w:t>
      </w:r>
      <w:r>
        <w:rPr>
          <w:sz w:val="20"/>
          <w:szCs w:val="20"/>
          <w:color w:val="auto"/>
        </w:rPr>
        <w:tab/>
      </w:r>
      <w:r>
        <w:rPr>
          <w:rFonts w:ascii="Arial" w:cs="Arial" w:eastAsia="Arial" w:hAnsi="Arial"/>
          <w:sz w:val="15"/>
          <w:szCs w:val="15"/>
          <w:color w:val="auto"/>
        </w:rPr>
        <w:t>additional shares from us, the number of shares held by the existing stockholders after this offering would be reduced to</w:t>
      </w:r>
    </w:p>
    <w:p>
      <w:pPr>
        <w:ind w:left="380" w:hanging="192"/>
        <w:spacing w:after="0"/>
        <w:tabs>
          <w:tab w:leader="none" w:pos="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of the total number of shares of our common stock outstanding after this offering, and the number of shares held by new investors would increase to</w:t>
      </w:r>
    </w:p>
    <w:p>
      <w:pPr>
        <w:spacing w:after="0" w:line="10" w:lineRule="exact"/>
        <w:rPr>
          <w:rFonts w:ascii="Arial" w:cs="Arial" w:eastAsia="Arial" w:hAnsi="Arial"/>
          <w:sz w:val="15"/>
          <w:szCs w:val="15"/>
          <w:color w:val="auto"/>
        </w:rPr>
      </w:pPr>
    </w:p>
    <w:p>
      <w:pPr>
        <w:ind w:left="380" w:hanging="192"/>
        <w:spacing w:after="0"/>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of the total number of shares of our common stock outstanding after this offering.</w:t>
      </w:r>
    </w:p>
    <w:p>
      <w:pPr>
        <w:spacing w:after="0" w:line="144" w:lineRule="exact"/>
        <w:rPr>
          <w:sz w:val="20"/>
          <w:szCs w:val="20"/>
          <w:color w:val="auto"/>
        </w:rPr>
      </w:pPr>
    </w:p>
    <w:p>
      <w:pPr>
        <w:ind w:right="660"/>
        <w:spacing w:after="0" w:line="233" w:lineRule="auto"/>
        <w:rPr>
          <w:sz w:val="20"/>
          <w:szCs w:val="20"/>
          <w:color w:val="auto"/>
        </w:rPr>
      </w:pPr>
      <w:r>
        <w:rPr>
          <w:rFonts w:ascii="Arial" w:cs="Arial" w:eastAsia="Arial" w:hAnsi="Arial"/>
          <w:sz w:val="17"/>
          <w:szCs w:val="17"/>
          <w:color w:val="auto"/>
        </w:rPr>
        <w:t>The tables and calculations above are based on 19,575,235 shares of our common stock outstanding (which includes 75,000 shares of restricted common stock subject to repurchase) as of December 31, 2019 and excludes:</w:t>
      </w:r>
    </w:p>
    <w:p>
      <w:pPr>
        <w:spacing w:after="0" w:line="182" w:lineRule="exact"/>
        <w:rPr>
          <w:sz w:val="20"/>
          <w:szCs w:val="20"/>
          <w:color w:val="auto"/>
        </w:rPr>
      </w:pPr>
    </w:p>
    <w:p>
      <w:pPr>
        <w:ind w:left="880" w:right="220" w:hanging="432"/>
        <w:spacing w:after="0" w:line="233" w:lineRule="auto"/>
        <w:tabs>
          <w:tab w:leader="none" w:pos="880" w:val="left"/>
        </w:tabs>
        <w:numPr>
          <w:ilvl w:val="0"/>
          <w:numId w:val="61"/>
        </w:numPr>
        <w:rPr>
          <w:rFonts w:ascii="MS PGothic" w:cs="MS PGothic" w:eastAsia="MS PGothic" w:hAnsi="MS PGothic"/>
          <w:sz w:val="12"/>
          <w:szCs w:val="12"/>
          <w:color w:val="auto"/>
        </w:rPr>
      </w:pPr>
      <w:r>
        <w:rPr>
          <w:rFonts w:ascii="Arial" w:cs="Arial" w:eastAsia="Arial" w:hAnsi="Arial"/>
          <w:sz w:val="17"/>
          <w:szCs w:val="17"/>
          <w:color w:val="auto"/>
        </w:rPr>
        <w:t>2,526,538 shares of our common stock issuable upon the exercise of options outstanding as of December 31, 2019, at a weighted-average exercise price of $0.16 per share;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48"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300" w:hanging="432"/>
        <w:spacing w:after="0" w:line="233" w:lineRule="auto"/>
        <w:tabs>
          <w:tab w:leader="none" w:pos="88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138,806 shares of our common stock reserved for future issuance under our 2017 Stock Incentive Plan, as amended, or 2017 Plan, as of December 31, 2019;</w:t>
      </w:r>
    </w:p>
    <w:p>
      <w:pPr>
        <w:spacing w:after="0" w:line="25" w:lineRule="exact"/>
        <w:rPr>
          <w:rFonts w:ascii="MS PGothic" w:cs="MS PGothic" w:eastAsia="MS PGothic" w:hAnsi="MS PGothic"/>
          <w:sz w:val="12"/>
          <w:szCs w:val="12"/>
          <w:color w:val="auto"/>
        </w:rPr>
      </w:pPr>
    </w:p>
    <w:p>
      <w:pPr>
        <w:ind w:left="880" w:right="100" w:hanging="432"/>
        <w:spacing w:after="0" w:line="228" w:lineRule="auto"/>
        <w:tabs>
          <w:tab w:leader="none" w:pos="166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shares of our common stock reserved for future issuance pursuant to our 2020 Equity Incentive Plan, or 2020 Plan, which will become effective upon the execution of the underwriting agreement related to this offering, as well as any shares underlying options outstanding under the 2017 Plan that expire or otherwise terminate prior to exercise after the effective date of the 2020 Plan and any shares reserved pursuant to provisions in our 2020 Plan that automatically increase the number of shares of common stock reserved for issuance under the 2020 Plan; and</w:t>
      </w:r>
    </w:p>
    <w:p>
      <w:pPr>
        <w:spacing w:after="0" w:line="24" w:lineRule="exact"/>
        <w:rPr>
          <w:rFonts w:ascii="MS PGothic" w:cs="MS PGothic" w:eastAsia="MS PGothic" w:hAnsi="MS PGothic"/>
          <w:sz w:val="12"/>
          <w:szCs w:val="12"/>
          <w:color w:val="auto"/>
        </w:rPr>
      </w:pPr>
    </w:p>
    <w:p>
      <w:pPr>
        <w:ind w:left="880" w:right="340" w:hanging="432"/>
        <w:spacing w:after="0" w:line="271" w:lineRule="auto"/>
        <w:tabs>
          <w:tab w:leader="none" w:pos="1660" w:val="left"/>
        </w:tabs>
        <w:numPr>
          <w:ilvl w:val="0"/>
          <w:numId w:val="62"/>
        </w:numPr>
        <w:rPr>
          <w:rFonts w:ascii="MS PGothic" w:cs="MS PGothic" w:eastAsia="MS PGothic" w:hAnsi="MS PGothic"/>
          <w:sz w:val="11"/>
          <w:szCs w:val="11"/>
          <w:color w:val="auto"/>
        </w:rPr>
      </w:pPr>
      <w:r>
        <w:rPr>
          <w:rFonts w:ascii="Arial" w:cs="Arial" w:eastAsia="Arial" w:hAnsi="Arial"/>
          <w:sz w:val="15"/>
          <w:szCs w:val="15"/>
          <w:color w:val="auto"/>
        </w:rPr>
        <w:t>shares of our common stock reserved for future issuance under our 2020 Employee Stock Purchase Plan, or ESPP, which will become effective upon the execution of the underwriting agreement related to this offering, as well as any shares reserved pursuant to provisions in the ESPP that automatically increase the number of shares of common stock reserved for issuance under the ESPP.</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To the extent that any outstanding options are exercised, or new shares are issued under our equity incentive plans at per share prices below the price to the public in this offering,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80"/>
          </w:cols>
          <w:pgMar w:left="320" w:top="448" w:right="3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330"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The following tables set forth our selected consolidated financial data for the periods ended on and as of the dates indicated. We derived the selected consolidated statements of operations data for the years ended December 31, 2018 and 2019 and the selected consolidated balance sheet data as of December 31, 2018 and 2019 from our audited consolidated financial statements included elsewhere in this prospectus. When the registration statement of which this prospectus forms a part is declared effective, it will include consolidated financial statements as of and for the years ended December 31, 2018 and 2019. Pursuant to the applicable provisions of the Fixing America’s Surface Transportation Act, we are omitting our consolidated financial statements as of and for the year ended December 31, 2017 and nine months ended September 30, 2019 and 2018. While this financial information is otherwise required by Regulation S-X, we reasonably believe that it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 Our historical results are not necessarily indicative of the results to be expected in any future period.</w:t>
      </w:r>
    </w:p>
    <w:p>
      <w:pPr>
        <w:spacing w:after="0" w:line="143"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The selected consolidated financial data below should be read in conjunction with “Management’s Discussion and Analysis of Financial Condition and Results of Operations” and our consolidated financial statements and related notes included elsewhere in this prospectus. The selected consolidated financial data in this section are not intended to replace the consolidated financial statements and are qualified in their entirety by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0"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00"/>
              <w:spacing w:after="0" w:line="150"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rPr>
              <w:t>(in thousands, expect share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per-share data)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Consolidated Statement of Operations Data:</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spacing w:after="0" w:line="183" w:lineRule="exact"/>
              <w:rPr>
                <w:sz w:val="20"/>
                <w:szCs w:val="20"/>
                <w:color w:val="auto"/>
              </w:rPr>
            </w:pPr>
            <w:r>
              <w:rPr>
                <w:rFonts w:ascii="Arial" w:cs="Arial" w:eastAsia="Arial" w:hAnsi="Arial"/>
                <w:sz w:val="17"/>
                <w:szCs w:val="17"/>
                <w:color w:val="auto"/>
              </w:rPr>
              <w:t>Revenue:</w:t>
            </w:r>
          </w:p>
        </w:tc>
        <w:tc>
          <w:tcPr>
            <w:tcW w:w="7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Research collaboration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10,000</w:t>
            </w:r>
          </w:p>
        </w:tc>
        <w:tc>
          <w:tcPr>
            <w:tcW w:w="4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0"/>
              <w:spacing w:after="0" w:line="183"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gridSpan w:val="2"/>
          </w:tcPr>
          <w:p>
            <w:pPr>
              <w:ind w:left="480"/>
              <w:spacing w:after="0" w:line="189" w:lineRule="exact"/>
              <w:rPr>
                <w:sz w:val="20"/>
                <w:szCs w:val="20"/>
                <w:color w:val="auto"/>
              </w:rPr>
            </w:pPr>
            <w:r>
              <w:rPr>
                <w:rFonts w:ascii="Arial" w:cs="Arial" w:eastAsia="Arial" w:hAnsi="Arial"/>
                <w:sz w:val="17"/>
                <w:szCs w:val="17"/>
                <w:color w:val="auto"/>
              </w:rPr>
              <w:t>Total revenue</w:t>
            </w:r>
          </w:p>
        </w:tc>
        <w:tc>
          <w:tcPr>
            <w:tcW w:w="12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10,000</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tcPr>
          <w:p>
            <w:pPr>
              <w:ind w:left="220"/>
              <w:spacing w:after="0" w:line="183"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5"/>
                <w:szCs w:val="15"/>
                <w:color w:val="auto"/>
              </w:rPr>
            </w:pPr>
          </w:p>
        </w:tc>
        <w:tc>
          <w:tcPr>
            <w:tcW w:w="124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(10,111)</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(1,580)</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2"/>
            <w:vMerge w:val="restart"/>
          </w:tcPr>
          <w:p>
            <w:pPr>
              <w:ind w:left="48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(11,691)</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(1,691)</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spacing w:after="0" w:line="189" w:lineRule="exact"/>
              <w:rPr>
                <w:sz w:val="20"/>
                <w:szCs w:val="20"/>
                <w:color w:val="auto"/>
              </w:rPr>
            </w:pPr>
            <w:r>
              <w:rPr>
                <w:rFonts w:ascii="Arial" w:cs="Arial" w:eastAsia="Arial" w:hAnsi="Arial"/>
                <w:sz w:val="17"/>
                <w:szCs w:val="17"/>
                <w:color w:val="auto"/>
                <w:w w:val="97"/>
              </w:rPr>
              <w:t>Other income, net:</w:t>
            </w:r>
          </w:p>
        </w:tc>
        <w:tc>
          <w:tcPr>
            <w:tcW w:w="7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Interest income, net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7"/>
                <w:szCs w:val="17"/>
                <w:color w:val="auto"/>
              </w:rPr>
              <w:t>6</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tcPr>
          <w:p>
            <w:pPr>
              <w:ind w:left="220"/>
              <w:spacing w:after="0" w:line="183" w:lineRule="exact"/>
              <w:rPr>
                <w:sz w:val="20"/>
                <w:szCs w:val="20"/>
                <w:color w:val="auto"/>
              </w:rPr>
            </w:pPr>
            <w:r>
              <w:rPr>
                <w:rFonts w:ascii="Arial" w:cs="Arial" w:eastAsia="Arial" w:hAnsi="Arial"/>
                <w:sz w:val="17"/>
                <w:szCs w:val="17"/>
                <w:color w:val="auto"/>
              </w:rPr>
              <w:t>Research and development incentive income</w:t>
            </w:r>
          </w:p>
        </w:tc>
        <w:tc>
          <w:tcPr>
            <w:tcW w:w="120" w:type="dxa"/>
            <w:vAlign w:val="bottom"/>
          </w:tcPr>
          <w:p>
            <w:pPr>
              <w:spacing w:after="0"/>
              <w:rPr>
                <w:sz w:val="15"/>
                <w:szCs w:val="15"/>
                <w:color w:val="auto"/>
              </w:rPr>
            </w:pPr>
          </w:p>
        </w:tc>
        <w:tc>
          <w:tcPr>
            <w:tcW w:w="124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370</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Other income, net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237</w:t>
            </w:r>
          </w:p>
        </w:tc>
        <w:tc>
          <w:tcPr>
            <w:tcW w:w="4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gridSpan w:val="2"/>
          </w:tcPr>
          <w:p>
            <w:pPr>
              <w:ind w:left="480"/>
              <w:spacing w:after="0" w:line="189" w:lineRule="exact"/>
              <w:rPr>
                <w:sz w:val="20"/>
                <w:szCs w:val="20"/>
                <w:color w:val="auto"/>
              </w:rPr>
            </w:pPr>
            <w:r>
              <w:rPr>
                <w:rFonts w:ascii="Arial" w:cs="Arial" w:eastAsia="Arial" w:hAnsi="Arial"/>
                <w:sz w:val="17"/>
                <w:szCs w:val="17"/>
                <w:color w:val="auto"/>
              </w:rPr>
              <w:t>Total other income, net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613</w:t>
            </w:r>
          </w:p>
        </w:tc>
        <w:tc>
          <w:tcPr>
            <w:tcW w:w="4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(1,078)</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gridSpan w:val="2"/>
          </w:tcPr>
          <w:p>
            <w:pPr>
              <w:ind w:left="220"/>
              <w:spacing w:after="0" w:line="183" w:lineRule="exact"/>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15"/>
                <w:szCs w:val="15"/>
                <w:color w:val="auto"/>
              </w:rPr>
            </w:pPr>
          </w:p>
        </w:tc>
        <w:tc>
          <w:tcPr>
            <w:tcW w:w="124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(257)</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w:t>
            </w:r>
          </w:p>
        </w:tc>
        <w:tc>
          <w:tcPr>
            <w:tcW w:w="7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(1,335)</w:t>
            </w:r>
          </w:p>
        </w:tc>
        <w:tc>
          <w:tcPr>
            <w:tcW w:w="1080" w:type="dxa"/>
            <w:vAlign w:val="bottom"/>
            <w:shd w:val="clear" w:color="auto" w:fill="CCEEFF"/>
          </w:tcPr>
          <w:p>
            <w:pPr>
              <w:jc w:val="right"/>
              <w:ind w:right="900"/>
              <w:spacing w:after="0" w:line="183"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7"/>
                <w:szCs w:val="17"/>
                <w:color w:val="auto"/>
              </w:rPr>
              <w:t>Net loss attributable to common stockholders—basic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60" w:type="dxa"/>
            <w:vAlign w:val="bottom"/>
            <w:gridSpan w:val="3"/>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80"/>
              <w:spacing w:after="0" w:line="175" w:lineRule="exact"/>
              <w:rPr>
                <w:sz w:val="20"/>
                <w:szCs w:val="20"/>
                <w:color w:val="auto"/>
              </w:rPr>
            </w:pPr>
            <w:r>
              <w:rPr>
                <w:rFonts w:ascii="Arial" w:cs="Arial" w:eastAsia="Arial" w:hAnsi="Arial"/>
                <w:sz w:val="17"/>
                <w:szCs w:val="17"/>
                <w:color w:val="auto"/>
              </w:rPr>
              <w:t>(2,346)</w:t>
            </w:r>
          </w:p>
        </w:tc>
        <w:tc>
          <w:tcPr>
            <w:tcW w:w="1080" w:type="dxa"/>
            <w:vAlign w:val="bottom"/>
          </w:tcPr>
          <w:p>
            <w:pPr>
              <w:jc w:val="right"/>
              <w:ind w:right="900"/>
              <w:spacing w:after="0" w:line="175" w:lineRule="exact"/>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740" w:type="dxa"/>
            <w:vAlign w:val="bottom"/>
            <w:gridSpan w:val="2"/>
            <w:shd w:val="clear" w:color="auto" w:fill="CCEEFF"/>
          </w:tcPr>
          <w:p>
            <w:pPr>
              <w:spacing w:after="0" w:line="175"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line="175" w:lineRule="exact"/>
              <w:rPr>
                <w:sz w:val="20"/>
                <w:szCs w:val="20"/>
                <w:color w:val="auto"/>
              </w:rPr>
            </w:pPr>
            <w:r>
              <w:rPr>
                <w:rFonts w:ascii="Arial" w:cs="Arial" w:eastAsia="Arial" w:hAnsi="Arial"/>
                <w:sz w:val="17"/>
                <w:szCs w:val="17"/>
                <w:color w:val="auto"/>
              </w:rPr>
              <w:t>(0.50)</w:t>
            </w:r>
          </w:p>
        </w:tc>
        <w:tc>
          <w:tcPr>
            <w:tcW w:w="1080" w:type="dxa"/>
            <w:vAlign w:val="bottom"/>
            <w:shd w:val="clear" w:color="auto" w:fill="CCEEFF"/>
          </w:tcPr>
          <w:p>
            <w:pPr>
              <w:jc w:val="right"/>
              <w:ind w:right="900"/>
              <w:spacing w:after="0" w:line="175"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7"/>
                <w:szCs w:val="17"/>
                <w:color w:val="auto"/>
              </w:rPr>
              <w:t>Weighted average common stock outstanding—basic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20"/>
              <w:spacing w:after="0" w:line="175" w:lineRule="exact"/>
              <w:rPr>
                <w:sz w:val="20"/>
                <w:szCs w:val="20"/>
                <w:color w:val="auto"/>
              </w:rPr>
            </w:pPr>
            <w:r>
              <w:rPr>
                <w:rFonts w:ascii="Arial" w:cs="Arial" w:eastAsia="Arial" w:hAnsi="Arial"/>
                <w:sz w:val="17"/>
                <w:szCs w:val="17"/>
                <w:color w:val="auto"/>
              </w:rPr>
              <w:t>4,719,371</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74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Pro forma net loss per share attributable to common stockholders—basic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diluted</w:t>
            </w:r>
            <w:r>
              <w:rPr>
                <w:rFonts w:ascii="Arial" w:cs="Arial" w:eastAsia="Arial" w:hAnsi="Arial"/>
                <w:sz w:val="14"/>
                <w:szCs w:val="14"/>
                <w:color w:val="auto"/>
              </w:rPr>
              <w:t>(1)</w:t>
            </w:r>
          </w:p>
        </w:tc>
        <w:tc>
          <w:tcPr>
            <w:tcW w:w="7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0"/>
              <w:spacing w:after="0" w:line="189"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7"/>
                <w:szCs w:val="17"/>
                <w:color w:val="auto"/>
              </w:rPr>
              <w:t>Pro forma weighted average common stock outstanding—basic and diluted</w:t>
            </w: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8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ind w:left="120"/>
              <w:spacing w:after="0" w:line="193" w:lineRule="exact"/>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xml:space="preserve">  See Note</w:t>
            </w:r>
          </w:p>
        </w:tc>
        <w:tc>
          <w:tcPr>
            <w:tcW w:w="9860" w:type="dxa"/>
            <w:vAlign w:val="bottom"/>
            <w:gridSpan w:val="6"/>
          </w:tcPr>
          <w:p>
            <w:pPr>
              <w:ind w:left="20"/>
              <w:spacing w:after="0"/>
              <w:rPr>
                <w:sz w:val="20"/>
                <w:szCs w:val="20"/>
                <w:color w:val="auto"/>
              </w:rPr>
            </w:pPr>
            <w:r>
              <w:rPr>
                <w:rFonts w:ascii="Arial" w:cs="Arial" w:eastAsia="Arial" w:hAnsi="Arial"/>
                <w:sz w:val="14"/>
                <w:szCs w:val="14"/>
                <w:color w:val="auto"/>
              </w:rPr>
              <w:t>to our consolidated financial statements appearing at the end of this prospectus for further details on the calculation of basic and diluted net loss per share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740" w:type="dxa"/>
            <w:vAlign w:val="bottom"/>
            <w:gridSpan w:val="2"/>
          </w:tcPr>
          <w:p>
            <w:pPr>
              <w:ind w:left="420"/>
              <w:spacing w:after="0"/>
              <w:rPr>
                <w:sz w:val="20"/>
                <w:szCs w:val="20"/>
                <w:color w:val="auto"/>
              </w:rPr>
            </w:pPr>
            <w:r>
              <w:rPr>
                <w:rFonts w:ascii="Arial" w:cs="Arial" w:eastAsia="Arial" w:hAnsi="Arial"/>
                <w:sz w:val="14"/>
                <w:szCs w:val="14"/>
                <w:color w:val="auto"/>
              </w:rPr>
              <w:t>attributable to common stockholders.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380" w:type="dxa"/>
            <w:vAlign w:val="bottom"/>
          </w:tcPr>
          <w:p>
            <w:pPr>
              <w:jc w:val="right"/>
              <w:ind w:right="2966"/>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210185</wp:posOffset>
            </wp:positionV>
            <wp:extent cx="7136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50"/>
        </w:trPr>
        <w:tc>
          <w:tcPr>
            <w:tcW w:w="8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42"/>
              <w:spacing w:after="0" w:line="150"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auto"/>
            </w:tcBorders>
          </w:tcPr>
          <w:p>
            <w:pPr>
              <w:jc w:val="right"/>
              <w:ind w:right="324"/>
              <w:spacing w:after="0" w:line="150"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0"/>
        </w:trPr>
        <w:tc>
          <w:tcPr>
            <w:tcW w:w="8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2"/>
          </w:tcPr>
          <w:p>
            <w:pPr>
              <w:jc w:val="center"/>
              <w:ind w:right="64"/>
              <w:spacing w:after="0" w:line="150"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8760" w:type="dxa"/>
            <w:vAlign w:val="bottom"/>
          </w:tcPr>
          <w:p>
            <w:pPr>
              <w:spacing w:after="0" w:line="183" w:lineRule="exact"/>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22"/>
              <w:spacing w:after="0" w:line="183" w:lineRule="exact"/>
              <w:rPr>
                <w:sz w:val="20"/>
                <w:szCs w:val="20"/>
                <w:color w:val="auto"/>
              </w:rPr>
            </w:pPr>
            <w:r>
              <w:rPr>
                <w:rFonts w:ascii="Arial" w:cs="Arial" w:eastAsia="Arial" w:hAnsi="Arial"/>
                <w:sz w:val="17"/>
                <w:szCs w:val="17"/>
                <w:color w:val="auto"/>
              </w:rPr>
              <w:t>23,259</w:t>
            </w:r>
          </w:p>
        </w:tc>
        <w:tc>
          <w:tcPr>
            <w:tcW w:w="1260" w:type="dxa"/>
            <w:vAlign w:val="bottom"/>
          </w:tcPr>
          <w:p>
            <w:pPr>
              <w:jc w:val="right"/>
              <w:ind w:right="964"/>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2"/>
              <w:spacing w:after="0" w:line="183" w:lineRule="exact"/>
              <w:rPr>
                <w:sz w:val="20"/>
                <w:szCs w:val="20"/>
                <w:color w:val="auto"/>
              </w:rPr>
            </w:pPr>
            <w:r>
              <w:rPr>
                <w:rFonts w:ascii="Arial" w:cs="Arial" w:eastAsia="Arial" w:hAnsi="Arial"/>
                <w:sz w:val="17"/>
                <w:szCs w:val="17"/>
                <w:color w:val="auto"/>
              </w:rPr>
              <w:t>14,062</w:t>
            </w: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8760" w:type="dxa"/>
            <w:vAlign w:val="bottom"/>
          </w:tcPr>
          <w:p>
            <w:pPr>
              <w:spacing w:after="0" w:line="183" w:lineRule="exact"/>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15"/>
                <w:szCs w:val="15"/>
                <w:color w:val="auto"/>
              </w:rPr>
            </w:pPr>
          </w:p>
        </w:tc>
        <w:tc>
          <w:tcPr>
            <w:tcW w:w="1000" w:type="dxa"/>
            <w:vAlign w:val="bottom"/>
          </w:tcPr>
          <w:p>
            <w:pPr>
              <w:jc w:val="right"/>
              <w:ind w:right="122"/>
              <w:spacing w:after="0" w:line="183" w:lineRule="exact"/>
              <w:rPr>
                <w:sz w:val="20"/>
                <w:szCs w:val="20"/>
                <w:color w:val="auto"/>
              </w:rPr>
            </w:pPr>
            <w:r>
              <w:rPr>
                <w:rFonts w:ascii="Arial" w:cs="Arial" w:eastAsia="Arial" w:hAnsi="Arial"/>
                <w:sz w:val="17"/>
                <w:szCs w:val="17"/>
                <w:color w:val="auto"/>
              </w:rPr>
              <w:t>27,412</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2"/>
              <w:spacing w:after="0" w:line="183" w:lineRule="exact"/>
              <w:rPr>
                <w:sz w:val="20"/>
                <w:szCs w:val="20"/>
                <w:color w:val="auto"/>
              </w:rPr>
            </w:pPr>
            <w:r>
              <w:rPr>
                <w:rFonts w:ascii="Arial" w:cs="Arial" w:eastAsia="Arial" w:hAnsi="Arial"/>
                <w:sz w:val="17"/>
                <w:szCs w:val="17"/>
                <w:color w:val="auto"/>
              </w:rPr>
              <w:t>14,654</w:t>
            </w: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8760" w:type="dxa"/>
            <w:vAlign w:val="bottom"/>
          </w:tcPr>
          <w:p>
            <w:pPr>
              <w:spacing w:after="0" w:line="183" w:lineRule="exact"/>
              <w:rPr>
                <w:sz w:val="20"/>
                <w:szCs w:val="20"/>
                <w:color w:val="auto"/>
              </w:rPr>
            </w:pPr>
            <w:r>
              <w:rPr>
                <w:rFonts w:ascii="Arial" w:cs="Arial" w:eastAsia="Arial" w:hAnsi="Arial"/>
                <w:sz w:val="17"/>
                <w:szCs w:val="17"/>
                <w:color w:val="auto"/>
              </w:rPr>
              <w:t>Convertible preferred stock</w:t>
            </w:r>
          </w:p>
        </w:tc>
        <w:tc>
          <w:tcPr>
            <w:tcW w:w="160" w:type="dxa"/>
            <w:vAlign w:val="bottom"/>
          </w:tcPr>
          <w:p>
            <w:pPr>
              <w:spacing w:after="0"/>
              <w:rPr>
                <w:sz w:val="15"/>
                <w:szCs w:val="15"/>
                <w:color w:val="auto"/>
              </w:rPr>
            </w:pPr>
          </w:p>
        </w:tc>
        <w:tc>
          <w:tcPr>
            <w:tcW w:w="1000" w:type="dxa"/>
            <w:vAlign w:val="bottom"/>
          </w:tcPr>
          <w:p>
            <w:pPr>
              <w:jc w:val="right"/>
              <w:ind w:right="122"/>
              <w:spacing w:after="0" w:line="183" w:lineRule="exact"/>
              <w:rPr>
                <w:sz w:val="20"/>
                <w:szCs w:val="20"/>
                <w:color w:val="auto"/>
              </w:rPr>
            </w:pPr>
            <w:r>
              <w:rPr>
                <w:rFonts w:ascii="Arial" w:cs="Arial" w:eastAsia="Arial" w:hAnsi="Arial"/>
                <w:sz w:val="17"/>
                <w:szCs w:val="17"/>
                <w:color w:val="auto"/>
              </w:rPr>
              <w:t>19,941</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stockholders’ (deficit) equity</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2"/>
              <w:spacing w:after="0" w:line="183" w:lineRule="exact"/>
              <w:rPr>
                <w:sz w:val="20"/>
                <w:szCs w:val="20"/>
                <w:color w:val="auto"/>
              </w:rPr>
            </w:pPr>
            <w:r>
              <w:rPr>
                <w:rFonts w:ascii="Arial" w:cs="Arial" w:eastAsia="Arial" w:hAnsi="Arial"/>
                <w:sz w:val="17"/>
                <w:szCs w:val="17"/>
                <w:color w:val="auto"/>
              </w:rPr>
              <w:t>(7,183)</w:t>
            </w: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0" w:lineRule="exact"/>
        <w:rPr>
          <w:sz w:val="20"/>
          <w:szCs w:val="20"/>
          <w:color w:val="auto"/>
        </w:rPr>
      </w:pPr>
    </w:p>
    <w:p>
      <w:pPr>
        <w:ind w:left="140"/>
        <w:spacing w:after="0"/>
        <w:tabs>
          <w:tab w:leader="none" w:pos="4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Working capital is defined as current assets less current liabilities.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48"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312"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Consolidated Financial Data” and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 You should carefully read the “Risk Factors” section of this prospectus to gain an understanding of the important factors that could cause actual results to differ materially from our forward-looking statements. Please also see the section entitled “Special Note Regarding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6"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hematological and musculoskeletal disorders with high unmet medical need. We are a leader in understanding the role of the Transforming Growth Factor-Beta, or TGF-ß, family of proteins, which are master regulators of red blood cell and platelet production as well as of the growth, repair and maintenance of muscle and bone. We have leveraged this understanding and developed a discovery approach to generate large and small molecules to address diseases of these tissues. Targeting TGF-ß signaling pathways has been clinically proven to elicit robust changes in blood cells, muscle and bone, which we believe provides a precedent and strong rationale for our strategy. Our lead protein therapeutic product candidate, KER-050, is being developed for the treatment of low blood cell counts, or cytopenias, including anemia and thrombocytopenia, in patients with myelodysplastic syndromes, or MDS, and with myelofibrosis. We have observed positive results in a Phase 1 clinical trial of KER-050, and we plan to initiate two Phase 2 clinical trials, one in patients with MDS and one in patients with myelofibrosis. Our lead small molecule product candidate, KER-047, is being developed for the treatment of anemia resulting from elevated levels of hepcidin, the key regulator of iron absorption and recycling, as well as for the treatment of fibrodysplasia ossificans progressiva, a rare musculoskeletal order, and is currently in a Phase 1 clinical trial. We believe these product candidates offer substantial opportunities for us to expand our development programs into related hematological and musculoskeletal disorders with high unmet medical need.</w:t>
      </w:r>
    </w:p>
    <w:p>
      <w:pPr>
        <w:spacing w:after="0" w:line="150"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Since our inception in 2015, we have devoted the majority of our efforts into business planning, research and development of our product candidates, including by conducting clinical trials and preclinical studies, raising capital and recruiting management and technical staff to support these operations. To date, we have not generated any revenue from product sales as none of our product candidates have been approved for commercialization. We have historically financed our operations primarily through the sale of convertible preferred stock and cash received from licensing agreements.</w:t>
      </w:r>
    </w:p>
    <w:p>
      <w:pPr>
        <w:spacing w:after="0" w:line="12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We have incurred recurring losses since our inception, including a net loss of $1.3 million for the year ended December 31, 2018. In addition, as of December 31, 2018, we had an accumulated deficit of $7.3 million. We expect to continue to generate operating losses and negative operating cash flows for the foreseeable future if and as we:</w:t>
      </w:r>
    </w:p>
    <w:p>
      <w:pPr>
        <w:spacing w:after="0" w:line="182" w:lineRule="exact"/>
        <w:rPr>
          <w:sz w:val="20"/>
          <w:szCs w:val="20"/>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continue the research and development of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initiate clinical trials for, or additional preclinical development of,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further develop and refine the manufacturing processes for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change or add manufacturers or suppliers of product candidate materials;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seek regulatory and marketing authorizations for any of our product candidates that successfully complete development;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seek to identify and validate additional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acquire or license other product candidates, technologies or biological materials;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make milestone, royalty or other payments under any current or future license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448"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obtain, maintain, protect and enforce our intellectual property portfolio;</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seek to attract and retain new and existing skilled personnel;</w:t>
      </w:r>
    </w:p>
    <w:p>
      <w:pPr>
        <w:spacing w:after="0" w:line="26" w:lineRule="exact"/>
        <w:rPr>
          <w:rFonts w:ascii="MS PGothic" w:cs="MS PGothic" w:eastAsia="MS PGothic" w:hAnsi="MS PGothic"/>
          <w:sz w:val="12"/>
          <w:szCs w:val="12"/>
          <w:color w:val="auto"/>
        </w:rPr>
      </w:pPr>
    </w:p>
    <w:p>
      <w:pPr>
        <w:ind w:left="880" w:right="260" w:hanging="432"/>
        <w:spacing w:after="0" w:line="233" w:lineRule="auto"/>
        <w:tabs>
          <w:tab w:leader="none" w:pos="88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create additional infrastructure to support our operations as a public company and incur increased legal, accounting, investor relations and other expenses;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experience delays or encounter issues with any of the above.</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We will not generate any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developing our internal commercialization capability to support product sales, marketing and distribution.</w:t>
      </w:r>
    </w:p>
    <w:p>
      <w:pPr>
        <w:spacing w:after="0" w:line="14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product sales, if ever, we expect to finance our operating activities through a combination of equity offerings, debt financings and license and development agreements in connection with any future collaborations. Adequate funding may not be available to us on acceptable terms, or at all.</w:t>
      </w:r>
    </w:p>
    <w:p>
      <w:pPr>
        <w:spacing w:after="0" w:line="14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If we are unable to obtain funding, we will be forced to delay, reduce or eliminate some or all of our research and development programs, product portfolio expansion or commercialization efforts, which could adversely affect our business prospects, or we may be unable to continue operations. Although we continue to pursue these plans, there is no assurance that we will be successful in obtaining sufficient funding on terms acceptable to us to fund continuing operations, if at all.</w:t>
      </w:r>
    </w:p>
    <w:p>
      <w:pPr>
        <w:spacing w:after="0" w:line="132" w:lineRule="exact"/>
        <w:rPr>
          <w:sz w:val="20"/>
          <w:szCs w:val="20"/>
          <w:color w:val="auto"/>
        </w:rPr>
      </w:pPr>
    </w:p>
    <w:p>
      <w:pPr>
        <w:spacing w:after="0"/>
        <w:tabs>
          <w:tab w:leader="none" w:pos="5220" w:val="left"/>
        </w:tabs>
        <w:rPr>
          <w:sz w:val="20"/>
          <w:szCs w:val="20"/>
          <w:color w:val="auto"/>
        </w:rPr>
      </w:pPr>
      <w:r>
        <w:rPr>
          <w:rFonts w:ascii="Arial" w:cs="Arial" w:eastAsia="Arial" w:hAnsi="Arial"/>
          <w:sz w:val="17"/>
          <w:szCs w:val="17"/>
          <w:color w:val="auto"/>
        </w:rPr>
        <w:t>As of December 31, 2019, we had cash and cash equivalents of $</w:t>
      </w:r>
      <w:r>
        <w:rPr>
          <w:sz w:val="20"/>
          <w:szCs w:val="20"/>
          <w:color w:val="auto"/>
        </w:rPr>
        <w:tab/>
      </w:r>
      <w:r>
        <w:rPr>
          <w:rFonts w:ascii="Arial" w:cs="Arial" w:eastAsia="Arial" w:hAnsi="Arial"/>
          <w:sz w:val="15"/>
          <w:szCs w:val="15"/>
          <w:color w:val="auto"/>
        </w:rPr>
        <w:t>million. We believe that the net proceeds from this offering, together with our</w:t>
      </w:r>
    </w:p>
    <w:p>
      <w:pPr>
        <w:ind w:right="180"/>
        <w:spacing w:after="0" w:line="233" w:lineRule="auto"/>
        <w:rPr>
          <w:sz w:val="20"/>
          <w:szCs w:val="20"/>
          <w:color w:val="auto"/>
        </w:rPr>
      </w:pPr>
      <w:r>
        <w:rPr>
          <w:rFonts w:ascii="Arial" w:cs="Arial" w:eastAsia="Arial" w:hAnsi="Arial"/>
          <w:sz w:val="17"/>
          <w:szCs w:val="17"/>
          <w:color w:val="auto"/>
        </w:rPr>
        <w:t>existing cash and cash equivalents, will be sufficient to fund our operating expenses and capital expenditure requirements through . See “—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Licensing Agreements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Exclusive Patent License Agreement with The General Hospital Corporation</w:t>
      </w:r>
    </w:p>
    <w:p>
      <w:pPr>
        <w:spacing w:after="0" w:line="33" w:lineRule="exact"/>
        <w:rPr>
          <w:sz w:val="20"/>
          <w:szCs w:val="20"/>
          <w:color w:val="auto"/>
        </w:rPr>
      </w:pPr>
    </w:p>
    <w:p>
      <w:pPr>
        <w:ind w:right="160"/>
        <w:spacing w:after="0" w:line="227" w:lineRule="auto"/>
        <w:rPr>
          <w:sz w:val="20"/>
          <w:szCs w:val="20"/>
          <w:color w:val="auto"/>
        </w:rPr>
      </w:pPr>
      <w:r>
        <w:rPr>
          <w:rFonts w:ascii="Arial" w:cs="Arial" w:eastAsia="Arial" w:hAnsi="Arial"/>
          <w:sz w:val="17"/>
          <w:szCs w:val="17"/>
          <w:color w:val="auto"/>
        </w:rPr>
        <w:t>In April 2016, we entered into an exclusive patent license agreement with The General Hospital Corporation, or MGH, and such agreement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Under the terms of the MGH Agreement, we made an initial license payment of $0.1 million and reimbursed MGH approximately $0.3 million of prior patent prosecution expenses related to the licensed patents. We also issued MGH an aggregate of 778,432 shares of our common stock. Additionally, we are required to pay a nominal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non-royalty-related payments received by 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48"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from sublicensees ranging in the sub-teen double digits and a change of control fee equal to a low-single digit percentage of the payments received as part of any completed transaction up to a low-seven digit amount.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Research Collaboration and Exclusive License Agreement with Novo Nordisk A/S</w:t>
      </w:r>
    </w:p>
    <w:p>
      <w:pPr>
        <w:spacing w:after="0" w:line="3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December 2017, we entered into a research collaboration and exclusive license agreement with Novo Nordisk A/S, or Novo Nordisk. Under the agreement with Novo Nordisk, or the Novo Nordisk Agreement, we are collaborating with Novo Nordisk on research and development of fusion molecules consisting of a ligand binder present as part of a larger molecule, or ligand traps. Pursuant to the Novo Nordisk Agreement, Novo Nordisk had the right to select a prespecified number of ligand traps for further development and commercialization by Novo Nordisk. Following execution, Novo Nordisk selected one existing ligand trap to further develop and commercialize and prior to the completion of the two year research program, selected a second ligand trap arising from the collaboration.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Novo Nordisk Agreement, we received $20.0 million in 2018, $16.0 million of which represented the initial license fee and</w:t>
      </w:r>
    </w:p>
    <w:p>
      <w:pPr>
        <w:ind w:right="40"/>
        <w:spacing w:after="0" w:line="258" w:lineRule="auto"/>
        <w:rPr>
          <w:sz w:val="20"/>
          <w:szCs w:val="20"/>
          <w:color w:val="auto"/>
        </w:rPr>
      </w:pPr>
      <w:r>
        <w:rPr>
          <w:rFonts w:ascii="Arial" w:cs="Arial" w:eastAsia="Arial" w:hAnsi="Arial"/>
          <w:sz w:val="15"/>
          <w:szCs w:val="15"/>
          <w:color w:val="auto"/>
        </w:rPr>
        <w:t>$4.0 million of which related to research funding ($2.0 million for each year of the two-year research program). Additionally, we are eligible to receive certain clinical and regulatory milestone payments for the first product, for which milestone payments are $176.0 million in the aggregate, assuming the first product achieves such milestones in three indications, certain clinical and regulatory milestone payments for the second and third products, for which milestone payments are $145.5 million in the aggregate for each product, assuming each of the second and third products achieves such milestones in three indications, and certain commercial milestone payments, for which milestone payments are $70.0 million in the aggregate. We are also eligible to receive a mid-single digit royalty on net sales of licensed products, which include combination products. The royalty rates may be reduced up to a specified percentage in the event that Novo Nordisk’s commercialization of resulting products requires obtaining a license from a third party to avoid infringement of third-party patents. Novo Nordisk’s obligation to pay royalties to us under the Novo Nordisk Agreement expires on a licensed product-by-licensed product and country-by-country basis upon the later of expiry of the last valid claim of certain specified patents that cover such licensed product in such country and a number of years in the sub-teen double digits from first commercial sale of such product in such country.</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73" w:lineRule="exact"/>
        <w:rPr>
          <w:sz w:val="20"/>
          <w:szCs w:val="20"/>
          <w:color w:val="auto"/>
        </w:rPr>
      </w:pPr>
    </w:p>
    <w:p>
      <w:pPr>
        <w:ind w:right="680"/>
        <w:spacing w:after="0" w:line="285" w:lineRule="auto"/>
        <w:rPr>
          <w:sz w:val="20"/>
          <w:szCs w:val="20"/>
          <w:color w:val="auto"/>
        </w:rPr>
      </w:pPr>
      <w:r>
        <w:rPr>
          <w:rFonts w:ascii="Arial" w:cs="Arial" w:eastAsia="Arial" w:hAnsi="Arial"/>
          <w:sz w:val="15"/>
          <w:szCs w:val="15"/>
          <w:color w:val="auto"/>
        </w:rPr>
        <w:t>To date, we have not generated any revenue, and do not expect to generate any revenue in the foreseeable future, from product sales. We have generated revenue solely from the Novo Nordisk Agreement. We may in the future generate revenue from other strategic collaborations.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3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and include:</w:t>
      </w:r>
    </w:p>
    <w:p>
      <w:pPr>
        <w:spacing w:after="0" w:line="182" w:lineRule="exact"/>
        <w:rPr>
          <w:sz w:val="20"/>
          <w:szCs w:val="20"/>
          <w:color w:val="auto"/>
        </w:rPr>
      </w:pPr>
    </w:p>
    <w:p>
      <w:pPr>
        <w:ind w:left="880" w:right="20" w:hanging="432"/>
        <w:spacing w:after="0" w:line="233"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license fees incurred in connection with license agreements;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the cost of laboratory supplies and acquiring, developing and manufacturing preclinical study materials;</w:t>
      </w:r>
    </w:p>
    <w:p>
      <w:pPr>
        <w:spacing w:after="0" w:line="26" w:lineRule="exact"/>
        <w:rPr>
          <w:rFonts w:ascii="MS PGothic" w:cs="MS PGothic" w:eastAsia="MS PGothic" w:hAnsi="MS PGothic"/>
          <w:sz w:val="12"/>
          <w:szCs w:val="12"/>
          <w:color w:val="auto"/>
        </w:rPr>
      </w:pPr>
    </w:p>
    <w:p>
      <w:pPr>
        <w:ind w:left="880" w:right="440" w:hanging="432"/>
        <w:spacing w:after="0" w:line="233" w:lineRule="auto"/>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facility-related expenses, which include direct depreciation costs and allocated expenses for rent and maintenance of facilities and other operating costs;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cost of outside consultants, including their fees and related travel expenses, engaged in research and development functions;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expenses relating to regulatory affairs;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fees related to our scientific advisory board.</w:t>
      </w:r>
    </w:p>
    <w:p>
      <w:pPr>
        <w:spacing w:after="0" w:line="144" w:lineRule="exact"/>
        <w:rPr>
          <w:sz w:val="20"/>
          <w:szCs w:val="20"/>
          <w:color w:val="auto"/>
        </w:rPr>
      </w:pPr>
    </w:p>
    <w:p>
      <w:pPr>
        <w:ind w:right="400"/>
        <w:spacing w:after="0" w:line="230"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20"/>
          </w:cols>
          <w:pgMar w:left="320" w:top="448" w:right="3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480"/>
        <w:spacing w:after="0" w:line="230" w:lineRule="auto"/>
        <w:rPr>
          <w:sz w:val="20"/>
          <w:szCs w:val="20"/>
          <w:color w:val="auto"/>
        </w:rPr>
      </w:pPr>
      <w:r>
        <w:rPr>
          <w:rFonts w:ascii="Arial" w:cs="Arial" w:eastAsia="Arial" w:hAnsi="Arial"/>
          <w:sz w:val="17"/>
          <w:szCs w:val="17"/>
          <w:color w:val="auto"/>
        </w:rPr>
        <w:t>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143"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for the foreseeable future as we initiate clinical trials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31" w:lineRule="exact"/>
        <w:rPr>
          <w:sz w:val="20"/>
          <w:szCs w:val="20"/>
          <w:color w:val="auto"/>
        </w:rPr>
      </w:pPr>
    </w:p>
    <w:p>
      <w:pPr>
        <w:ind w:right="340"/>
        <w:spacing w:after="0" w:line="228"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information technology, auditing, tax and consulting services, travel expenses and facility-related expenses, which include direct depreciation costs and allocated expenses for rent and maintenance of facilities and other operating costs.</w:t>
      </w:r>
    </w:p>
    <w:p>
      <w:pPr>
        <w:spacing w:after="0" w:line="145"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costs, and investor and public relations costs.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 Net</w:t>
      </w:r>
    </w:p>
    <w:p>
      <w:pPr>
        <w:spacing w:after="0" w:line="44" w:lineRule="exact"/>
        <w:rPr>
          <w:sz w:val="20"/>
          <w:szCs w:val="20"/>
          <w:color w:val="auto"/>
        </w:rPr>
      </w:pPr>
    </w:p>
    <w:p>
      <w:pPr>
        <w:ind w:right="1200"/>
        <w:spacing w:after="0" w:line="288" w:lineRule="auto"/>
        <w:rPr>
          <w:sz w:val="20"/>
          <w:szCs w:val="20"/>
          <w:color w:val="auto"/>
        </w:rPr>
      </w:pPr>
      <w:r>
        <w:rPr>
          <w:rFonts w:ascii="Arial" w:cs="Arial" w:eastAsia="Arial" w:hAnsi="Arial"/>
          <w:sz w:val="17"/>
          <w:szCs w:val="17"/>
          <w:color w:val="auto"/>
        </w:rPr>
        <w:t xml:space="preserve">Interest income, net primarily consists of interest earned on cash checking accounts. Our interest income has not been significant to date. </w:t>
      </w:r>
      <w:r>
        <w:rPr>
          <w:rFonts w:ascii="Arial" w:cs="Arial" w:eastAsia="Arial" w:hAnsi="Arial"/>
          <w:sz w:val="17"/>
          <w:szCs w:val="17"/>
          <w:i w:val="1"/>
          <w:iCs w:val="1"/>
          <w:color w:val="auto"/>
        </w:rPr>
        <w:t>Research and Development Incentive Income</w:t>
      </w:r>
    </w:p>
    <w:p>
      <w:pPr>
        <w:spacing w:after="0" w:line="1" w:lineRule="exact"/>
        <w:rPr>
          <w:sz w:val="20"/>
          <w:szCs w:val="20"/>
          <w:color w:val="auto"/>
        </w:rPr>
      </w:pPr>
    </w:p>
    <w:p>
      <w:pPr>
        <w:ind w:right="260"/>
        <w:spacing w:after="0" w:line="228" w:lineRule="auto"/>
        <w:rPr>
          <w:sz w:val="20"/>
          <w:szCs w:val="20"/>
          <w:color w:val="auto"/>
        </w:rPr>
      </w:pPr>
      <w:r>
        <w:rPr>
          <w:rFonts w:ascii="Arial" w:cs="Arial" w:eastAsia="Arial" w:hAnsi="Arial"/>
          <w:sz w:val="17"/>
          <w:szCs w:val="17"/>
          <w:color w:val="auto"/>
        </w:rPr>
        <w:t>Research and development incentive income includes payments under the Research and Development Incentive Program, or the R&amp;D Incentive, from the Australian government. The R&amp;D Incentive is one of the key elements of the Australian government’s support for Australia’s innovation system and was developed to assist businesses recover some of the costs of undertaking research and development. The R&amp;D Incentive provides tax offsets to eligible companies that engage in research and development activities and has two core components:</w:t>
      </w:r>
    </w:p>
    <w:p>
      <w:pPr>
        <w:spacing w:after="0" w:line="184" w:lineRule="exact"/>
        <w:rPr>
          <w:sz w:val="20"/>
          <w:szCs w:val="20"/>
          <w:color w:val="auto"/>
        </w:rPr>
      </w:pPr>
    </w:p>
    <w:p>
      <w:pPr>
        <w:ind w:left="880" w:right="180" w:hanging="432"/>
        <w:spacing w:after="0" w:line="233" w:lineRule="auto"/>
        <w:tabs>
          <w:tab w:leader="none" w:pos="88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43.5% refundable tax offset for certain eligible research and development entities with an aggregated turnover of less than $20.0 million per annum; and</w:t>
      </w:r>
    </w:p>
    <w:p>
      <w:pPr>
        <w:spacing w:after="0" w:line="25" w:lineRule="exact"/>
        <w:rPr>
          <w:rFonts w:ascii="MS PGothic" w:cs="MS PGothic" w:eastAsia="MS PGothic" w:hAnsi="MS PGothic"/>
          <w:sz w:val="12"/>
          <w:szCs w:val="12"/>
          <w:color w:val="auto"/>
        </w:rPr>
      </w:pPr>
    </w:p>
    <w:p>
      <w:pPr>
        <w:ind w:left="880" w:right="320" w:hanging="432"/>
        <w:spacing w:after="0" w:line="233" w:lineRule="auto"/>
        <w:tabs>
          <w:tab w:leader="none" w:pos="88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38.5% non-refundable tax offset for all other eligible research and development entities. Unused offset amounts may be able to be carried forward for use in future income years.</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We have assessed our research and development activities and expenditures to determine which activities and expenditures are likely to be eligible under the R&amp;D Incentive. At each period end, we estimate the refundable tax offset available to us based on available information at the time. This estimate is also reviewed by our external tax advisors on an annual basis. We recognize the amount we expect to be reimbursed for qualified expenses as income.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4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Other income, net primarily consists of dividend income earned on money market fund accounts and includes fluctuations in the fair value of our preferred stock tranche obligation based on remeasurements at each reporting period. Our preferred stock tranche obligation stems from our obligation to issue additional shares to investors upon the closing of additional tranches of preferred stock. Upon the closing of this offering, this liability will be settled as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448"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all of the preferred stock will convert into common stock. Until settlement, fluctuations in the fair value of our preferred stock tranche obligations based on the remeasurement at each reporting period are recorded in other income, net.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759"/>
              <w:spacing w:after="0" w:line="15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ind w:right="439"/>
              <w:spacing w:after="0" w:line="150"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40" w:type="dxa"/>
            <w:vAlign w:val="bottom"/>
          </w:tcPr>
          <w:p>
            <w:pPr>
              <w:ind w:left="220"/>
              <w:spacing w:after="0" w:line="183" w:lineRule="exact"/>
              <w:rPr>
                <w:sz w:val="20"/>
                <w:szCs w:val="20"/>
                <w:color w:val="auto"/>
              </w:rPr>
            </w:pPr>
            <w:r>
              <w:rPr>
                <w:rFonts w:ascii="Arial" w:cs="Arial" w:eastAsia="Arial" w:hAnsi="Arial"/>
                <w:sz w:val="17"/>
                <w:szCs w:val="17"/>
                <w:color w:val="auto"/>
              </w:rPr>
              <w:t>Research collaboration revenue</w:t>
            </w:r>
          </w:p>
        </w:tc>
        <w:tc>
          <w:tcPr>
            <w:tcW w:w="3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revenue</w:t>
            </w:r>
          </w:p>
        </w:tc>
        <w:tc>
          <w:tcPr>
            <w:tcW w:w="3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89"/>
        </w:trPr>
        <w:tc>
          <w:tcPr>
            <w:tcW w:w="9160" w:type="dxa"/>
            <w:vAlign w:val="bottom"/>
            <w:gridSpan w:val="2"/>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(10,111)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tcPr>
          <w:p>
            <w:pPr>
              <w:ind w:left="220"/>
              <w:spacing w:after="0" w:line="183"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5"/>
                <w:szCs w:val="15"/>
                <w:color w:val="auto"/>
              </w:rPr>
            </w:pPr>
          </w:p>
        </w:tc>
        <w:tc>
          <w:tcPr>
            <w:tcW w:w="178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operating expenses</w:t>
            </w:r>
          </w:p>
        </w:tc>
        <w:tc>
          <w:tcPr>
            <w:tcW w:w="3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(11,691)</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(1,691)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Other income, net:</w:t>
            </w:r>
          </w:p>
        </w:tc>
        <w:tc>
          <w:tcPr>
            <w:tcW w:w="3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tcPr>
          <w:p>
            <w:pPr>
              <w:ind w:left="220"/>
              <w:spacing w:after="0" w:line="183" w:lineRule="exact"/>
              <w:rPr>
                <w:sz w:val="20"/>
                <w:szCs w:val="20"/>
                <w:color w:val="auto"/>
              </w:rPr>
            </w:pPr>
            <w:r>
              <w:rPr>
                <w:rFonts w:ascii="Arial" w:cs="Arial" w:eastAsia="Arial" w:hAnsi="Arial"/>
                <w:sz w:val="17"/>
                <w:szCs w:val="17"/>
                <w:color w:val="auto"/>
              </w:rPr>
              <w:t>Interest income, net</w:t>
            </w:r>
          </w:p>
        </w:tc>
        <w:tc>
          <w:tcPr>
            <w:tcW w:w="300" w:type="dxa"/>
            <w:vAlign w:val="bottom"/>
          </w:tcPr>
          <w:p>
            <w:pPr>
              <w:spacing w:after="0"/>
              <w:rPr>
                <w:sz w:val="15"/>
                <w:szCs w:val="15"/>
                <w:color w:val="auto"/>
              </w:rPr>
            </w:pPr>
          </w:p>
        </w:tc>
        <w:tc>
          <w:tcPr>
            <w:tcW w:w="17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Research and development incentive income</w:t>
            </w:r>
          </w:p>
        </w:tc>
        <w:tc>
          <w:tcPr>
            <w:tcW w:w="3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40" w:type="dxa"/>
            <w:vAlign w:val="bottom"/>
          </w:tcPr>
          <w:p>
            <w:pPr>
              <w:ind w:left="220"/>
              <w:spacing w:after="0" w:line="183" w:lineRule="exact"/>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other income, net</w:t>
            </w:r>
          </w:p>
        </w:tc>
        <w:tc>
          <w:tcPr>
            <w:tcW w:w="3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60" w:type="dxa"/>
            <w:vAlign w:val="bottom"/>
            <w:gridSpan w:val="2"/>
          </w:tcPr>
          <w:p>
            <w:pPr>
              <w:spacing w:after="0" w:line="189" w:lineRule="exact"/>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rPr>
                <w:sz w:val="16"/>
                <w:szCs w:val="16"/>
                <w:color w:val="auto"/>
              </w:rPr>
            </w:pPr>
          </w:p>
        </w:tc>
        <w:tc>
          <w:tcPr>
            <w:tcW w:w="17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160" w:type="dxa"/>
            <w:vAlign w:val="bottom"/>
            <w:gridSpan w:val="2"/>
            <w:vMerge w:val="continue"/>
          </w:tcPr>
          <w:p>
            <w:pPr>
              <w:spacing w:after="0"/>
              <w:rPr>
                <w:sz w:val="16"/>
                <w:szCs w:val="16"/>
                <w:color w:val="auto"/>
              </w:rPr>
            </w:pPr>
          </w:p>
        </w:tc>
        <w:tc>
          <w:tcPr>
            <w:tcW w:w="3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6"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Our revenue for the year ended December 31, 2018 was $10.0 million, which constituted the portion of the $20.0 million payment received under the Novo Nordisk Agreement that was recognized in 2018 in line with the performance of our research and development services.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50"/>
        </w:trPr>
        <w:tc>
          <w:tcPr>
            <w:tcW w:w="9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761"/>
              <w:spacing w:after="0" w:line="150"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9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441"/>
              <w:spacing w:after="0" w:line="150" w:lineRule="exact"/>
              <w:rPr>
                <w:sz w:val="20"/>
                <w:szCs w:val="20"/>
                <w:color w:val="auto"/>
              </w:rPr>
            </w:pPr>
            <w:r>
              <w:rPr>
                <w:rFonts w:ascii="Arial" w:cs="Arial" w:eastAsia="Arial" w:hAnsi="Arial"/>
                <w:sz w:val="14"/>
                <w:szCs w:val="14"/>
                <w:b w:val="1"/>
                <w:bCs w:val="1"/>
                <w:color w:val="auto"/>
              </w:rPr>
              <w:t>(in thousands)</w:t>
            </w:r>
          </w:p>
        </w:tc>
        <w:tc>
          <w:tcPr>
            <w:tcW w:w="40" w:type="dxa"/>
            <w:vAlign w:val="bottom"/>
            <w:gridSpan w:val="2"/>
          </w:tcPr>
          <w:p>
            <w:pPr>
              <w:spacing w:after="0"/>
              <w:rPr>
                <w:sz w:val="13"/>
                <w:szCs w:val="13"/>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expenses (including stock-based compensation)</w:t>
            </w: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74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1,660</w:t>
            </w: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Preclinical and development expenses</w:t>
            </w:r>
          </w:p>
        </w:tc>
        <w:tc>
          <w:tcPr>
            <w:tcW w:w="300" w:type="dxa"/>
            <w:vAlign w:val="bottom"/>
          </w:tcPr>
          <w:p>
            <w:pPr>
              <w:spacing w:after="0"/>
              <w:rPr>
                <w:sz w:val="15"/>
                <w:szCs w:val="15"/>
                <w:color w:val="auto"/>
              </w:rPr>
            </w:pPr>
          </w:p>
        </w:tc>
        <w:tc>
          <w:tcPr>
            <w:tcW w:w="1740" w:type="dxa"/>
            <w:vAlign w:val="bottom"/>
            <w:gridSpan w:val="3"/>
          </w:tcPr>
          <w:p>
            <w:pPr>
              <w:jc w:val="right"/>
              <w:ind w:right="40"/>
              <w:spacing w:after="0" w:line="183" w:lineRule="exact"/>
              <w:rPr>
                <w:sz w:val="20"/>
                <w:szCs w:val="20"/>
                <w:color w:val="auto"/>
              </w:rPr>
            </w:pPr>
            <w:r>
              <w:rPr>
                <w:rFonts w:ascii="Arial" w:cs="Arial" w:eastAsia="Arial" w:hAnsi="Arial"/>
                <w:sz w:val="17"/>
                <w:szCs w:val="17"/>
                <w:color w:val="auto"/>
              </w:rPr>
              <w:t>6,646</w:t>
            </w: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Facilities and supplies</w:t>
            </w:r>
          </w:p>
        </w:tc>
        <w:tc>
          <w:tcPr>
            <w:tcW w:w="30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1,434</w:t>
            </w: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Professional fees</w:t>
            </w:r>
          </w:p>
        </w:tc>
        <w:tc>
          <w:tcPr>
            <w:tcW w:w="300" w:type="dxa"/>
            <w:vAlign w:val="bottom"/>
          </w:tcPr>
          <w:p>
            <w:pPr>
              <w:spacing w:after="0"/>
              <w:rPr>
                <w:sz w:val="15"/>
                <w:szCs w:val="15"/>
                <w:color w:val="auto"/>
              </w:rPr>
            </w:pPr>
          </w:p>
        </w:tc>
        <w:tc>
          <w:tcPr>
            <w:tcW w:w="17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180</w:t>
            </w:r>
          </w:p>
        </w:tc>
        <w:tc>
          <w:tcPr>
            <w:tcW w:w="20" w:type="dxa"/>
            <w:vAlign w:val="bottom"/>
          </w:tcPr>
          <w:p>
            <w:pPr>
              <w:spacing w:after="0"/>
              <w:rPr>
                <w:sz w:val="15"/>
                <w:szCs w:val="15"/>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Other expenses</w:t>
            </w:r>
          </w:p>
        </w:tc>
        <w:tc>
          <w:tcPr>
            <w:tcW w:w="3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9200" w:type="dxa"/>
            <w:vAlign w:val="bottom"/>
          </w:tcPr>
          <w:p>
            <w:pPr>
              <w:spacing w:after="0"/>
              <w:rPr>
                <w:sz w:val="16"/>
                <w:szCs w:val="16"/>
                <w:color w:val="auto"/>
              </w:rPr>
            </w:pPr>
          </w:p>
        </w:tc>
        <w:tc>
          <w:tcPr>
            <w:tcW w:w="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10,111</w:t>
            </w:r>
          </w:p>
        </w:tc>
        <w:tc>
          <w:tcPr>
            <w:tcW w:w="20" w:type="dxa"/>
            <w:vAlign w:val="bottom"/>
          </w:tcPr>
          <w:p>
            <w:pPr>
              <w:spacing w:after="0"/>
              <w:rPr>
                <w:sz w:val="16"/>
                <w:szCs w:val="16"/>
                <w:color w:val="auto"/>
              </w:rPr>
            </w:pPr>
          </w:p>
        </w:tc>
      </w:tr>
      <w:tr>
        <w:trPr>
          <w:trHeight w:val="20"/>
        </w:trPr>
        <w:tc>
          <w:tcPr>
            <w:tcW w:w="9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9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Research and development expenses for the year ended December 31, 2018 were $10.1 million. Our research and development expenses for the year included $6.6 million of preclinical and development expenses primarily related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448"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120"/>
        <w:spacing w:after="0" w:line="230" w:lineRule="auto"/>
        <w:rPr>
          <w:sz w:val="20"/>
          <w:szCs w:val="20"/>
          <w:color w:val="auto"/>
        </w:rPr>
      </w:pPr>
      <w:r>
        <w:rPr>
          <w:rFonts w:ascii="Arial" w:cs="Arial" w:eastAsia="Arial" w:hAnsi="Arial"/>
          <w:sz w:val="17"/>
          <w:szCs w:val="17"/>
          <w:color w:val="auto"/>
        </w:rPr>
        <w:t>to preclinical studies. We had $1.4 million of research and development expenses related to facilities and supplies, primarily due to purchases of product and lab supplies. Personnel expenses of $1.7 million included $30,000 of stock-based compensation expense. Other expenses included travel costs as well as depreciation expense.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50"/>
        </w:trPr>
        <w:tc>
          <w:tcPr>
            <w:tcW w:w="6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761"/>
              <w:spacing w:after="0" w:line="150"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441"/>
              <w:spacing w:after="0" w:line="150"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expenses (including stock-based compensation)</w:t>
            </w:r>
          </w:p>
        </w:tc>
        <w:tc>
          <w:tcPr>
            <w:tcW w:w="2740" w:type="dxa"/>
            <w:vAlign w:val="bottom"/>
            <w:gridSpan w:val="2"/>
            <w:shd w:val="clear" w:color="auto" w:fill="CCEEFF"/>
          </w:tcPr>
          <w:p>
            <w:pPr>
              <w:ind w:left="2440"/>
              <w:spacing w:after="0" w:line="183"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947</w:t>
            </w: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7"/>
                <w:szCs w:val="17"/>
                <w:color w:val="auto"/>
              </w:rPr>
              <w:t>Facilities and supplies</w:t>
            </w: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300</w:t>
            </w: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Legal and professional fees</w:t>
            </w:r>
          </w:p>
        </w:tc>
        <w:tc>
          <w:tcPr>
            <w:tcW w:w="2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212</w:t>
            </w:r>
          </w:p>
        </w:tc>
      </w:tr>
      <w:tr>
        <w:trPr>
          <w:trHeight w:val="189"/>
        </w:trPr>
        <w:tc>
          <w:tcPr>
            <w:tcW w:w="6760" w:type="dxa"/>
            <w:vAlign w:val="bottom"/>
          </w:tcPr>
          <w:p>
            <w:pPr>
              <w:spacing w:after="0" w:line="183" w:lineRule="exact"/>
              <w:rPr>
                <w:sz w:val="20"/>
                <w:szCs w:val="20"/>
                <w:color w:val="auto"/>
              </w:rPr>
            </w:pPr>
            <w:r>
              <w:rPr>
                <w:rFonts w:ascii="Arial" w:cs="Arial" w:eastAsia="Arial" w:hAnsi="Arial"/>
                <w:sz w:val="17"/>
                <w:szCs w:val="17"/>
                <w:color w:val="auto"/>
              </w:rPr>
              <w:t>Other expenses</w:t>
            </w:r>
          </w:p>
        </w:tc>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121</w:t>
            </w:r>
          </w:p>
        </w:tc>
        <w:tc>
          <w:tcPr>
            <w:tcW w:w="40" w:type="dxa"/>
            <w:vAlign w:val="bottom"/>
          </w:tcPr>
          <w:p>
            <w:pPr>
              <w:spacing w:after="0"/>
              <w:rPr>
                <w:sz w:val="16"/>
                <w:szCs w:val="16"/>
                <w:color w:val="auto"/>
              </w:rPr>
            </w:pPr>
          </w:p>
        </w:tc>
      </w:tr>
      <w:tr>
        <w:trPr>
          <w:trHeight w:val="183"/>
        </w:trPr>
        <w:tc>
          <w:tcPr>
            <w:tcW w:w="676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ind w:left="2440"/>
              <w:spacing w:after="0" w:line="183"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1,580</w:t>
            </w:r>
          </w:p>
        </w:tc>
      </w:tr>
      <w:tr>
        <w:trPr>
          <w:trHeight w:val="20"/>
        </w:trPr>
        <w:tc>
          <w:tcPr>
            <w:tcW w:w="6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67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General and administrative expenses were $1.6 million for the year ended December 31, 2018. Our personnel expenses included $0.8 million of salaries and benefits, $0.1 million of bonuses and $51,000 of stock-based compensation expense. The remaining general and administrative expenses consisted of $0.3 million of facilities costs, $0.2 million stemming primarily from increased legal and professional fees related to our intellectual property, and $0.1 million related to travel costs and depreciation expense.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Incentive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Income related to the R&amp;D Incentive was $0.4 million for the year ended December 31, 2018.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46" w:lineRule="exact"/>
        <w:rPr>
          <w:sz w:val="20"/>
          <w:szCs w:val="20"/>
          <w:color w:val="auto"/>
        </w:rPr>
      </w:pPr>
    </w:p>
    <w:p>
      <w:pPr>
        <w:jc w:val="both"/>
        <w:ind w:right="40"/>
        <w:spacing w:after="0" w:line="230" w:lineRule="auto"/>
        <w:rPr>
          <w:sz w:val="20"/>
          <w:szCs w:val="20"/>
          <w:color w:val="auto"/>
        </w:rPr>
      </w:pPr>
      <w:r>
        <w:rPr>
          <w:rFonts w:ascii="Arial" w:cs="Arial" w:eastAsia="Arial" w:hAnsi="Arial"/>
          <w:sz w:val="17"/>
          <w:szCs w:val="17"/>
          <w:color w:val="auto"/>
        </w:rPr>
        <w:t>Other income, net was $0.2 million for the year ended December 31, 2018, primarily related to dividend income from money market fund accounts as well as to the change in the fair value of the preferred stock tranche obligation between the date of the Series B-1 preferred stock issuance and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82"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As of December 31, 2018, we have raised $22.4 million from the sale of convertible preferred stock, which we have used to fund our operations. Additionally, pursuant to the Novo Nordisk Agreement, we received a $16.0 million upfront payment as well as an additional $2.0 million research collaboration budget payment for each year of the collaboration, or $4.0 million in the aggregate, in 2018. As of December 31, 2019, we had cash and cash equivalents of $ million. In Note 1 to our consolidated financial statements, we disclose that there is substantial doubt about our ability to continue as a going concern. However, we expect that the net proceeds from this offering, together with our existing cash and cash equivalents, will allow us to</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fund our operating expenses and capital expenditure requirements through . We have based this estimate on assumptions that may prove to be wrong, and we could use our capital resources sooner than we expect.</w:t>
      </w:r>
    </w:p>
    <w:p>
      <w:pPr>
        <w:spacing w:after="0" w:line="14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 We currently have no ongoing material financing commitments, such as lines of credit or guarantees.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any future collaborators.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448"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83" w:lineRule="exact"/>
        <w:rPr>
          <w:sz w:val="20"/>
          <w:szCs w:val="20"/>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scope, progress, results and costs of our ongoing and planned preclinical studies and clinical trials for KER-050 and KER-047;</w:t>
      </w:r>
    </w:p>
    <w:p>
      <w:pPr>
        <w:spacing w:after="0" w:line="26"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timing and amount of milestone and royalty payments we are required to make under the MGH Agreement or are eligible to receive under the Novo Nordisk Agreement;</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extent to which we in-license or acquire other product candidates and technologies;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number and development requirements of other product candidates that we may pursue;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costs, timing and outcome of regulatory review of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costs associated with expanding our operations;</w:t>
      </w:r>
    </w:p>
    <w:p>
      <w:pPr>
        <w:spacing w:after="0" w:line="26" w:lineRule="exact"/>
        <w:rPr>
          <w:rFonts w:ascii="MS PGothic" w:cs="MS PGothic" w:eastAsia="MS PGothic" w:hAnsi="MS PGothic"/>
          <w:sz w:val="12"/>
          <w:szCs w:val="12"/>
          <w:color w:val="auto"/>
        </w:rPr>
      </w:pPr>
    </w:p>
    <w:p>
      <w:pPr>
        <w:ind w:left="880" w:right="420" w:hanging="432"/>
        <w:spacing w:after="0" w:line="233"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costs and timing of future commercialization activities, including drug manufacturing, marketing, sales and distribution, for any of our product candidates for which we receive marketing approval;</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our ability to establish strategic collaborations; and</w:t>
      </w:r>
    </w:p>
    <w:p>
      <w:pPr>
        <w:spacing w:after="0" w:line="26" w:lineRule="exact"/>
        <w:rPr>
          <w:rFonts w:ascii="MS PGothic" w:cs="MS PGothic" w:eastAsia="MS PGothic" w:hAnsi="MS PGothic"/>
          <w:sz w:val="12"/>
          <w:szCs w:val="12"/>
          <w:color w:val="auto"/>
        </w:rPr>
      </w:pPr>
    </w:p>
    <w:p>
      <w:pPr>
        <w:ind w:left="880" w:right="320" w:hanging="432"/>
        <w:spacing w:after="0" w:line="233" w:lineRule="auto"/>
        <w:tabs>
          <w:tab w:leader="none" w:pos="88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00"/>
          </w:cols>
          <w:pgMar w:left="320" w:top="4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16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Net cash used in investing activities</w:t>
      </w:r>
    </w:p>
    <w:p>
      <w:pPr>
        <w:spacing w:after="0"/>
        <w:rPr>
          <w:sz w:val="20"/>
          <w:szCs w:val="20"/>
          <w:color w:val="auto"/>
        </w:rPr>
      </w:pPr>
      <w:r>
        <w:rPr>
          <w:rFonts w:ascii="Arial" w:cs="Arial" w:eastAsia="Arial" w:hAnsi="Arial"/>
          <w:sz w:val="17"/>
          <w:szCs w:val="17"/>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16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Net increase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7136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YEAR ENDED DECEMBER 31,</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12598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jc w:val="center"/>
        <w:ind w:right="60"/>
        <w:spacing w:after="0" w:line="233" w:lineRule="auto"/>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183"/>
        </w:trPr>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7,042</w:t>
            </w:r>
          </w:p>
        </w:tc>
      </w:tr>
      <w:tr>
        <w:trPr>
          <w:trHeight w:val="183"/>
        </w:trPr>
        <w:tc>
          <w:tcPr>
            <w:tcW w:w="78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(217)</w:t>
            </w:r>
          </w:p>
        </w:tc>
      </w:tr>
      <w:tr>
        <w:trPr>
          <w:trHeight w:val="189"/>
        </w:trPr>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11,463</w:t>
            </w:r>
          </w:p>
        </w:tc>
        <w:tc>
          <w:tcPr>
            <w:tcW w:w="60" w:type="dxa"/>
            <w:vAlign w:val="bottom"/>
          </w:tcPr>
          <w:p>
            <w:pPr>
              <w:spacing w:after="0"/>
              <w:rPr>
                <w:sz w:val="16"/>
                <w:szCs w:val="16"/>
                <w:color w:val="auto"/>
              </w:rPr>
            </w:pPr>
          </w:p>
        </w:tc>
      </w:tr>
      <w:tr>
        <w:trPr>
          <w:trHeight w:val="189"/>
        </w:trPr>
        <w:tc>
          <w:tcPr>
            <w:tcW w:w="78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18,288</w:t>
            </w:r>
          </w:p>
        </w:tc>
        <w:tc>
          <w:tcPr>
            <w:tcW w:w="60" w:type="dxa"/>
            <w:vAlign w:val="bottom"/>
          </w:tcPr>
          <w:p>
            <w:pPr>
              <w:spacing w:after="0"/>
              <w:rPr>
                <w:sz w:val="16"/>
                <w:szCs w:val="16"/>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50" w:lineRule="exact"/>
        <w:rPr>
          <w:sz w:val="20"/>
          <w:szCs w:val="20"/>
          <w:color w:val="auto"/>
        </w:rPr>
      </w:pPr>
    </w:p>
    <w:p>
      <w:pPr>
        <w:sectPr>
          <w:pgSz w:w="11900" w:h="16838" w:orient="portrait"/>
          <w:cols w:equalWidth="0" w:num="2">
            <w:col w:w="8440" w:space="720"/>
            <w:col w:w="2040"/>
          </w:cols>
          <w:pgMar w:left="320" w:top="448" w:right="379" w:bottom="1440" w:gutter="0" w:footer="0" w:header="0"/>
          <w:type w:val="continuous"/>
        </w:sectPr>
      </w:pPr>
    </w:p>
    <w:p>
      <w:pPr>
        <w:ind w:right="140"/>
        <w:spacing w:after="0" w:line="226" w:lineRule="auto"/>
        <w:rPr>
          <w:sz w:val="20"/>
          <w:szCs w:val="20"/>
          <w:color w:val="auto"/>
        </w:rPr>
      </w:pPr>
      <w:r>
        <w:rPr>
          <w:rFonts w:ascii="Arial" w:cs="Arial" w:eastAsia="Arial" w:hAnsi="Arial"/>
          <w:sz w:val="17"/>
          <w:szCs w:val="17"/>
          <w:color w:val="auto"/>
        </w:rPr>
        <w:t>During the year ended December 31, 2018, operating activities provided $7.0 million of cash, primarily from a cash receipt of $20.0 million from Novo Nordisk related to the Novo Nordisk Agreement. Of the $20.0 million received, $16.0 million was the upfront payment for the Novo Nordisk Agreement and $4.0 million is related to the collaboration payments due from Novo Nordisk for both 2018 and 2019, as all cash was received in 2018. This cash inflow was primarily offset by a decrease in $10.0 million of deferred revenue related to unearned revenue under the Novo Nordisk Agreement and a decrease in prepaid expenses and other assets of $2.2 million. The inflow was also offset by other changes in our operating assets and liabilities, including a $0.4 million increase in the R&amp;D Incentive receivable relating to refunds for qualified research and development spending during the year as well as a $0.2 million non-cash expense for our non-cash lease expense related to our right-of-use asset and a $0.2 million decrease in our corresponding operating lease liability.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2018, we used $0.2 million of cash in investing activities for purchases of property and equipment.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44"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During the year ended December 31, 2018, net cash provided by financing activities was $11.5 million, entirely from the net proceeds received from the issuance of Series B-1 preferred stock in November 2018.</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00"/>
          </w:cols>
          <w:pgMar w:left="320" w:top="448" w:right="379" w:bottom="1440" w:gutter="0" w:footer="0" w:header="0"/>
          <w:type w:val="continuous"/>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9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following table summarizes our contractual obligations at December 31, 2018 and the effects of such obligations are expected to have on our liquidity and cash flow in future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3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LESS THAN 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00"/>
              <w:spacing w:after="0" w:line="139" w:lineRule="exact"/>
              <w:rPr>
                <w:sz w:val="20"/>
                <w:szCs w:val="20"/>
                <w:color w:val="auto"/>
              </w:rPr>
            </w:pPr>
            <w:r>
              <w:rPr>
                <w:rFonts w:ascii="Arial" w:cs="Arial" w:eastAsia="Arial" w:hAnsi="Arial"/>
                <w:sz w:val="14"/>
                <w:szCs w:val="14"/>
                <w:b w:val="1"/>
                <w:bCs w:val="1"/>
                <w:color w:val="auto"/>
              </w:rPr>
              <w:t>1 TO 3</w:t>
            </w:r>
          </w:p>
        </w:tc>
        <w:tc>
          <w:tcPr>
            <w:tcW w:w="180" w:type="dxa"/>
            <w:vAlign w:val="bottom"/>
          </w:tcPr>
          <w:p>
            <w:pPr>
              <w:spacing w:after="0"/>
              <w:rPr>
                <w:sz w:val="12"/>
                <w:szCs w:val="12"/>
                <w:color w:val="auto"/>
              </w:rPr>
            </w:pPr>
          </w:p>
        </w:tc>
        <w:tc>
          <w:tcPr>
            <w:tcW w:w="860" w:type="dxa"/>
            <w:vAlign w:val="bottom"/>
            <w:gridSpan w:val="2"/>
          </w:tcPr>
          <w:p>
            <w:pPr>
              <w:jc w:val="right"/>
              <w:ind w:right="400"/>
              <w:spacing w:after="0" w:line="139" w:lineRule="exact"/>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MORE THAN</w:t>
            </w:r>
          </w:p>
        </w:tc>
        <w:tc>
          <w:tcPr>
            <w:tcW w:w="60" w:type="dxa"/>
            <w:vAlign w:val="bottom"/>
          </w:tcPr>
          <w:p>
            <w:pPr>
              <w:spacing w:after="0"/>
              <w:rPr>
                <w:sz w:val="12"/>
                <w:szCs w:val="12"/>
                <w:color w:val="auto"/>
              </w:rPr>
            </w:pP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5 YEARS</w:t>
            </w:r>
          </w:p>
        </w:tc>
      </w:tr>
      <w:tr>
        <w:trPr>
          <w:trHeight w:val="176"/>
        </w:trPr>
        <w:tc>
          <w:tcPr>
            <w:tcW w:w="38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Operating lease commitments</w:t>
            </w:r>
          </w:p>
        </w:tc>
        <w:tc>
          <w:tcPr>
            <w:tcW w:w="1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912</w:t>
            </w: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218</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455</w:t>
            </w: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239</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ind w:left="640"/>
              <w:spacing w:after="0" w:line="176" w:lineRule="exact"/>
              <w:rPr>
                <w:sz w:val="20"/>
                <w:szCs w:val="20"/>
                <w:color w:val="auto"/>
              </w:rPr>
            </w:pPr>
            <w:r>
              <w:rPr>
                <w:rFonts w:ascii="Arial" w:cs="Arial" w:eastAsia="Arial" w:hAnsi="Arial"/>
                <w:sz w:val="17"/>
                <w:szCs w:val="17"/>
                <w:color w:val="auto"/>
                <w:w w:val="82"/>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3860" w:type="dxa"/>
            <w:vAlign w:val="bottom"/>
          </w:tcPr>
          <w:p>
            <w:pPr>
              <w:spacing w:after="0" w:line="183" w:lineRule="exact"/>
              <w:rPr>
                <w:sz w:val="20"/>
                <w:szCs w:val="20"/>
                <w:color w:val="auto"/>
              </w:rPr>
            </w:pPr>
            <w:r>
              <w:rPr>
                <w:rFonts w:ascii="Arial" w:cs="Arial" w:eastAsia="Arial" w:hAnsi="Arial"/>
                <w:sz w:val="17"/>
                <w:szCs w:val="17"/>
                <w:color w:val="auto"/>
              </w:rPr>
              <w:t>Loan for leasehold improvements</w:t>
            </w:r>
          </w:p>
        </w:tc>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227</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130</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40"/>
              <w:spacing w:after="0" w:line="183" w:lineRule="exact"/>
              <w:rPr>
                <w:sz w:val="20"/>
                <w:szCs w:val="20"/>
                <w:color w:val="auto"/>
              </w:rPr>
            </w:pPr>
            <w:r>
              <w:rPr>
                <w:rFonts w:ascii="Arial" w:cs="Arial" w:eastAsia="Arial" w:hAnsi="Arial"/>
                <w:sz w:val="17"/>
                <w:szCs w:val="17"/>
                <w:color w:val="auto"/>
                <w:w w:val="82"/>
              </w:rPr>
              <w:t>—</w:t>
            </w:r>
          </w:p>
        </w:tc>
        <w:tc>
          <w:tcPr>
            <w:tcW w:w="60" w:type="dxa"/>
            <w:vAlign w:val="bottom"/>
          </w:tcPr>
          <w:p>
            <w:pPr>
              <w:spacing w:after="0"/>
              <w:rPr>
                <w:sz w:val="16"/>
                <w:szCs w:val="16"/>
                <w:color w:val="auto"/>
              </w:rPr>
            </w:pPr>
          </w:p>
        </w:tc>
      </w:tr>
      <w:tr>
        <w:trPr>
          <w:trHeight w:val="183"/>
        </w:trPr>
        <w:tc>
          <w:tcPr>
            <w:tcW w:w="38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w:t>
            </w:r>
          </w:p>
        </w:tc>
        <w:tc>
          <w:tcPr>
            <w:tcW w:w="1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1,139</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250</w:t>
            </w:r>
          </w:p>
        </w:tc>
        <w:tc>
          <w:tcPr>
            <w:tcW w:w="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585</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304</w:t>
            </w:r>
          </w:p>
        </w:tc>
        <w:tc>
          <w:tcPr>
            <w:tcW w:w="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640"/>
              <w:spacing w:after="0" w:line="183" w:lineRule="exact"/>
              <w:rPr>
                <w:sz w:val="20"/>
                <w:szCs w:val="20"/>
                <w:color w:val="auto"/>
              </w:rPr>
            </w:pPr>
            <w:r>
              <w:rPr>
                <w:rFonts w:ascii="Arial" w:cs="Arial" w:eastAsia="Arial" w:hAnsi="Arial"/>
                <w:sz w:val="17"/>
                <w:szCs w:val="17"/>
                <w:color w:val="auto"/>
              </w:rPr>
              <w:t>—</w:t>
            </w:r>
          </w:p>
        </w:tc>
      </w:tr>
      <w:tr>
        <w:trPr>
          <w:trHeight w:val="20"/>
        </w:trPr>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3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340"/>
        <w:spacing w:after="0" w:line="228" w:lineRule="auto"/>
        <w:rPr>
          <w:sz w:val="20"/>
          <w:szCs w:val="20"/>
          <w:color w:val="auto"/>
        </w:rPr>
      </w:pPr>
      <w:r>
        <w:rPr>
          <w:rFonts w:ascii="Arial" w:cs="Arial" w:eastAsia="Arial" w:hAnsi="Arial"/>
          <w:sz w:val="17"/>
          <w:szCs w:val="17"/>
          <w:color w:val="auto"/>
        </w:rPr>
        <w:t>We have entered into an operating lease for rental space in Lexington, Massachusetts. The table above includes future lease payments under the non-cancelable lease arrangement. A portion of the commitments is related to the loan we received from the landlord of $0.2 million for leasehold improvements. This will be repaid in full by December 2022 when the lease expires, but principal payments are due in monthly installments beginning 18 months after the commencement of the lease in March 2017.</w:t>
      </w:r>
    </w:p>
    <w:p>
      <w:pPr>
        <w:spacing w:after="0" w:line="145"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We may incur contingent payments upon our achievement of clinical, regulatory and commercial milestones, as applicable, or royalty payments that we are required to make under the MGH Agreement pursuant to which we have in-licensed certain intellectual property. Due to the uncertainty of the achievement and timing of the events requiring payment under these agreements, the amounts to be paid by us are not fixed or determinable at this time and are excluded from the table above. Under the terms of the MGH Agreement, we are obligated to pay MGH designated amounts when any licensed product achieves certain developmental milestones. Following the commencement of commercial sales of the licensed products, we will pay designated amounts when certain milestone events occur. The development milestones and commercial milestones range from $50,000 to $10.0 million depending upon the significance of the particular milestone.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We are also obligated to pay a percentage of non-royalty related payments received by us from sublicensees ranging in the low-double digits and a change of control fee equal to a low-single digit percentage of the payments received as part of any completed transaction up to a low-seven digit amount.</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9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7" w:lineRule="exact"/>
        <w:rPr>
          <w:sz w:val="20"/>
          <w:szCs w:val="20"/>
          <w:color w:val="auto"/>
        </w:rPr>
      </w:pPr>
    </w:p>
    <w:p>
      <w:pPr>
        <w:ind w:right="380"/>
        <w:spacing w:after="0" w:line="230" w:lineRule="auto"/>
        <w:rPr>
          <w:sz w:val="20"/>
          <w:szCs w:val="20"/>
          <w:color w:val="auto"/>
        </w:rPr>
      </w:pPr>
      <w:r>
        <w:rPr>
          <w:rFonts w:ascii="Arial" w:cs="Arial" w:eastAsia="Arial" w:hAnsi="Arial"/>
          <w:sz w:val="17"/>
          <w:szCs w:val="17"/>
          <w:color w:val="auto"/>
        </w:rPr>
        <w:t>While our significant accounting policies are described in greater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6" w:lineRule="exact"/>
        <w:rPr>
          <w:sz w:val="20"/>
          <w:szCs w:val="20"/>
          <w:color w:val="auto"/>
        </w:rPr>
      </w:pPr>
    </w:p>
    <w:p>
      <w:pPr>
        <w:ind w:right="420"/>
        <w:spacing w:after="0" w:line="233" w:lineRule="auto"/>
        <w:rPr>
          <w:sz w:val="20"/>
          <w:szCs w:val="20"/>
          <w:color w:val="auto"/>
        </w:rPr>
      </w:pPr>
      <w:r>
        <w:rPr>
          <w:rFonts w:ascii="Arial" w:cs="Arial" w:eastAsia="Arial" w:hAnsi="Arial"/>
          <w:sz w:val="17"/>
          <w:szCs w:val="17"/>
          <w:color w:val="auto"/>
        </w:rPr>
        <w:t>To date, our revenue has consisted solely of amounts earned related to the Novo Nordisk Agreement. We apply the revenue recognition guidance in accordance with Financial Accounting Standards Board Accounting Standards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448"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Codification Subtopic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which was adopted January 1, 2018 using the full retrospective method. Under ASC 606, we recognize revenue when our customers obtain control of promised goods or services, in an amount that reflects the consideration which we expect to receive in exchange for those goods or services.</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w:t>
      </w:r>
    </w:p>
    <w:p>
      <w:pPr>
        <w:spacing w:after="0" w:line="1" w:lineRule="exact"/>
        <w:rPr>
          <w:sz w:val="20"/>
          <w:szCs w:val="20"/>
          <w:color w:val="auto"/>
        </w:rPr>
      </w:pPr>
    </w:p>
    <w:p>
      <w:pPr>
        <w:ind w:right="60" w:firstLine="4"/>
        <w:spacing w:after="0" w:line="265" w:lineRule="auto"/>
        <w:tabs>
          <w:tab w:leader="none" w:pos="275"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our customer. All variable milestone consideration is constrained until the cumulative revenue related to the consideration is no longer probable of reversal. Variable royalty consideration is constrained until the underlying sale occurs and the royalty is earned.</w:t>
      </w:r>
    </w:p>
    <w:p>
      <w:pPr>
        <w:spacing w:after="0" w:line="126" w:lineRule="exact"/>
        <w:rPr>
          <w:sz w:val="20"/>
          <w:szCs w:val="20"/>
          <w:color w:val="auto"/>
        </w:rPr>
      </w:pPr>
    </w:p>
    <w:p>
      <w:pPr>
        <w:ind w:right="160"/>
        <w:spacing w:after="0" w:line="227" w:lineRule="auto"/>
        <w:rPr>
          <w:sz w:val="20"/>
          <w:szCs w:val="20"/>
          <w:color w:val="auto"/>
        </w:rPr>
      </w:pPr>
      <w:r>
        <w:rPr>
          <w:rFonts w:ascii="Arial" w:cs="Arial" w:eastAsia="Arial" w:hAnsi="Arial"/>
          <w:sz w:val="17"/>
          <w:szCs w:val="17"/>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estimates used to measure performance and related revenue recognition. We currently measure progress according to the expenditure of research and development efforts, based on costs incurred, as this is an appropriate indicator of performance.</w:t>
      </w:r>
    </w:p>
    <w:p>
      <w:pPr>
        <w:spacing w:after="0" w:line="14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We receive payments from our customers based on billing schedules established in each contract. Upfront payments and fees are recorded as deferred revenue upon receipt or when due until we satisfy our obligations under these arrangements. Amounts are recorded as accounts receivable when our right to consideration is unconditional.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3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To date, there have not been any material adjustments to our prior estimates of accrued research and development expenses.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 Tranche Obligation</w:t>
      </w:r>
    </w:p>
    <w:p>
      <w:pPr>
        <w:spacing w:after="0" w:line="33"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The initial fair values of the preferred stock tranche obligation, or the Preferred Stock Tranche Obligation, recognized in connection with our issuance of convertible preferred stock in April 2016, August 2016 and November 2018 were determined based on significant inputs not observable in the market, which represents a Level 3 measurement within the fair value hierarchy. The initial fair values of the obligations were estimated based on results of a valuation performed in connection with the initial issuances. This obligation is remeasured prior to the issuance of subsequent tranches, and at each subsequent reporting period. See Note 8 to our consolidated financial statements included elsewhere in this prospectus for additional information regarding our issuances of preferred stock.</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The Preferred Stock Tranche Obligation was determined using the binomial pricing model, which takes into account the probability of achievement and failure of tranche milestones and issuance of subsequent shares. The Preferred Stock Tranche Obligation is calculated as the difference between the future value of the Series B-2 preferred stock at the time the tranche milestone is met, estimated using the binomial pricing model, and the contractual purchase price for the Series B-2 preferred stock. The future value of the Series B-2 preferred stock was estimated by back-solving the future price of the Series B-2 preferred stock such that the initial proceeds of the Series B-1 preferred stock financing equaled the sum of the Preferred Stock Tranche Obligation and the standalone price paid for Series B-1 preferred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320" w:top="448" w:right="3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Preferred Stock Tranche Obligation value is discounted back to the initial issuance date and adjusted for probability of the tranche milestone achievement. In determining the fair values of the tranche obligations, estimates and assumptions impacting fair value include the estimated future value of our Series B-2 preferred stock, discount rates, estimated time to liquidity and probability of tranche closing/milestone achievement. We remeasured each tranche obligation at each reporting period and prior to settlement.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account for all stock-based compensation awards granted to employees and non-employees as stock-based compensation expense at fair value. Our stock-based payments include stock options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accompanying statements of operations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option-pricing model.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Determination of the Fair Value of Common Stock</w:t>
      </w:r>
    </w:p>
    <w:p>
      <w:pPr>
        <w:spacing w:after="0" w:line="3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management and approved by our board of directors, utilizing the valuation of our enterprise value determined by a valuation expert, and in accordance with the guidance outlined in the American Institute of Certified Public Accountants Technical Practice Aid (</w:t>
      </w:r>
      <w:r>
        <w:rPr>
          <w:rFonts w:ascii="Arial" w:cs="Arial" w:eastAsia="Arial" w:hAnsi="Arial"/>
          <w:sz w:val="17"/>
          <w:szCs w:val="17"/>
          <w:i w:val="1"/>
          <w:iCs w:val="1"/>
          <w:color w:val="auto"/>
        </w:rPr>
        <w:t>Valuation of Privately-Held-Company Equity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Issued as Compensation</w:t>
      </w:r>
      <w:r>
        <w:rPr>
          <w:rFonts w:ascii="Arial" w:cs="Arial" w:eastAsia="Arial" w:hAnsi="Arial"/>
          <w:sz w:val="17"/>
          <w:szCs w:val="17"/>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considered various objective and subjective factors to determine the fair value of our common stock as of each grant date, including:</w:t>
      </w:r>
    </w:p>
    <w:p>
      <w:pPr>
        <w:spacing w:after="0" w:line="183" w:lineRule="exact"/>
        <w:rPr>
          <w:sz w:val="20"/>
          <w:szCs w:val="20"/>
          <w:color w:val="auto"/>
        </w:rPr>
      </w:pPr>
    </w:p>
    <w:p>
      <w:pPr>
        <w:ind w:left="880" w:right="240" w:hanging="432"/>
        <w:spacing w:after="0" w:line="233" w:lineRule="auto"/>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the progress of our research and development programs, including the status and results of preclinical studies for our product candidates;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our stage of development and commercialization and our business strategy;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external market conditions affecting the biopharmaceutical industry and trends within the biopharmaceutical industry;</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the lack of an active public market for our common stock and our preferred stock;</w:t>
      </w:r>
    </w:p>
    <w:p>
      <w:pPr>
        <w:spacing w:after="0" w:line="26" w:lineRule="exact"/>
        <w:rPr>
          <w:rFonts w:ascii="MS PGothic" w:cs="MS PGothic" w:eastAsia="MS PGothic" w:hAnsi="MS PGothic"/>
          <w:sz w:val="12"/>
          <w:szCs w:val="12"/>
          <w:color w:val="auto"/>
        </w:rPr>
      </w:pPr>
    </w:p>
    <w:p>
      <w:pPr>
        <w:ind w:left="880" w:right="520" w:hanging="432"/>
        <w:spacing w:after="0" w:line="233" w:lineRule="auto"/>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the likelihood of achieving a liquidity event, such as an initial public offering, or IPO, or sale of our company in light of prevailing market conditions;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69"/>
        </w:numPr>
        <w:rPr>
          <w:rFonts w:ascii="MS PGothic" w:cs="MS PGothic" w:eastAsia="MS PGothic" w:hAnsi="MS PGothic"/>
          <w:sz w:val="12"/>
          <w:szCs w:val="12"/>
          <w:color w:val="auto"/>
        </w:rPr>
      </w:pPr>
      <w:r>
        <w:rPr>
          <w:rFonts w:ascii="Arial" w:cs="Arial" w:eastAsia="Arial" w:hAnsi="Arial"/>
          <w:sz w:val="17"/>
          <w:szCs w:val="17"/>
          <w:color w:val="auto"/>
        </w:rPr>
        <w:t>the analysis of IPOs and the market performance of similar companies in the biopharmaceutical industry.</w:t>
      </w:r>
    </w:p>
    <w:p>
      <w:pPr>
        <w:spacing w:after="0" w:line="144" w:lineRule="exact"/>
        <w:rPr>
          <w:sz w:val="20"/>
          <w:szCs w:val="20"/>
          <w:color w:val="auto"/>
        </w:rPr>
      </w:pPr>
    </w:p>
    <w:p>
      <w:pPr>
        <w:ind w:right="420"/>
        <w:spacing w:after="0" w:line="230" w:lineRule="auto"/>
        <w:rPr>
          <w:sz w:val="20"/>
          <w:szCs w:val="20"/>
          <w:color w:val="auto"/>
        </w:rPr>
      </w:pPr>
      <w:r>
        <w:rPr>
          <w:rFonts w:ascii="Arial" w:cs="Arial" w:eastAsia="Arial" w:hAnsi="Arial"/>
          <w:sz w:val="17"/>
          <w:szCs w:val="17"/>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448" w:right="3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Granted</w:t>
      </w:r>
    </w:p>
    <w:p>
      <w:pPr>
        <w:spacing w:after="0" w:line="46"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The following table sets forth, by grant date, the number of shares subject to options granted from January 1, 2018 through December 31, 2018, the exercise price per share of common stock of the options, the fair value per share of common stock on each grant date, and the estimated per share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gridSpan w:val="2"/>
          </w:tcPr>
          <w:p>
            <w:pPr>
              <w:jc w:val="center"/>
              <w:ind w:right="640"/>
              <w:spacing w:after="0" w:line="157" w:lineRule="exact"/>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gridSpan w:val="2"/>
          </w:tcPr>
          <w:p>
            <w:pPr>
              <w:jc w:val="center"/>
              <w:ind w:right="64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200" w:type="dxa"/>
            <w:vAlign w:val="bottom"/>
          </w:tcPr>
          <w:p>
            <w:pPr>
              <w:spacing w:after="0"/>
              <w:rPr>
                <w:sz w:val="13"/>
                <w:szCs w:val="13"/>
                <w:color w:val="auto"/>
              </w:rPr>
            </w:pPr>
          </w:p>
        </w:tc>
        <w:tc>
          <w:tcPr>
            <w:tcW w:w="150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EXERCISE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7"/>
              </w:rPr>
              <w:t>FAIR VALUE PER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gridSpan w:val="2"/>
          </w:tcPr>
          <w:p>
            <w:pPr>
              <w:jc w:val="center"/>
              <w:ind w:right="640"/>
              <w:spacing w:after="0" w:line="157" w:lineRule="exact"/>
              <w:rPr>
                <w:sz w:val="20"/>
                <w:szCs w:val="20"/>
                <w:color w:val="auto"/>
              </w:rPr>
            </w:pPr>
            <w:r>
              <w:rPr>
                <w:rFonts w:ascii="Arial" w:cs="Arial" w:eastAsia="Arial" w:hAnsi="Arial"/>
                <w:sz w:val="14"/>
                <w:szCs w:val="14"/>
                <w:b w:val="1"/>
                <w:bCs w:val="1"/>
                <w:color w:val="auto"/>
              </w:rPr>
              <w:t>SUBJECT</w:t>
            </w:r>
          </w:p>
        </w:tc>
        <w:tc>
          <w:tcPr>
            <w:tcW w:w="200" w:type="dxa"/>
            <w:vAlign w:val="bottom"/>
          </w:tcPr>
          <w:p>
            <w:pPr>
              <w:spacing w:after="0"/>
              <w:rPr>
                <w:sz w:val="13"/>
                <w:szCs w:val="13"/>
                <w:color w:val="auto"/>
              </w:rPr>
            </w:pPr>
          </w:p>
        </w:tc>
        <w:tc>
          <w:tcPr>
            <w:tcW w:w="150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PRICE PER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9"/>
              </w:rPr>
              <w:t>SHARE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5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2"/>
          </w:tcPr>
          <w:p>
            <w:pPr>
              <w:jc w:val="center"/>
              <w:ind w:right="640"/>
              <w:spacing w:after="0" w:line="151" w:lineRule="exact"/>
              <w:rPr>
                <w:sz w:val="20"/>
                <w:szCs w:val="20"/>
                <w:color w:val="auto"/>
              </w:rPr>
            </w:pPr>
            <w:r>
              <w:rPr>
                <w:rFonts w:ascii="Arial" w:cs="Arial" w:eastAsia="Arial" w:hAnsi="Arial"/>
                <w:sz w:val="14"/>
                <w:szCs w:val="14"/>
                <w:b w:val="1"/>
                <w:bCs w:val="1"/>
                <w:color w:val="auto"/>
                <w:w w:val="99"/>
              </w:rPr>
              <w:t>TO OPTIONS</w:t>
            </w:r>
          </w:p>
        </w:tc>
        <w:tc>
          <w:tcPr>
            <w:tcW w:w="200" w:type="dxa"/>
            <w:vAlign w:val="bottom"/>
          </w:tcPr>
          <w:p>
            <w:pPr>
              <w:spacing w:after="0"/>
              <w:rPr>
                <w:sz w:val="13"/>
                <w:szCs w:val="13"/>
                <w:color w:val="auto"/>
              </w:rPr>
            </w:pPr>
          </w:p>
        </w:tc>
        <w:tc>
          <w:tcPr>
            <w:tcW w:w="1500" w:type="dxa"/>
            <w:vAlign w:val="bottom"/>
            <w:gridSpan w:val="2"/>
          </w:tcPr>
          <w:p>
            <w:pPr>
              <w:ind w:left="120"/>
              <w:spacing w:after="0" w:line="151" w:lineRule="exact"/>
              <w:rPr>
                <w:sz w:val="20"/>
                <w:szCs w:val="20"/>
                <w:color w:val="auto"/>
              </w:rPr>
            </w:pPr>
            <w:r>
              <w:rPr>
                <w:rFonts w:ascii="Arial" w:cs="Arial" w:eastAsia="Arial" w:hAnsi="Arial"/>
                <w:sz w:val="14"/>
                <w:szCs w:val="14"/>
                <w:b w:val="1"/>
                <w:bCs w:val="1"/>
                <w:color w:val="auto"/>
              </w:rPr>
              <w:t>SHARE OF</w:t>
            </w:r>
          </w:p>
        </w:tc>
        <w:tc>
          <w:tcPr>
            <w:tcW w:w="320" w:type="dxa"/>
            <w:vAlign w:val="bottom"/>
          </w:tcPr>
          <w:p>
            <w:pPr>
              <w:spacing w:after="0"/>
              <w:rPr>
                <w:sz w:val="13"/>
                <w:szCs w:val="13"/>
                <w:color w:val="auto"/>
              </w:rPr>
            </w:pPr>
          </w:p>
        </w:tc>
        <w:tc>
          <w:tcPr>
            <w:tcW w:w="1660" w:type="dxa"/>
            <w:vAlign w:val="bottom"/>
            <w:gridSpan w:val="3"/>
          </w:tcPr>
          <w:p>
            <w:pPr>
              <w:jc w:val="center"/>
              <w:ind w:right="320"/>
              <w:spacing w:after="0" w:line="151" w:lineRule="exact"/>
              <w:rPr>
                <w:sz w:val="20"/>
                <w:szCs w:val="20"/>
                <w:color w:val="auto"/>
              </w:rPr>
            </w:pPr>
            <w:r>
              <w:rPr>
                <w:rFonts w:ascii="Arial" w:cs="Arial" w:eastAsia="Arial" w:hAnsi="Arial"/>
                <w:sz w:val="14"/>
                <w:szCs w:val="14"/>
                <w:b w:val="1"/>
                <w:bCs w:val="1"/>
                <w:color w:val="auto"/>
                <w:w w:val="99"/>
              </w:rPr>
              <w:t>COMMON STOCK</w:t>
            </w:r>
          </w:p>
        </w:tc>
        <w:tc>
          <w:tcPr>
            <w:tcW w:w="340" w:type="dxa"/>
            <w:vAlign w:val="bottom"/>
          </w:tcPr>
          <w:p>
            <w:pPr>
              <w:spacing w:after="0"/>
              <w:rPr>
                <w:sz w:val="13"/>
                <w:szCs w:val="13"/>
                <w:color w:val="auto"/>
              </w:rPr>
            </w:pPr>
          </w:p>
        </w:tc>
        <w:tc>
          <w:tcPr>
            <w:tcW w:w="11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GRANTED</w:t>
            </w:r>
          </w:p>
        </w:tc>
        <w:tc>
          <w:tcPr>
            <w:tcW w:w="1700" w:type="dxa"/>
            <w:vAlign w:val="bottom"/>
            <w:gridSpan w:val="3"/>
          </w:tcPr>
          <w:p>
            <w:pPr>
              <w:spacing w:after="0" w:line="173" w:lineRule="exact"/>
              <w:rPr>
                <w:sz w:val="20"/>
                <w:szCs w:val="20"/>
                <w:color w:val="auto"/>
              </w:rPr>
            </w:pPr>
            <w:r>
              <w:rPr>
                <w:rFonts w:ascii="Arial" w:cs="Arial" w:eastAsia="Arial" w:hAnsi="Arial"/>
                <w:sz w:val="12"/>
                <w:szCs w:val="12"/>
                <w:b w:val="1"/>
                <w:bCs w:val="1"/>
                <w:color w:val="auto"/>
              </w:rPr>
              <w:t xml:space="preserve">COMMON STOCK </w:t>
            </w:r>
            <w:r>
              <w:rPr>
                <w:rFonts w:ascii="Arial" w:cs="Arial" w:eastAsia="Arial" w:hAnsi="Arial"/>
                <w:sz w:val="20"/>
                <w:szCs w:val="20"/>
                <w:b w:val="1"/>
                <w:bCs w:val="1"/>
                <w:color w:val="auto"/>
                <w:vertAlign w:val="superscript"/>
              </w:rPr>
              <w:t>(1)</w:t>
            </w:r>
          </w:p>
        </w:tc>
        <w:tc>
          <w:tcPr>
            <w:tcW w:w="320" w:type="dxa"/>
            <w:vAlign w:val="bottom"/>
          </w:tcPr>
          <w:p>
            <w:pPr>
              <w:spacing w:after="0"/>
              <w:rPr>
                <w:sz w:val="15"/>
                <w:szCs w:val="15"/>
                <w:color w:val="auto"/>
              </w:rPr>
            </w:pPr>
          </w:p>
        </w:tc>
        <w:tc>
          <w:tcPr>
            <w:tcW w:w="1660" w:type="dxa"/>
            <w:vAlign w:val="bottom"/>
            <w:gridSpan w:val="3"/>
          </w:tcPr>
          <w:p>
            <w:pPr>
              <w:spacing w:after="0" w:line="173" w:lineRule="exact"/>
              <w:rPr>
                <w:sz w:val="20"/>
                <w:szCs w:val="20"/>
                <w:color w:val="auto"/>
              </w:rPr>
            </w:pPr>
            <w:r>
              <w:rPr>
                <w:rFonts w:ascii="Arial" w:cs="Arial" w:eastAsia="Arial" w:hAnsi="Arial"/>
                <w:sz w:val="12"/>
                <w:szCs w:val="12"/>
                <w:b w:val="1"/>
                <w:bCs w:val="1"/>
                <w:color w:val="auto"/>
              </w:rPr>
              <w:t xml:space="preserve">AT GRANT DATE </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line="173" w:lineRule="exact"/>
              <w:rPr>
                <w:sz w:val="20"/>
                <w:szCs w:val="20"/>
                <w:color w:val="auto"/>
              </w:rPr>
            </w:pPr>
            <w:r>
              <w:rPr>
                <w:rFonts w:ascii="Arial" w:cs="Arial" w:eastAsia="Arial" w:hAnsi="Arial"/>
                <w:sz w:val="12"/>
                <w:szCs w:val="12"/>
                <w:b w:val="1"/>
                <w:bCs w:val="1"/>
                <w:color w:val="auto"/>
              </w:rPr>
              <w:t xml:space="preserve">OPTIONS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76"/>
        </w:trPr>
        <w:tc>
          <w:tcPr>
            <w:tcW w:w="37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March 26, 2018</w:t>
            </w:r>
          </w:p>
        </w:tc>
        <w:tc>
          <w:tcPr>
            <w:tcW w:w="6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1,282,683</w:t>
            </w:r>
          </w:p>
        </w:tc>
        <w:tc>
          <w:tcPr>
            <w:tcW w:w="6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0.14</w:t>
            </w: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0.14</w:t>
            </w: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0.09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line="183" w:lineRule="exact"/>
              <w:rPr>
                <w:sz w:val="20"/>
                <w:szCs w:val="20"/>
                <w:color w:val="auto"/>
              </w:rPr>
            </w:pPr>
            <w:r>
              <w:rPr>
                <w:rFonts w:ascii="Arial" w:cs="Arial" w:eastAsia="Arial" w:hAnsi="Arial"/>
                <w:sz w:val="17"/>
                <w:szCs w:val="17"/>
                <w:color w:val="auto"/>
              </w:rPr>
              <w:t>June 21, 2018</w:t>
            </w:r>
          </w:p>
        </w:tc>
        <w:tc>
          <w:tcPr>
            <w:tcW w:w="1820" w:type="dxa"/>
            <w:vAlign w:val="bottom"/>
            <w:gridSpan w:val="2"/>
          </w:tcPr>
          <w:p>
            <w:pPr>
              <w:jc w:val="right"/>
              <w:ind w:right="640"/>
              <w:spacing w:after="0" w:line="183" w:lineRule="exact"/>
              <w:rPr>
                <w:sz w:val="20"/>
                <w:szCs w:val="20"/>
                <w:color w:val="auto"/>
              </w:rPr>
            </w:pPr>
            <w:r>
              <w:rPr>
                <w:rFonts w:ascii="Arial" w:cs="Arial" w:eastAsia="Arial" w:hAnsi="Arial"/>
                <w:sz w:val="17"/>
                <w:szCs w:val="17"/>
                <w:color w:val="auto"/>
              </w:rPr>
              <w:t>104,000</w:t>
            </w:r>
          </w:p>
        </w:tc>
        <w:tc>
          <w:tcPr>
            <w:tcW w:w="20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340"/>
              <w:spacing w:after="0" w:line="183" w:lineRule="exact"/>
              <w:rPr>
                <w:sz w:val="20"/>
                <w:szCs w:val="20"/>
                <w:color w:val="auto"/>
              </w:rPr>
            </w:pPr>
            <w:r>
              <w:rPr>
                <w:rFonts w:ascii="Arial" w:cs="Arial" w:eastAsia="Arial" w:hAnsi="Arial"/>
                <w:sz w:val="17"/>
                <w:szCs w:val="17"/>
                <w:color w:val="auto"/>
              </w:rPr>
              <w:t>0.14</w:t>
            </w:r>
          </w:p>
        </w:tc>
        <w:tc>
          <w:tcPr>
            <w:tcW w:w="420" w:type="dxa"/>
            <w:vAlign w:val="bottom"/>
            <w:gridSpan w:val="2"/>
          </w:tcPr>
          <w:p>
            <w:pPr>
              <w:ind w:left="320"/>
              <w:spacing w:after="0" w:line="183" w:lineRule="exact"/>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0.14</w:t>
            </w:r>
          </w:p>
        </w:tc>
        <w:tc>
          <w:tcPr>
            <w:tcW w:w="440" w:type="dxa"/>
            <w:vAlign w:val="bottom"/>
            <w:gridSpan w:val="2"/>
          </w:tcPr>
          <w:p>
            <w:pPr>
              <w:ind w:left="340"/>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83"/>
        </w:trPr>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September 17, 2018</w:t>
            </w:r>
          </w:p>
        </w:tc>
        <w:tc>
          <w:tcPr>
            <w:tcW w:w="1820" w:type="dxa"/>
            <w:vAlign w:val="bottom"/>
            <w:gridSpan w:val="2"/>
            <w:shd w:val="clear" w:color="auto" w:fill="CCEEFF"/>
          </w:tcPr>
          <w:p>
            <w:pPr>
              <w:jc w:val="right"/>
              <w:ind w:right="640"/>
              <w:spacing w:after="0" w:line="183" w:lineRule="exact"/>
              <w:rPr>
                <w:sz w:val="20"/>
                <w:szCs w:val="20"/>
                <w:color w:val="auto"/>
              </w:rPr>
            </w:pPr>
            <w:r>
              <w:rPr>
                <w:rFonts w:ascii="Arial" w:cs="Arial" w:eastAsia="Arial" w:hAnsi="Arial"/>
                <w:sz w:val="17"/>
                <w:szCs w:val="17"/>
                <w:color w:val="auto"/>
              </w:rPr>
              <w:t>110,000</w:t>
            </w:r>
          </w:p>
        </w:tc>
        <w:tc>
          <w:tcPr>
            <w:tcW w:w="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0.14</w:t>
            </w:r>
          </w:p>
        </w:tc>
        <w:tc>
          <w:tcPr>
            <w:tcW w:w="4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0.14</w:t>
            </w:r>
          </w:p>
        </w:tc>
        <w:tc>
          <w:tcPr>
            <w:tcW w:w="4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98"/>
        </w:trPr>
        <w:tc>
          <w:tcPr>
            <w:tcW w:w="4300" w:type="dxa"/>
            <w:vAlign w:val="bottom"/>
            <w:gridSpan w:val="2"/>
          </w:tcPr>
          <w:p>
            <w:pPr>
              <w:spacing w:after="0"/>
              <w:rPr>
                <w:sz w:val="20"/>
                <w:szCs w:val="20"/>
                <w:color w:val="auto"/>
              </w:rPr>
            </w:pPr>
            <w:r>
              <w:rPr>
                <w:rFonts w:ascii="Arial" w:cs="Arial" w:eastAsia="Arial" w:hAnsi="Arial"/>
                <w:sz w:val="17"/>
                <w:szCs w:val="17"/>
                <w:color w:val="auto"/>
              </w:rPr>
              <w:t>October 28, 2018</w:t>
            </w:r>
          </w:p>
        </w:tc>
        <w:tc>
          <w:tcPr>
            <w:tcW w:w="1820" w:type="dxa"/>
            <w:vAlign w:val="bottom"/>
            <w:gridSpan w:val="2"/>
          </w:tcPr>
          <w:p>
            <w:pPr>
              <w:jc w:val="right"/>
              <w:ind w:right="640"/>
              <w:spacing w:after="0"/>
              <w:rPr>
                <w:sz w:val="20"/>
                <w:szCs w:val="20"/>
                <w:color w:val="auto"/>
              </w:rPr>
            </w:pPr>
            <w:r>
              <w:rPr>
                <w:rFonts w:ascii="Arial" w:cs="Arial" w:eastAsia="Arial" w:hAnsi="Arial"/>
                <w:sz w:val="17"/>
                <w:szCs w:val="17"/>
                <w:color w:val="auto"/>
              </w:rPr>
              <w:t>50,000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7"/>
                <w:szCs w:val="17"/>
                <w:color w:val="auto"/>
              </w:rPr>
              <w:t>0.14</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320"/>
              <w:spacing w:after="0"/>
              <w:rPr>
                <w:sz w:val="20"/>
                <w:szCs w:val="20"/>
                <w:color w:val="auto"/>
              </w:rPr>
            </w:pPr>
            <w:r>
              <w:rPr>
                <w:rFonts w:ascii="Arial" w:cs="Arial" w:eastAsia="Arial" w:hAnsi="Arial"/>
                <w:sz w:val="17"/>
                <w:szCs w:val="17"/>
                <w:color w:val="auto"/>
              </w:rPr>
              <w:t>0.14</w:t>
            </w: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8" w:lineRule="exact"/>
        <w:rPr>
          <w:sz w:val="20"/>
          <w:szCs w:val="20"/>
          <w:color w:val="auto"/>
        </w:rPr>
      </w:pPr>
    </w:p>
    <w:p>
      <w:pPr>
        <w:ind w:left="440" w:right="260" w:hanging="292"/>
        <w:spacing w:after="0" w:line="188" w:lineRule="auto"/>
        <w:tabs>
          <w:tab w:leader="none" w:pos="4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The exercise price per share of common stock of options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1" w:lineRule="exact"/>
        <w:rPr>
          <w:rFonts w:ascii="Arial" w:cs="Arial" w:eastAsia="Arial" w:hAnsi="Arial"/>
          <w:sz w:val="24"/>
          <w:szCs w:val="24"/>
          <w:color w:val="auto"/>
          <w:vertAlign w:val="superscript"/>
        </w:rPr>
      </w:pPr>
    </w:p>
    <w:p>
      <w:pPr>
        <w:ind w:left="440" w:hanging="292"/>
        <w:spacing w:after="0" w:line="184" w:lineRule="auto"/>
        <w:tabs>
          <w:tab w:leader="none" w:pos="440" w:val="left"/>
        </w:tabs>
        <w:numPr>
          <w:ilvl w:val="0"/>
          <w:numId w:val="70"/>
        </w:numPr>
        <w:rPr>
          <w:rFonts w:ascii="Arial" w:cs="Arial" w:eastAsia="Arial" w:hAnsi="Arial"/>
          <w:sz w:val="19"/>
          <w:szCs w:val="19"/>
          <w:color w:val="auto"/>
          <w:vertAlign w:val="superscript"/>
        </w:rPr>
      </w:pPr>
      <w:r>
        <w:rPr>
          <w:rFonts w:ascii="Arial" w:cs="Arial" w:eastAsia="Arial" w:hAnsi="Arial"/>
          <w:sz w:val="12"/>
          <w:szCs w:val="12"/>
          <w:color w:val="auto"/>
        </w:rPr>
        <w:t>The estimated fair value of options reflects the weighted-average fair value of options granted on each grant date, determined using the Black-Scholes option-pricing model.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82" w:lineRule="exact"/>
        <w:rPr>
          <w:sz w:val="20"/>
          <w:szCs w:val="20"/>
          <w:color w:val="auto"/>
        </w:rPr>
      </w:pPr>
    </w:p>
    <w:p>
      <w:pPr>
        <w:ind w:right="2080"/>
        <w:spacing w:after="0" w:line="288" w:lineRule="auto"/>
        <w:rPr>
          <w:sz w:val="20"/>
          <w:szCs w:val="20"/>
          <w:color w:val="auto"/>
        </w:rPr>
      </w:pPr>
      <w:r>
        <w:rPr>
          <w:rFonts w:ascii="Arial" w:cs="Arial" w:eastAsia="Arial" w:hAnsi="Arial"/>
          <w:sz w:val="17"/>
          <w:szCs w:val="17"/>
          <w:color w:val="auto"/>
        </w:rPr>
        <w:t xml:space="preserve">We are exposed to market risks in the ordinary course of our business. These risks primarily include interest rate sensitivities. </w:t>
      </w:r>
      <w:r>
        <w:rPr>
          <w:rFonts w:ascii="Arial" w:cs="Arial" w:eastAsia="Arial" w:hAnsi="Arial"/>
          <w:sz w:val="17"/>
          <w:szCs w:val="17"/>
          <w:b w:val="1"/>
          <w:bCs w:val="1"/>
          <w:i w:val="1"/>
          <w:iCs w:val="1"/>
          <w:color w:val="auto"/>
        </w:rPr>
        <w:t>Interest Rate Sensitivity</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As of December 31, 2018, we had cash and cash equivalents of $23.3 million. Our exposure to interest rate sensitivity is impacted by changes in the underlying U.S. bank interest rates. Our surplus cash has been invested in money market fund accounts as well as interest-bearing savings accounts from time to time. We have not entered into investments for trading or speculative purposes. Due to the conservative nature of our investment portfolio, which is predicated on capital preservation of investments with short-term maturities, we do not believe a change in interest rates would have a material effect on the fair market value of our portfolio, and therefore we do not expect our operating results or cash flows to be significantly affected by changes in market interest rates.</w:t>
      </w:r>
    </w:p>
    <w:p>
      <w:pPr>
        <w:spacing w:after="0" w:line="144" w:lineRule="exact"/>
        <w:rPr>
          <w:sz w:val="20"/>
          <w:szCs w:val="20"/>
          <w:color w:val="auto"/>
        </w:rPr>
      </w:pPr>
    </w:p>
    <w:p>
      <w:pPr>
        <w:ind w:right="760"/>
        <w:spacing w:after="0" w:line="233" w:lineRule="auto"/>
        <w:rPr>
          <w:sz w:val="20"/>
          <w:szCs w:val="20"/>
          <w:color w:val="auto"/>
        </w:rPr>
      </w:pPr>
      <w:r>
        <w:rPr>
          <w:rFonts w:ascii="Arial" w:cs="Arial" w:eastAsia="Arial" w:hAnsi="Arial"/>
          <w:sz w:val="17"/>
          <w:szCs w:val="17"/>
          <w:color w:val="auto"/>
        </w:rPr>
        <w:t>As of December 31, 2018, we had no debt outstanding that is subject to interest rate variability, as our only debt is related to our lease incentive allowance. Therefore, we are not subject to interest rate risk related to debt.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82" w:lineRule="exact"/>
        <w:rPr>
          <w:sz w:val="20"/>
          <w:szCs w:val="20"/>
          <w:color w:val="auto"/>
        </w:rPr>
      </w:pPr>
    </w:p>
    <w:p>
      <w:pPr>
        <w:ind w:right="600"/>
        <w:spacing w:after="0" w:line="233" w:lineRule="auto"/>
        <w:rPr>
          <w:sz w:val="20"/>
          <w:szCs w:val="20"/>
          <w:color w:val="auto"/>
        </w:rPr>
      </w:pPr>
      <w:r>
        <w:rPr>
          <w:rFonts w:ascii="Arial" w:cs="Arial" w:eastAsia="Arial" w:hAnsi="Arial"/>
          <w:sz w:val="17"/>
          <w:szCs w:val="17"/>
          <w:color w:val="auto"/>
        </w:rPr>
        <w:t>See the section titled “Summary of Significant Accounting Policies—Recently Adopted Accounting Pronouncements” in Note 2 to our consolidated financial statements included elsewhere in this prospectus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96"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48"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extended transition period. However, as of the date of this prospectus, we have adopted all recently issued accounting standards on the relevant dates on which adoption of such standards is required for other public companies.</w:t>
      </w:r>
    </w:p>
    <w:p>
      <w:pPr>
        <w:spacing w:after="0" w:line="143" w:lineRule="exact"/>
        <w:rPr>
          <w:sz w:val="20"/>
          <w:szCs w:val="20"/>
          <w:color w:val="auto"/>
        </w:rPr>
      </w:pPr>
    </w:p>
    <w:p>
      <w:pPr>
        <w:ind w:right="740"/>
        <w:spacing w:after="0" w:line="233" w:lineRule="auto"/>
        <w:rPr>
          <w:sz w:val="20"/>
          <w:szCs w:val="20"/>
          <w:color w:val="auto"/>
        </w:rPr>
      </w:pPr>
      <w:r>
        <w:rPr>
          <w:rFonts w:ascii="Arial" w:cs="Arial" w:eastAsia="Arial" w:hAnsi="Arial"/>
          <w:sz w:val="17"/>
          <w:szCs w:val="17"/>
          <w:color w:val="auto"/>
        </w:rPr>
        <w:t>In addition, as an emerging growth company, we may take advantage of specified reduced disclosure and other requirements that are otherwise applicable generally to public companies. These provisions include:</w:t>
      </w:r>
    </w:p>
    <w:p>
      <w:pPr>
        <w:spacing w:after="0" w:line="182" w:lineRule="exact"/>
        <w:rPr>
          <w:sz w:val="20"/>
          <w:szCs w:val="20"/>
          <w:color w:val="auto"/>
        </w:rPr>
      </w:pPr>
    </w:p>
    <w:p>
      <w:pPr>
        <w:ind w:left="880" w:hanging="432"/>
        <w:spacing w:after="0"/>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reduced disclosure about the compensation paid to our executive officers;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not being required to submit to our stockholders advisory votes on executive compensation or golden parachute arrangements;</w:t>
      </w:r>
    </w:p>
    <w:p>
      <w:pPr>
        <w:spacing w:after="0" w:line="26" w:lineRule="exact"/>
        <w:rPr>
          <w:rFonts w:ascii="MS PGothic" w:cs="MS PGothic" w:eastAsia="MS PGothic" w:hAnsi="MS PGothic"/>
          <w:sz w:val="12"/>
          <w:szCs w:val="12"/>
          <w:color w:val="auto"/>
        </w:rPr>
      </w:pPr>
    </w:p>
    <w:p>
      <w:pPr>
        <w:ind w:left="880" w:right="580" w:hanging="432"/>
        <w:spacing w:after="0" w:line="233" w:lineRule="auto"/>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 and</w:t>
      </w:r>
    </w:p>
    <w:p>
      <w:pPr>
        <w:spacing w:after="0" w:line="25" w:lineRule="exact"/>
        <w:rPr>
          <w:rFonts w:ascii="MS PGothic" w:cs="MS PGothic" w:eastAsia="MS PGothic" w:hAnsi="MS PGothic"/>
          <w:sz w:val="12"/>
          <w:szCs w:val="12"/>
          <w:color w:val="auto"/>
        </w:rPr>
      </w:pPr>
    </w:p>
    <w:p>
      <w:pPr>
        <w:ind w:left="880" w:right="180" w:hanging="432"/>
        <w:spacing w:after="0" w:line="233" w:lineRule="auto"/>
        <w:tabs>
          <w:tab w:leader="none" w:pos="88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 (1) the last day of the fiscal year in which we have total annual gross revenues of $1.07 billion or more; (2) the last day of our fiscal year following the fifth anniversary of the date of the completion of this offering; (3) the date on which we have issued more than $1.0 billion in nonconvertible debt during the previous three years; or (4) the date on which we are deemed to be a large accelerated filer under the rules of the Securities and Exchange Commission. We may choose to take advantage of some but not all of these exemptions.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448" w:right="3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6"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hematological and musculoskeletal disorders with high unmet medical need. We are a leader in understanding the role of the Transforming Growth Factor-Beta, or TGF-ß, family of proteins, which are master regulators of red blood cell and platelet production as well as of the growth, repair and maintenance of muscle and bone. We have leveraged this understanding and developed a discovery approach to generate large and small molecules to address diseases of these tissues. Targeting TGF-ß signaling pathways has been clinically proven to elicit robust changes in blood cells, muscle and bone, which we believe provides a precedent and strong rationale for our strategy. Our lead protein therapeutic product candidate, KER-050, is being developed for the treatment of low blood cell counts, or cytopenias, including anemia and thrombocytopenia, in patients with myelodysplastic syndromes, or MDS, and in patients with myelofibrosis. We have observed positive topline results in a Phase 1 clinical trial of KER-050, and we plan to initiate two Phase 2 clinical trials, one in patients with MDS and one in patients with myelofibrosis. Our lead small molecule product candidate, KER-047, is being developed for the treatment of anemia resulting from elevated levels of hepcidin, the key regulator of iron absorption and recycling, as well as for the treatment of fibrodysplasia ossificans progressiva, or FOP, a rare musculoskeletal disorder, and is currently in a Phase 1 clinical trial. We believe these product candidates offer substantial opportunities for us to expand our development programs into related hematological and musculoskeletal disorders with high unmet medical need.</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KER-050 is an engineered ligand trap comprised of a modified ligand-binding domain of the TGF-ß receptor known as activin receptor type IIA, or ActRIIA, that is fused to the portion of the human antibody known as the Fc domain. KER-050 is designed to increase red blood cell and platelet production by inhibiting the signaling of a subset of the TGF-ß family of proteins to promote hematopoiesis. We believe KER-050 has the potential to provide benefit to patients suffering from red blood cell and platelet differentiation and maturation defects occurring across the spectrum from early through terminal stages of hematopoiesis, and consequently may be effective for many patients that have limited treatment options or are refractory to available therapies. We recently completed a Phase 1 clinical trial evaluating the safety, tolerability and pharmacokinetics of KER-050 in healthy post-menopausal women. Data from the single ascending dose portion of this trial demonstrated rapid and sustained increases in red blood cells and hemoglobin through Day 84 at the highest dose evaluated, increases in circulating immature red blood cells, or reticulocytes, through Day 29 at the higher doses, increases in platelets of 30 x 10</w:t>
      </w:r>
      <w:r>
        <w:rPr>
          <w:rFonts w:ascii="Arial" w:cs="Arial" w:eastAsia="Arial" w:hAnsi="Arial"/>
          <w:sz w:val="13"/>
          <w:szCs w:val="13"/>
          <w:color w:val="auto"/>
        </w:rPr>
        <w:t>9</w:t>
      </w:r>
      <w:r>
        <w:rPr>
          <w:rFonts w:ascii="Arial" w:cs="Arial" w:eastAsia="Arial" w:hAnsi="Arial"/>
          <w:sz w:val="15"/>
          <w:szCs w:val="15"/>
          <w:color w:val="auto"/>
        </w:rPr>
        <w:t xml:space="preserve"> cells/L or greater (a change that we believe would be considered clinically meaningful in patients with low platelet counts) at the highest dose evaluated, as well as favorable tolerability. We plan to commence a Phase 2 clinical trial in patients with MDS evaluating KER-</w:t>
      </w:r>
    </w:p>
    <w:p>
      <w:pPr>
        <w:spacing w:after="0" w:line="172"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050 for the treatment of cytopenias, including anemia and thrombocytopenia, in . We also plan to commence a Phase 2 clinical trial evaluating KER-050 for the treatment of patients with myelofibrosis-associated cytopenias in .</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KER-047 is designed to selectively and potently inhibit activin receptor-like kinase-2, or ALK2, a TGF-ß receptor. We believe that KER-047 has the potential to ameliorate excessive ALK2 signaling, which is directly implicated in genetically-defined anemias and musculoskeletal disorders where the transformation of soft tissue into bone, referred to as heterotopic ossification, leads to devastating immobility. We are developing KER-047 for the treatment of anemia resulting from high hepcidin levels as a direct consequence of elevated ALK2 signaling, including our initial target, iron-refractory iron deficiency anemia, or IRIDA. We are also developing KER-047 as a treatment for FOP, a rare genetic disease resulting from mutations in the ALK2 receptor that results in gain-of-function activity. In these patients, soft tissue, including muscles and tendons, develops normally, but remodels into bone</w:t>
      </w:r>
    </w:p>
    <w:p>
      <w:pPr>
        <w:spacing w:after="0"/>
        <w:tabs>
          <w:tab w:leader="none" w:pos="10780" w:val="left"/>
        </w:tabs>
        <w:rPr>
          <w:sz w:val="20"/>
          <w:szCs w:val="20"/>
          <w:color w:val="auto"/>
        </w:rPr>
      </w:pPr>
      <w:r>
        <w:rPr>
          <w:rFonts w:ascii="Arial" w:cs="Arial" w:eastAsia="Arial" w:hAnsi="Arial"/>
          <w:sz w:val="17"/>
          <w:szCs w:val="17"/>
          <w:color w:val="auto"/>
        </w:rPr>
        <w:t>after injury. KER-047 is currently being evaluated in a Phase 1 clinical trial in healthy volunteers. We expect to report data from this trial in</w:t>
      </w:r>
      <w:r>
        <w:rPr>
          <w:sz w:val="20"/>
          <w:szCs w:val="20"/>
          <w:color w:val="auto"/>
        </w:rPr>
        <w:tab/>
      </w:r>
      <w:r>
        <w:rPr>
          <w:rFonts w:ascii="Arial" w:cs="Arial" w:eastAsia="Arial" w:hAnsi="Arial"/>
          <w:sz w:val="15"/>
          <w:szCs w:val="15"/>
          <w:color w:val="auto"/>
        </w:rPr>
        <w:t>. We</w:t>
      </w:r>
    </w:p>
    <w:p>
      <w:pPr>
        <w:spacing w:after="0" w:line="1" w:lineRule="exact"/>
        <w:rPr>
          <w:sz w:val="20"/>
          <w:szCs w:val="20"/>
          <w:color w:val="auto"/>
        </w:rPr>
      </w:pPr>
    </w:p>
    <w:p>
      <w:pPr>
        <w:spacing w:after="0"/>
        <w:tabs>
          <w:tab w:leader="none" w:pos="5680" w:val="left"/>
          <w:tab w:leader="none" w:pos="10020" w:val="left"/>
        </w:tabs>
        <w:rPr>
          <w:sz w:val="20"/>
          <w:szCs w:val="20"/>
          <w:color w:val="auto"/>
        </w:rPr>
      </w:pPr>
      <w:r>
        <w:rPr>
          <w:rFonts w:ascii="Arial" w:cs="Arial" w:eastAsia="Arial" w:hAnsi="Arial"/>
          <w:sz w:val="17"/>
          <w:szCs w:val="17"/>
          <w:color w:val="auto"/>
        </w:rPr>
        <w:t>expect to commence a Phase 2 clinical trial in patients with IRIDA in</w:t>
      </w:r>
      <w:r>
        <w:rPr>
          <w:sz w:val="20"/>
          <w:szCs w:val="20"/>
          <w:color w:val="auto"/>
        </w:rPr>
        <w:tab/>
      </w:r>
      <w:r>
        <w:rPr>
          <w:rFonts w:ascii="Arial" w:cs="Arial" w:eastAsia="Arial" w:hAnsi="Arial"/>
          <w:sz w:val="17"/>
          <w:szCs w:val="17"/>
          <w:color w:val="auto"/>
        </w:rPr>
        <w:t>and a Phase 2 clinical trial in patients with FOP in</w:t>
      </w:r>
      <w:r>
        <w:rPr>
          <w:sz w:val="20"/>
          <w:szCs w:val="20"/>
          <w:color w:val="auto"/>
        </w:rPr>
        <w:tab/>
      </w:r>
      <w:r>
        <w:rPr>
          <w:rFonts w:ascii="Arial" w:cs="Arial" w:eastAsia="Arial" w:hAnsi="Arial"/>
          <w:sz w:val="17"/>
          <w:szCs w:val="17"/>
          <w:color w:val="auto"/>
        </w:rPr>
        <w:t>.</w:t>
      </w:r>
    </w:p>
    <w:p>
      <w:pPr>
        <w:spacing w:after="0" w:line="144"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Our strategy focuses on the role of members of the TGF-ß family of proteins in the development of blood cells, muscle and bone. Aged and damaged cells are routinely replaced by new cells in normally functioning organs. These new cells are derived from stem cells that have the ability to differentiate into cells with specialized function when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448"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appropriate signals are provided to maintain the homeostatic state of the tissue. Members of the TGF-ß family of proteins, including activins and bone morphogenetic proteins, or BMPs, provide the necessary signals for this process of self-renewal and repair.</w:t>
      </w:r>
    </w:p>
    <w:p>
      <w:pPr>
        <w:spacing w:after="0" w:line="143"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We seek to address the limitations of current therapeutic approaches to treating diseases whose manifestations are linked to dysfunction of TGF-ß signaling pathways by:</w:t>
      </w:r>
    </w:p>
    <w:p>
      <w:pPr>
        <w:spacing w:after="0" w:line="182" w:lineRule="exact"/>
        <w:rPr>
          <w:sz w:val="20"/>
          <w:szCs w:val="20"/>
          <w:color w:val="auto"/>
        </w:rPr>
      </w:pPr>
    </w:p>
    <w:p>
      <w:pPr>
        <w:ind w:left="880" w:right="1040" w:hanging="432"/>
        <w:spacing w:after="0" w:line="233" w:lineRule="auto"/>
        <w:tabs>
          <w:tab w:leader="none" w:pos="88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Leveraging our comprehensive insights into the TGF-ß signaling pathways to discover therapeutics to treat hematological and musculoskeletal disorders.</w:t>
      </w:r>
    </w:p>
    <w:p>
      <w:pPr>
        <w:spacing w:after="0" w:line="25" w:lineRule="exact"/>
        <w:rPr>
          <w:rFonts w:ascii="MS PGothic" w:cs="MS PGothic" w:eastAsia="MS PGothic" w:hAnsi="MS PGothic"/>
          <w:sz w:val="12"/>
          <w:szCs w:val="12"/>
          <w:color w:val="auto"/>
        </w:rPr>
      </w:pPr>
    </w:p>
    <w:p>
      <w:pPr>
        <w:ind w:left="880" w:right="640" w:hanging="432"/>
        <w:spacing w:after="0" w:line="233" w:lineRule="auto"/>
        <w:tabs>
          <w:tab w:leader="none" w:pos="88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Expanding our library of proprietary molecules that are engineered to induce desired biological effects, such as increased blood cell production, inhibit heterotopic ossification and increased muscle and bone mass.</w:t>
      </w:r>
    </w:p>
    <w:p>
      <w:pPr>
        <w:spacing w:after="0" w:line="25" w:lineRule="exact"/>
        <w:rPr>
          <w:rFonts w:ascii="MS PGothic" w:cs="MS PGothic" w:eastAsia="MS PGothic" w:hAnsi="MS PGothic"/>
          <w:sz w:val="12"/>
          <w:szCs w:val="12"/>
          <w:color w:val="auto"/>
        </w:rPr>
      </w:pPr>
    </w:p>
    <w:p>
      <w:pPr>
        <w:ind w:left="880" w:hanging="432"/>
        <w:spacing w:after="0" w:line="233" w:lineRule="auto"/>
        <w:tabs>
          <w:tab w:leader="none" w:pos="88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Engineering proprietary molecules to selectively target specific proteins in the TGF-ß signaling pathways to provide therapeutic benefit while potentially minimizing safety risks.</w:t>
      </w:r>
    </w:p>
    <w:p>
      <w:pPr>
        <w:spacing w:after="0" w:line="25" w:lineRule="exact"/>
        <w:rPr>
          <w:rFonts w:ascii="MS PGothic" w:cs="MS PGothic" w:eastAsia="MS PGothic" w:hAnsi="MS PGothic"/>
          <w:sz w:val="12"/>
          <w:szCs w:val="12"/>
          <w:color w:val="auto"/>
        </w:rPr>
      </w:pPr>
    </w:p>
    <w:p>
      <w:pPr>
        <w:ind w:left="880" w:right="580" w:hanging="432"/>
        <w:spacing w:after="0" w:line="233" w:lineRule="auto"/>
        <w:tabs>
          <w:tab w:leader="none" w:pos="88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Developing product candidates for the treatment of diseases where targeting the TGF-ß signaling pathways has clinical validation or biological rationale to improve our probability of success in the clinic.</w:t>
      </w:r>
    </w:p>
    <w:p>
      <w:pPr>
        <w:spacing w:after="0" w:line="25"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Targeting the TGF-ß family of proteins, which are highly conserved throughout evolution, permitting the use of animal models to potentially predict with high confidence the therapeutic benefit in patients.</w:t>
      </w:r>
    </w:p>
    <w:p>
      <w:pPr>
        <w:spacing w:after="0" w:line="143"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We are led by a highly experienced management team and scientific advisory board who have more than 100 combined years of research and development on therapeutics in the TGF-ß family of proteins. Our team has collectively worked on marketed therapeutics such as Reblozyl, Tecfidera, Kalydeco and Waylivra, and led drug discovery and clinical development at companies including Acceleron Pharma Inc., Biogen Inc., Wyeth, Seres Therapeutics, Inc., Vertex Pharmaceuticals Incorporated and Akcea Therapeutics, Inc.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product candidates, their current development stages and anticipated upcoming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120015</wp:posOffset>
            </wp:positionV>
            <wp:extent cx="5022850" cy="3075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22850" cy="307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00"/>
          </w:cols>
          <w:pgMar w:left="320" w:top="448" w:right="4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96"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Our mission is to deliver significant clinical benefit to patients suffering from hematological and musculoskeletal diseases by developing differentiated product candidates that are designed to alter TGF-ß signaling pathways. The key elements of our strategy include:</w:t>
      </w:r>
    </w:p>
    <w:p>
      <w:pPr>
        <w:spacing w:after="0" w:line="164" w:lineRule="exact"/>
        <w:rPr>
          <w:sz w:val="20"/>
          <w:szCs w:val="20"/>
          <w:color w:val="auto"/>
        </w:rPr>
      </w:pPr>
    </w:p>
    <w:p>
      <w:pPr>
        <w:ind w:left="880" w:right="120" w:hanging="432"/>
        <w:spacing w:after="0" w:line="269" w:lineRule="auto"/>
        <w:tabs>
          <w:tab w:leader="none" w:pos="880" w:val="left"/>
        </w:tabs>
        <w:numPr>
          <w:ilvl w:val="0"/>
          <w:numId w:val="73"/>
        </w:numPr>
        <w:rPr>
          <w:rFonts w:ascii="MS PGothic" w:cs="MS PGothic" w:eastAsia="MS PGothic" w:hAnsi="MS PGothic"/>
          <w:sz w:val="11"/>
          <w:szCs w:val="11"/>
          <w:color w:val="auto"/>
        </w:rPr>
      </w:pPr>
      <w:r>
        <w:rPr>
          <w:rFonts w:ascii="Arial" w:cs="Arial" w:eastAsia="Arial" w:hAnsi="Arial"/>
          <w:sz w:val="15"/>
          <w:szCs w:val="15"/>
          <w:i w:val="1"/>
          <w:iCs w:val="1"/>
          <w:color w:val="auto"/>
        </w:rPr>
        <w:t xml:space="preserve">Rapidly advance the clinical development of KER-050 for the treatment of patients with MDS- and myelofibrosis-associated cytopenias. </w:t>
      </w:r>
      <w:r>
        <w:rPr>
          <w:rFonts w:ascii="Arial" w:cs="Arial" w:eastAsia="Arial" w:hAnsi="Arial"/>
          <w:sz w:val="15"/>
          <w:szCs w:val="15"/>
          <w:color w:val="auto"/>
        </w:rPr>
        <w:t>We</w:t>
      </w:r>
      <w:r>
        <w:rPr>
          <w:rFonts w:ascii="Arial" w:cs="Arial" w:eastAsia="Arial" w:hAnsi="Arial"/>
          <w:sz w:val="15"/>
          <w:szCs w:val="15"/>
          <w:i w:val="1"/>
          <w:iCs w:val="1"/>
          <w:color w:val="auto"/>
        </w:rPr>
        <w:t xml:space="preserve"> </w:t>
      </w:r>
      <w:r>
        <w:rPr>
          <w:rFonts w:ascii="Arial" w:cs="Arial" w:eastAsia="Arial" w:hAnsi="Arial"/>
          <w:sz w:val="15"/>
          <w:szCs w:val="15"/>
          <w:color w:val="auto"/>
        </w:rPr>
        <w:t>have generated positive topline data in a Phase 1 clinical trial of KER-050 in healthy post-menopausal women. We plan to commence a Phase 2 clinical trial evaluating KER-050 for the treatment of cytopenias, including anemia and thrombocytopenia, in patients with MDS</w:t>
      </w:r>
    </w:p>
    <w:p>
      <w:pPr>
        <w:sectPr>
          <w:pgSz w:w="11900" w:h="16838" w:orient="portrait"/>
          <w:cols w:equalWidth="0" w:num="1">
            <w:col w:w="11160"/>
          </w:cols>
          <w:pgMar w:left="320" w:top="448" w:right="419" w:bottom="1440" w:gutter="0" w:footer="0" w:header="0"/>
        </w:sectPr>
      </w:pPr>
    </w:p>
    <w:p>
      <w:pPr>
        <w:ind w:left="880"/>
        <w:spacing w:after="0" w:line="235" w:lineRule="auto"/>
        <w:tabs>
          <w:tab w:leader="none" w:pos="1760" w:val="left"/>
        </w:tabs>
        <w:rPr>
          <w:sz w:val="20"/>
          <w:szCs w:val="20"/>
          <w:color w:val="auto"/>
        </w:rPr>
      </w:pPr>
      <w:r>
        <w:rPr>
          <w:rFonts w:ascii="Arial" w:cs="Arial" w:eastAsia="Arial" w:hAnsi="Arial"/>
          <w:sz w:val="15"/>
          <w:szCs w:val="15"/>
          <w:color w:val="auto"/>
        </w:rPr>
        <w:t>in</w:t>
      </w:r>
      <w:r>
        <w:rPr>
          <w:sz w:val="20"/>
          <w:szCs w:val="20"/>
          <w:color w:val="auto"/>
        </w:rPr>
        <w:tab/>
      </w:r>
      <w:r>
        <w:rPr>
          <w:rFonts w:ascii="Arial" w:cs="Arial" w:eastAsia="Arial" w:hAnsi="Arial"/>
          <w:sz w:val="15"/>
          <w:szCs w:val="15"/>
          <w:color w:val="auto"/>
        </w:rPr>
        <w:t>. We also plan to commence a Phase 2 clinical trial evaluating the treatment of patients with myelofibrosis-associated cytopenias</w:t>
      </w:r>
    </w:p>
    <w:p>
      <w:pPr>
        <w:ind w:left="880"/>
        <w:spacing w:after="0"/>
        <w:tabs>
          <w:tab w:leader="none" w:pos="1720" w:val="left"/>
        </w:tabs>
        <w:rPr>
          <w:sz w:val="20"/>
          <w:szCs w:val="20"/>
          <w:color w:val="auto"/>
        </w:rPr>
      </w:pPr>
      <w:r>
        <w:rPr>
          <w:rFonts w:ascii="Arial" w:cs="Arial" w:eastAsia="Arial" w:hAnsi="Arial"/>
          <w:sz w:val="17"/>
          <w:szCs w:val="17"/>
          <w:color w:val="auto"/>
        </w:rPr>
        <w:t>in</w:t>
      </w:r>
      <w:r>
        <w:rPr>
          <w:sz w:val="20"/>
          <w:szCs w:val="20"/>
          <w:color w:val="auto"/>
        </w:rPr>
        <w:tab/>
      </w:r>
      <w:r>
        <w:rPr>
          <w:rFonts w:ascii="Arial" w:cs="Arial" w:eastAsia="Arial" w:hAnsi="Arial"/>
          <w:sz w:val="17"/>
          <w:szCs w:val="17"/>
          <w:color w:val="auto"/>
        </w:rPr>
        <w:t>.</w:t>
      </w:r>
    </w:p>
    <w:p>
      <w:pPr>
        <w:sectPr>
          <w:pgSz w:w="11900" w:h="16838" w:orient="portrait"/>
          <w:cols w:equalWidth="0" w:num="1">
            <w:col w:w="11160"/>
          </w:cols>
          <w:pgMar w:left="320" w:top="448" w:right="419" w:bottom="1440" w:gutter="0" w:footer="0" w:header="0"/>
          <w:type w:val="continuous"/>
        </w:sectPr>
      </w:pPr>
    </w:p>
    <w:p>
      <w:pPr>
        <w:spacing w:after="0" w:line="8" w:lineRule="exact"/>
        <w:rPr>
          <w:sz w:val="20"/>
          <w:szCs w:val="20"/>
          <w:color w:val="auto"/>
        </w:rPr>
      </w:pPr>
    </w:p>
    <w:p>
      <w:pPr>
        <w:jc w:val="both"/>
        <w:ind w:left="880" w:right="20" w:hanging="432"/>
        <w:spacing w:after="0" w:line="277" w:lineRule="auto"/>
        <w:tabs>
          <w:tab w:leader="none" w:pos="880" w:val="left"/>
        </w:tabs>
        <w:numPr>
          <w:ilvl w:val="0"/>
          <w:numId w:val="74"/>
        </w:numPr>
        <w:rPr>
          <w:rFonts w:ascii="MS PGothic" w:cs="MS PGothic" w:eastAsia="MS PGothic" w:hAnsi="MS PGothic"/>
          <w:sz w:val="11"/>
          <w:szCs w:val="11"/>
          <w:color w:val="auto"/>
        </w:rPr>
      </w:pPr>
      <w:r>
        <w:rPr>
          <w:rFonts w:ascii="Arial" w:cs="Arial" w:eastAsia="Arial" w:hAnsi="Arial"/>
          <w:sz w:val="15"/>
          <w:szCs w:val="15"/>
          <w:i w:val="1"/>
          <w:iCs w:val="1"/>
          <w:color w:val="auto"/>
        </w:rPr>
        <w:t xml:space="preserve">Rapidly advance the clinical development of KER-047 for the treatment of genetically-defined anemias and musculoskeletal disorders where heterotopic ossification leads to devastating immobility. </w:t>
      </w:r>
      <w:r>
        <w:rPr>
          <w:rFonts w:ascii="Arial" w:cs="Arial" w:eastAsia="Arial" w:hAnsi="Arial"/>
          <w:sz w:val="15"/>
          <w:szCs w:val="15"/>
          <w:color w:val="auto"/>
        </w:rPr>
        <w:t>We are conducting a Phase 1 clinical trial in healthy volunteers to evaluate the safety</w:t>
      </w:r>
    </w:p>
    <w:p>
      <w:pPr>
        <w:sectPr>
          <w:pgSz w:w="11900" w:h="16838" w:orient="portrait"/>
          <w:cols w:equalWidth="0" w:num="1">
            <w:col w:w="11160"/>
          </w:cols>
          <w:pgMar w:left="320" w:top="448" w:right="419" w:bottom="1440" w:gutter="0" w:footer="0" w:header="0"/>
          <w:type w:val="continuous"/>
        </w:sectPr>
      </w:pPr>
    </w:p>
    <w:p>
      <w:pPr>
        <w:ind w:left="880" w:right="20"/>
        <w:spacing w:after="0" w:line="224" w:lineRule="auto"/>
        <w:rPr>
          <w:sz w:val="20"/>
          <w:szCs w:val="20"/>
          <w:color w:val="auto"/>
        </w:rPr>
      </w:pPr>
      <w:r>
        <w:rPr>
          <w:rFonts w:ascii="Arial" w:cs="Arial" w:eastAsia="Arial" w:hAnsi="Arial"/>
          <w:sz w:val="17"/>
          <w:szCs w:val="17"/>
          <w:color w:val="auto"/>
        </w:rPr>
        <w:t>and pharmacokinetic profiles of KER-047 and select biomarkers of iron mobilization. We expect to report data from this trial in . We expect to commence a Phase 2 clinical trial in patients with IRIDA and a Phase 2 clinical trial in patients with FOP in . We also</w:t>
      </w:r>
    </w:p>
    <w:p>
      <w:pPr>
        <w:sectPr>
          <w:pgSz w:w="11900" w:h="16838" w:orient="portrait"/>
          <w:cols w:equalWidth="0" w:num="1">
            <w:col w:w="11160"/>
          </w:cols>
          <w:pgMar w:left="320" w:top="448" w:right="419" w:bottom="1440" w:gutter="0" w:footer="0" w:header="0"/>
          <w:type w:val="continuous"/>
        </w:sectPr>
      </w:pPr>
    </w:p>
    <w:p>
      <w:pPr>
        <w:spacing w:after="0" w:line="1" w:lineRule="exact"/>
        <w:rPr>
          <w:sz w:val="20"/>
          <w:szCs w:val="20"/>
          <w:color w:val="auto"/>
        </w:rPr>
      </w:pPr>
    </w:p>
    <w:p>
      <w:pPr>
        <w:ind w:left="880" w:right="120"/>
        <w:spacing w:after="0" w:line="224" w:lineRule="auto"/>
        <w:rPr>
          <w:sz w:val="20"/>
          <w:szCs w:val="20"/>
          <w:color w:val="auto"/>
        </w:rPr>
      </w:pPr>
      <w:r>
        <w:rPr>
          <w:rFonts w:ascii="Arial" w:cs="Arial" w:eastAsia="Arial" w:hAnsi="Arial"/>
          <w:sz w:val="17"/>
          <w:szCs w:val="17"/>
          <w:color w:val="auto"/>
        </w:rPr>
        <w:t>intend to develop KER-047 as a potential treatment option for patients who manifest anemia caused by high hepcidin levels as a secondary consequence of more common diseases.</w:t>
      </w:r>
    </w:p>
    <w:p>
      <w:pPr>
        <w:spacing w:after="0" w:line="7" w:lineRule="exact"/>
        <w:rPr>
          <w:sz w:val="20"/>
          <w:szCs w:val="20"/>
          <w:color w:val="auto"/>
        </w:rPr>
      </w:pPr>
    </w:p>
    <w:p>
      <w:pPr>
        <w:ind w:left="880" w:hanging="432"/>
        <w:spacing w:after="0" w:line="267" w:lineRule="auto"/>
        <w:tabs>
          <w:tab w:leader="none" w:pos="880" w:val="left"/>
        </w:tabs>
        <w:numPr>
          <w:ilvl w:val="0"/>
          <w:numId w:val="75"/>
        </w:numPr>
        <w:rPr>
          <w:rFonts w:ascii="MS PGothic" w:cs="MS PGothic" w:eastAsia="MS PGothic" w:hAnsi="MS PGothic"/>
          <w:sz w:val="11"/>
          <w:szCs w:val="11"/>
          <w:color w:val="auto"/>
        </w:rPr>
      </w:pPr>
      <w:r>
        <w:rPr>
          <w:rFonts w:ascii="Arial" w:cs="Arial" w:eastAsia="Arial" w:hAnsi="Arial"/>
          <w:sz w:val="15"/>
          <w:szCs w:val="15"/>
          <w:i w:val="1"/>
          <w:iCs w:val="1"/>
          <w:color w:val="auto"/>
        </w:rPr>
        <w:t xml:space="preserve">Pursue development and, if approved, commercialization of our product candidates in indications and regions where we believe we can maximize their value independently or through strategic collaborations. </w:t>
      </w:r>
      <w:r>
        <w:rPr>
          <w:rFonts w:ascii="Arial" w:cs="Arial" w:eastAsia="Arial" w:hAnsi="Arial"/>
          <w:sz w:val="15"/>
          <w:szCs w:val="15"/>
          <w:color w:val="auto"/>
        </w:rPr>
        <w:t>We plan to independently advance our product candidates in</w:t>
      </w:r>
      <w:r>
        <w:rPr>
          <w:rFonts w:ascii="Arial" w:cs="Arial" w:eastAsia="Arial" w:hAnsi="Arial"/>
          <w:sz w:val="15"/>
          <w:szCs w:val="15"/>
          <w:i w:val="1"/>
          <w:iCs w:val="1"/>
          <w:color w:val="auto"/>
        </w:rPr>
        <w:t xml:space="preserve"> </w:t>
      </w:r>
      <w:r>
        <w:rPr>
          <w:rFonts w:ascii="Arial" w:cs="Arial" w:eastAsia="Arial" w:hAnsi="Arial"/>
          <w:sz w:val="15"/>
          <w:szCs w:val="15"/>
          <w:color w:val="auto"/>
        </w:rPr>
        <w:t>indications and regions that we believe have clearly defined regulatory paths and commercialization strategies. We intend to opportunistically evaluate strategic collaborations to maximize the potential commercial value of our product candidates and discovery programs.</w:t>
      </w:r>
    </w:p>
    <w:p>
      <w:pPr>
        <w:spacing w:after="0" w:line="2" w:lineRule="exact"/>
        <w:rPr>
          <w:rFonts w:ascii="MS PGothic" w:cs="MS PGothic" w:eastAsia="MS PGothic" w:hAnsi="MS PGothic"/>
          <w:sz w:val="11"/>
          <w:szCs w:val="11"/>
          <w:color w:val="auto"/>
        </w:rPr>
      </w:pPr>
    </w:p>
    <w:p>
      <w:pPr>
        <w:ind w:left="880" w:right="160" w:hanging="432"/>
        <w:spacing w:after="0" w:line="234" w:lineRule="auto"/>
        <w:tabs>
          <w:tab w:leader="none" w:pos="880" w:val="left"/>
        </w:tabs>
        <w:numPr>
          <w:ilvl w:val="0"/>
          <w:numId w:val="75"/>
        </w:numPr>
        <w:rPr>
          <w:rFonts w:ascii="MS PGothic" w:cs="MS PGothic" w:eastAsia="MS PGothic" w:hAnsi="MS PGothic"/>
          <w:sz w:val="12"/>
          <w:szCs w:val="12"/>
          <w:color w:val="auto"/>
        </w:rPr>
      </w:pPr>
      <w:r>
        <w:rPr>
          <w:rFonts w:ascii="Arial" w:cs="Arial" w:eastAsia="Arial" w:hAnsi="Arial"/>
          <w:sz w:val="17"/>
          <w:szCs w:val="17"/>
          <w:i w:val="1"/>
          <w:iCs w:val="1"/>
          <w:color w:val="auto"/>
        </w:rPr>
        <w:t xml:space="preserve">Leverage our proprietary discovery approach and knowledge base to develop new therapeutics. </w:t>
      </w:r>
      <w:r>
        <w:rPr>
          <w:rFonts w:ascii="Arial" w:cs="Arial" w:eastAsia="Arial" w:hAnsi="Arial"/>
          <w:sz w:val="17"/>
          <w:szCs w:val="17"/>
          <w:color w:val="auto"/>
        </w:rPr>
        <w:t>Our discovery efforts are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expanding our pipeline of wholly-owned assets for the treatment of hematological and musculoskeletal diseases. Accordingly, we intend to identify and develop product candidates to treat diseases where targeting the TGF-ß signaling pathways has clinical validation or biological rationale.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Hematology Program</w:t>
      </w:r>
    </w:p>
    <w:p>
      <w:pPr>
        <w:spacing w:after="0" w:line="82" w:lineRule="exact"/>
        <w:rPr>
          <w:sz w:val="20"/>
          <w:szCs w:val="20"/>
          <w:color w:val="auto"/>
        </w:rPr>
      </w:pPr>
    </w:p>
    <w:p>
      <w:pPr>
        <w:ind w:right="680"/>
        <w:spacing w:after="0" w:line="233" w:lineRule="auto"/>
        <w:rPr>
          <w:sz w:val="20"/>
          <w:szCs w:val="20"/>
          <w:color w:val="auto"/>
        </w:rPr>
      </w:pPr>
      <w:r>
        <w:rPr>
          <w:rFonts w:ascii="Arial" w:cs="Arial" w:eastAsia="Arial" w:hAnsi="Arial"/>
          <w:sz w:val="17"/>
          <w:szCs w:val="17"/>
          <w:color w:val="auto"/>
        </w:rPr>
        <w:t>Our two lead product candidates, KER-050 and KER-047, are designed to target TGF-ß signaling pathways to address diseases that arise from ineffective hematopoiesis as well as anemias that result from elevated levels of hepcidin.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Hematopoiesis</w:t>
      </w:r>
    </w:p>
    <w:p>
      <w:pPr>
        <w:spacing w:after="0" w:line="46"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The primary cellular components of blood are red blood cells, white blood cells and platelets. The function of red blood cells is to distribute oxygen to tissues throughout the body and to carry waste carbon dioxide back to the lungs. White blood cells are responsible for the immune response through coordinated surveillance and targeting of pathogens, infected or aberrant cells and cell debris. Platelets are a key component of the coagulation system and are responsible for stopping bleeding by forming a blood clot.</w:t>
      </w:r>
    </w:p>
    <w:p>
      <w:pPr>
        <w:spacing w:after="0" w:line="145"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Hematopoiesis is the production of red blood cells, white blood cells and platelets from common progenitor stem cells, or progenitor cells. This process begins when a hematopoietic progenitor cell becomes committed to a specific cellular lineage. These cells progress through a series of intermediate stages before becoming a mature cell with a specialized function. At any given time, pools of each progenitor cell are maintained and primed to rapidly respond to a reduction of red blood cells, white blood cells and platelets. The graphic below depicts the stages of hematopoiesis for red blood cells and platelets.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60"/>
          </w:cols>
          <w:pgMar w:left="320" w:top="448" w:right="419" w:bottom="1440" w:gutter="0" w:footer="0" w:header="0"/>
          <w:type w:val="continuous"/>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Stages of Hematopoiesis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163830</wp:posOffset>
            </wp:positionV>
            <wp:extent cx="5014595" cy="25031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1459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TGF-ß signaling pathways involving activins prevent differentiation in order to maintain progenitor cells in a quiescent state while others involving BMPs promote differentiation of progenitor cells. Homeostasis of this process is essential to ensure all cell types are properly replenished in the blood.</w:t>
      </w:r>
    </w:p>
    <w:p>
      <w:pPr>
        <w:spacing w:after="0" w:line="107"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 many hematological disorders, there is abnormal proliferation and differentiation of the progenitor cells for red blood cells, platelets and neutrophils. This failure to produce fully mature cells is termed ineffective hematopoiesis, and may be due to single or multiple defects that can lead to a hyperproliferation or a shortage of progenitor cells. These changes have clinical consequences: a lack of red blood cells leads to anemia, a lack of platelets hampers clotting, resulting in increased incidence of bleeding events, and a lack of neutrophils increases susceptibility to infection. The failure of progenitor cells to differentiate can also lead to a build-up of these cells, resulting in bone marrow failure and fibrotic disease. The graphic below provides an illustration of the difference in the number of progenitor cells and mature bloods cells that are produced in normal hematopoiesis and in ineffective hematopoiesis.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5014595" cy="1169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4595" cy="116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Another critical component in red blood cell development is the production of hemoglobin, an iron-containing protein that delivers oxygen to cells and removes carbon dioxide. The synthesis of hemoglobin requires that sufficient levels of iron are present in the bone marrow and if iron levels are too low, it can result in a failure to produce sufficient numbers of red blood cells. Anemia is a common consequence of diseases where normal iron mobilization is hindered.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KER-050: For the Treatment of Ineffective Hematopoiesis to Address Cytopenias</w:t>
      </w:r>
    </w:p>
    <w:p>
      <w:pPr>
        <w:spacing w:after="0" w:line="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are developing KER-050, our lead protein therapeutic product candidate, for the treatment of cytopenias that occur due to ineffective hematopoiesis, including anemia and thrombocytopenia, in patients with MDS and in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80"/>
          </w:cols>
          <w:pgMar w:left="320" w:top="448" w:right="3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patients with myelofibrosis. KER-050 is designed to benefit patients suffering from defects in red blood cell and platelet differentiation and maturation across the spectrum from early through terminal stages of hematopoiesis. Consequently, KER-050 may be effective for many patients that have limited treatment options or are refractory to available therapies.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Myelodysplastic Syndromes</w:t>
      </w:r>
    </w:p>
    <w:p>
      <w:pPr>
        <w:spacing w:after="0" w:line="31"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Myelodysplastic syndromes, or MDS, is a collection of bone marrow disorders characterized by ineffective hematopoiesis, often with a dramatic expansion of progenitor cells that are unable to mature into functioning blood cells. In the United States, there are 60,000 to 170,000 patients with MDS and 15,000 to 20,000 new cases of MDS reported each year. MDS predominantly affects older adults, with approximately 75% of patients aged 60 years or older at diagnosis. Median survival ranges from approximately nine years for very low-risk patients to less than a year for high-risk patients.</w:t>
      </w:r>
    </w:p>
    <w:p>
      <w:pPr>
        <w:spacing w:after="0" w:line="12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Cytopenias in MDS are caused by defects occurring across the various stages of hematopoiesis, from the self-renewal of progenitor cells to differentiation in early through terminal stages. Anemia is the most frequent consequence of ineffective hematopoiesis in patients with MDS due to low red blood cell production, and impacts 90% of MDS patients, with approximately 40% becoming transfusion dependent. Another consequence is thrombocytopenia, a deficiency of platelets in the blood, which is impaired blood clotting that can cause bleeding. The prevalence of thrombocytopenia in patients with MDS has been reported at 40% to 65%. A deficiency of neutrophils in the blood, or neutropenia, also increases the risk of serious infections in patients with MDS.</w:t>
      </w:r>
    </w:p>
    <w:p>
      <w:pPr>
        <w:spacing w:after="0" w:line="144"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To guide decisions on risk stratification and the treatment of patients with MDS, clinicians typically use the International Prognostic Scoring System-Revised, or the IPSS-R. The IPSS-R incorporates information on bone marrow blast percentage, karyotype and presence and severity of cytopenias in order to classify patients with MDS into groups based on the risk of progression to acute myeloid leukemia, ranging from very low-risk to high-risk. Patients are further classified into high transfusion burden and low transfusion burden categories based on the number of units of transfused red blood cells they receive.</w:t>
      </w:r>
    </w:p>
    <w:p>
      <w:pPr>
        <w:spacing w:after="0" w:line="14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 xml:space="preserve">A second classification system is the World Health Organization, or WHO, system, which is based on a combination of morphology, immunophenotype, genetics and clinical features. The WHO classification system includes a subgroup of patients with MDS that show the presence of iron deposits around the mitochondria, known as ring sideroblasts. These patients are commonly referred to as RS positive and comprise approximately 15% of all patients with MDS, and splicing factor mutations, such as </w:t>
      </w:r>
      <w:r>
        <w:rPr>
          <w:rFonts w:ascii="Arial" w:cs="Arial" w:eastAsia="Arial" w:hAnsi="Arial"/>
          <w:sz w:val="17"/>
          <w:szCs w:val="17"/>
          <w:i w:val="1"/>
          <w:iCs w:val="1"/>
          <w:color w:val="auto"/>
        </w:rPr>
        <w:t>SF3B1</w:t>
      </w:r>
      <w:r>
        <w:rPr>
          <w:rFonts w:ascii="Arial" w:cs="Arial" w:eastAsia="Arial" w:hAnsi="Arial"/>
          <w:sz w:val="17"/>
          <w:szCs w:val="17"/>
          <w:color w:val="auto"/>
        </w:rPr>
        <w:t>, are highly correlated with these patients. Patients with splicing factor mutations often have been observed to have defects in the differentiation of red blood cells at the terminal stage.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Limitations of Current Treatment Options for Cytopenias in Patients with MDS</w:t>
      </w:r>
    </w:p>
    <w:p>
      <w:pPr>
        <w:spacing w:after="0" w:line="31" w:lineRule="exact"/>
        <w:rPr>
          <w:sz w:val="20"/>
          <w:szCs w:val="20"/>
          <w:color w:val="auto"/>
        </w:rPr>
      </w:pPr>
    </w:p>
    <w:p>
      <w:pPr>
        <w:ind w:right="400"/>
        <w:spacing w:after="0" w:line="289" w:lineRule="auto"/>
        <w:rPr>
          <w:sz w:val="20"/>
          <w:szCs w:val="20"/>
          <w:color w:val="auto"/>
        </w:rPr>
      </w:pPr>
      <w:r>
        <w:rPr>
          <w:rFonts w:ascii="Arial" w:cs="Arial" w:eastAsia="Arial" w:hAnsi="Arial"/>
          <w:sz w:val="15"/>
          <w:szCs w:val="15"/>
          <w:color w:val="auto"/>
        </w:rPr>
        <w:t>Patients with MDS-associated anemia are generally treated with red blood cell transfusions and erythroid stimulating agents, or ESAs, which are not approved for such treatment. The treatment of MDS-associated thrombocytopenia is platelet transfusions and platelet-stimulating agents.</w:t>
      </w:r>
    </w:p>
    <w:p>
      <w:pPr>
        <w:spacing w:after="0" w:line="10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Severe cytopenia and transfusion dependence are independent predictors of poor prognosis for patients with MDS and are inversely correlated with quality of life. Red blood cell and platelet transfusions provide temporary benefits to patients with MDS, but are associated with both acute and chronic health risks, including risk of bacterial infection and allergic reactions to the donor blood, and place a significant burden on both the patient and the healthcare system. Red blood cell transfusions are also associated with iron overload, which can lead to organ dysfunction over time. Additionally, the benefit from a platelet transfusion is typically short-lived and availability is limited. Platelet-stimulating agents for the treatment of thrombocytopenia, which are not currently indicated for MDS, carry the risk of thromboembolic events and bone marrow fibrosis.</w:t>
      </w:r>
    </w:p>
    <w:p>
      <w:pPr>
        <w:spacing w:after="0" w:line="14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ESAs are a class of drugs that work on the proliferation stage of red blood cell development by expanding the pool of early-stage progenitor cells. While ESAs have been shown to alleviate anemia in a subset of patients with MDS, patients that have elevated endogenous erythropoietin levels are unlikely to respond. In two controlled Phase 3 clinical trials evaluating darbepoetin alfa (Aranesp) for the treatment of MDS-associated anemia, 15% to 31% of patients responded. However, this response was limited to patients with mildly elevated endogenous erythropoietin levels and to patients who largely did not require regular red blood cell transfusions. These treatment options also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320" w:top="448" w:right="3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represent a significant burden to patients, as they must be administered up to three times a week. Additionally, the effect of ESAs is limited to the red blood cell lineage and, therefore, ESAs only treat MDS-associated anemia and do not provide benefit to cytopenia of other cell lineages, including thrombocytopenia and neutropenia.</w:t>
      </w:r>
    </w:p>
    <w:p>
      <w:pPr>
        <w:spacing w:after="0" w:line="143"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 xml:space="preserve">Reblozyl, a TGF-ß-based erythroid maturation agent, is designed to promote the terminal differentiation of red blood cells through inhibition of selected endogenous TGF-ß superfamily ligands. The characteristics of response were defined in a Phase 2 clinical trial of Reblozyl in patients with MDS. Consistent with the mechanism of Reblozyl on the terminal stages of erythropoiesis, the majority of responders were determined to have an </w:t>
      </w:r>
      <w:r>
        <w:rPr>
          <w:rFonts w:ascii="Arial" w:cs="Arial" w:eastAsia="Arial" w:hAnsi="Arial"/>
          <w:sz w:val="17"/>
          <w:szCs w:val="17"/>
          <w:i w:val="1"/>
          <w:iCs w:val="1"/>
          <w:color w:val="auto"/>
        </w:rPr>
        <w:t>SF3B1</w:t>
      </w:r>
      <w:r>
        <w:rPr>
          <w:rFonts w:ascii="Arial" w:cs="Arial" w:eastAsia="Arial" w:hAnsi="Arial"/>
          <w:sz w:val="17"/>
          <w:szCs w:val="17"/>
          <w:color w:val="auto"/>
        </w:rPr>
        <w:t xml:space="preserve"> splicing factor mutation. Additionally, the responders were characterized as having elevated erythroid progenitor cells in the bone marrow, while patients with lower levels of erythroid progenitor cells in the bone marrow did not achieve hematological improvement. We believe this indicates that Reblozyl is limited to its effect on terminal differentiation of erythropoiesis and does not affect the early stages of differentiation.</w:t>
      </w:r>
    </w:p>
    <w:p>
      <w:pPr>
        <w:spacing w:after="0" w:line="144"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Based on these Phase 2 results, a Phase 3 clinical trial of Reblozyl was conducted in RS positive, very low- to intermediate-risk patients with MDS. This trial included both patients with low transfusion dependence requiring fewer than four units of red blood cells over eight weeks and patients with high transfusion dependence requiring four or more units of red blood cells over eight weeks. In this trial, 37.9% of the RS positive patients treated with Reblozyl achieved the primary endpoint of transfusion independence, compared to 13.2% of patients that received placebo. The highest proportion of responders to Reblozyl were those with low transfusion dependence, while only a few high transfusion burden patients achieved transfusion independence despite being RS positive patients. Accordingly, we believe an unmet need remains in RS positive patients with high transfusion dependence.</w:t>
      </w:r>
    </w:p>
    <w:p>
      <w:pPr>
        <w:spacing w:after="0" w:line="147" w:lineRule="exact"/>
        <w:rPr>
          <w:sz w:val="20"/>
          <w:szCs w:val="20"/>
          <w:color w:val="auto"/>
        </w:rPr>
      </w:pPr>
    </w:p>
    <w:p>
      <w:pPr>
        <w:jc w:val="both"/>
        <w:ind w:right="40"/>
        <w:spacing w:after="0" w:line="271" w:lineRule="auto"/>
        <w:rPr>
          <w:sz w:val="20"/>
          <w:szCs w:val="20"/>
          <w:color w:val="auto"/>
        </w:rPr>
      </w:pPr>
      <w:r>
        <w:rPr>
          <w:rFonts w:ascii="Arial" w:cs="Arial" w:eastAsia="Arial" w:hAnsi="Arial"/>
          <w:sz w:val="15"/>
          <w:szCs w:val="15"/>
          <w:color w:val="auto"/>
        </w:rPr>
        <w:t>The results of the Phase 2 and Phase 3 clinical trials suggest that Reblozyl, if approved, will be limited to the treatment of RS positive patients with MDS. Accordingly, we believe that additional treatment options will be needed to address anemia in the heterogeneous non-ring sideroblast MDS population, to provide clinical benefit to the RS positive population regardless of transfusion burden and to address other cytopenias, such as thrombocytopenia.</w:t>
      </w:r>
    </w:p>
    <w:p>
      <w:pPr>
        <w:spacing w:after="0" w:line="121"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KER-050 is designed to alter TGF-ß signaling pathways at multiple stages of hematopoietic differentiation in both red blood cells and platelets. Consequently, we believe KER-050 has the potential to provide therapeutic benefit in a broader subset of patients with MDS that have varying defects in commitment, differentiation and maturation of multiple cell types found in blood.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Myelofibrosis</w:t>
      </w:r>
    </w:p>
    <w:p>
      <w:pPr>
        <w:spacing w:after="0" w:line="31"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Myelofibrosis is a group of rare cancers of the bone marrow in which the marrow is replaced by scar tissue and is not able to produce healthy blood cells. Myelofibrosis is characterized by ineffective hematopoiesis, an enlarged spleen, bone marrow fibrosis and shortened survival. Patients often experience multiple disease-associated and treatment-emergent cytopenias, including anemia and thrombocytopenia.</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The ineffective hematopoiesis in myelofibrosis is driven by molecular abnormalities in the Janus kinase 2, or JAK2, -signal transducers and activators of transcription, or JAK-STAT, signaling pathway of transcriptional activators. Specifically, JAK2 activation leads to proliferation of red blood cell progenitors and platelet progenitors, or megakaryocytes, that fail to mature to platelets. Additionally, megakaryocyte dysplasia/hyperplasia has been implicated in inducing bone marrow fibrosis in patients with myelofibrosis. The inability of megakaryocytes to fully differentiate leads to the release of pro-inflammatory and pro-fibrotic factors that results in scarring of the bone marrow, which further exacerbates the myelofibrosis-associated cytopenias.</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Myelofibrosis is a relatively rare condition with an identified prevalence of 16,000 to 18,500 patients in the United States and a median age at diagnosis of approximately 60 years. Currently, there are limited therapeutic options to address the myelofibrosis-associated cytopenias. Within a year of diagnosis, 38% of patients with myelofibrosis are red blood cell transfusion dependent and eventually nearly all will develop transfusion dependence.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Limitations of Current Treatment Options for Cytopenias in Patients with Myelofibrosis</w:t>
      </w:r>
    </w:p>
    <w:p>
      <w:pPr>
        <w:spacing w:after="0" w:line="3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There are no approved pharmacological treatments for myelofibrosis-associated cytopenias. The National Comprehensive Cancer Network describes all therapeutic options to address myelofibrosis-associated cytopenias, including transfusions, as only minimally effective.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00"/>
          </w:cols>
          <w:pgMar w:left="320" w:top="448" w:right="3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Currently approved products for the treatment of myelofibrosis, including JAK inhibitors ruxolitinib (Jakafi) and fedratinib (Inrebic), have been observed to exacerbate myelofibrosis-associated cytopenias. In a Phase 3 clinical trial of Jakafi and a Phase 3 clinical trial of Inrebic, treatment led to significant reductions in spleen volume and improvement in total symptom scores. However, JAK inhibitors interfere with normal hematopoiesis and treatment with Jakafi and Inrebic also resulted in clinically significant anemia and thrombocytopenia in these Phase 3 trials. Grade 3 or higher adverse events of anemia and thrombocytopenia were observed in approximately 34% and 12%, respectively, of patients evaluated in the Phase 3 clinical trial of Inrebic. The treatment-related cytopenias led to severe complications, dose reductions and reduced compliance.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believe KER-050 has the potential to ameliorate myelofibrosis-associated cytopenias.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Solution: KER-050</w:t>
      </w:r>
    </w:p>
    <w:p>
      <w:pPr>
        <w:spacing w:after="0" w:line="31"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KER-050 is a ligand trap comprised of a modified ligand-binding domain of ActRIIA that is fused to the portion of the human antibody known as the Fc domain. KER-050 is designed to bind and inhibit signaling of TGF-ß ligands involved in the regulation of hematopoiesis, resulting in increased red blood cell and platelet production. Combined data from our preclinical studies and our Phase 1 clinical trial demonstrate that treatment with KER-050 increased red blood cell and platelet production. These data indicate that KER-050 is differentiated from available therapies because it appears to have both sustained and rapid effects on multiple cellular lineages in the hematopoietic pathway. We believe KER-050’s promotion of differentiation of early- and terminal-stage progenitor cells contributes to these sustained and rapid effects, respectively, and consequently, KER-050 may be effective for many patients that are refractory to available therapies and may potentially provide benefit in multiple cytopenias simultaneously.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Mechanism of Action of KER-050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14605</wp:posOffset>
            </wp:positionV>
            <wp:extent cx="5014595" cy="24123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14595"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spacing w:after="0" w:line="230" w:lineRule="auto"/>
        <w:rPr>
          <w:sz w:val="20"/>
          <w:szCs w:val="20"/>
          <w:color w:val="auto"/>
        </w:rPr>
      </w:pPr>
      <w:r>
        <w:rPr>
          <w:rFonts w:ascii="Arial" w:cs="Arial" w:eastAsia="Arial" w:hAnsi="Arial"/>
          <w:sz w:val="17"/>
          <w:szCs w:val="17"/>
          <w:color w:val="auto"/>
        </w:rPr>
        <w:t>We intend to develop KER-050 for the treatment of both MDS- and myelofibrosis-associated cytopenias. We believe KER-050 has the potential to overcome limitations of current treatment options for MDS- and myelofibrosis-associated cytopenias. We believe the potential advantages of KER-050 compared to current treatment options include:</w:t>
      </w:r>
    </w:p>
    <w:p>
      <w:pPr>
        <w:spacing w:after="0" w:line="164" w:lineRule="exact"/>
        <w:rPr>
          <w:sz w:val="20"/>
          <w:szCs w:val="20"/>
          <w:color w:val="auto"/>
        </w:rPr>
      </w:pPr>
    </w:p>
    <w:p>
      <w:pPr>
        <w:ind w:left="880" w:hanging="432"/>
        <w:spacing w:after="0" w:line="232" w:lineRule="auto"/>
        <w:tabs>
          <w:tab w:leader="none" w:pos="880" w:val="left"/>
        </w:tabs>
        <w:numPr>
          <w:ilvl w:val="0"/>
          <w:numId w:val="76"/>
        </w:numPr>
        <w:rPr>
          <w:rFonts w:ascii="MS PGothic" w:cs="MS PGothic" w:eastAsia="MS PGothic" w:hAnsi="MS PGothic"/>
          <w:sz w:val="12"/>
          <w:szCs w:val="12"/>
          <w:color w:val="auto"/>
        </w:rPr>
      </w:pPr>
      <w:r>
        <w:rPr>
          <w:rFonts w:ascii="Arial" w:cs="Arial" w:eastAsia="Arial" w:hAnsi="Arial"/>
          <w:sz w:val="17"/>
          <w:szCs w:val="17"/>
          <w:i w:val="1"/>
          <w:iCs w:val="1"/>
          <w:color w:val="auto"/>
        </w:rPr>
        <w:t xml:space="preserve">Dual mechanism affecting both the early and terminal stages of erythropoiesis. </w:t>
      </w:r>
      <w:r>
        <w:rPr>
          <w:rFonts w:ascii="Arial" w:cs="Arial" w:eastAsia="Arial" w:hAnsi="Arial"/>
          <w:sz w:val="17"/>
          <w:szCs w:val="17"/>
          <w:color w:val="auto"/>
        </w:rPr>
        <w:t>Patients with MDS can have defects occurring anywhere</w:t>
      </w:r>
      <w:r>
        <w:rPr>
          <w:rFonts w:ascii="Arial" w:cs="Arial" w:eastAsia="Arial" w:hAnsi="Arial"/>
          <w:sz w:val="17"/>
          <w:szCs w:val="17"/>
          <w:i w:val="1"/>
          <w:iCs w:val="1"/>
          <w:color w:val="auto"/>
        </w:rPr>
        <w:t xml:space="preserve"> </w:t>
      </w:r>
      <w:r>
        <w:rPr>
          <w:rFonts w:ascii="Arial" w:cs="Arial" w:eastAsia="Arial" w:hAnsi="Arial"/>
          <w:sz w:val="17"/>
          <w:szCs w:val="17"/>
          <w:color w:val="auto"/>
        </w:rPr>
        <w:t>along the differentiation and maturation spectrum of erythropoiesis, and often have multiple mutations that cause ineffective erythropoiesis. By acting on cell types throughout the erythropoiesis pathway, KER-050 may lead to robust responses in RS positive patients who have a characteristic defect in terminal maturation, and may also address anemia in the broader MDS population that has defects in earlier-stage erythroid cell development.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48" w:right="3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880" w:right="200" w:hanging="432"/>
        <w:spacing w:after="0" w:line="237" w:lineRule="auto"/>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i w:val="1"/>
          <w:iCs w:val="1"/>
          <w:color w:val="auto"/>
        </w:rPr>
        <w:t xml:space="preserve">Increased platelet counts in blood. </w:t>
      </w:r>
      <w:r>
        <w:rPr>
          <w:rFonts w:ascii="Arial" w:cs="Arial" w:eastAsia="Arial" w:hAnsi="Arial"/>
          <w:sz w:val="17"/>
          <w:szCs w:val="17"/>
          <w:color w:val="auto"/>
        </w:rPr>
        <w:t>Ineffective hematopoiesis in patients with MDS and in patients with myelofibrosis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thrombocytopenia, which can lead to an increased risk of bleeding events. We believe treatment with KER-050 has the potential to address the MDS- and myelofibrosis-associated thrombocytopenia.</w:t>
      </w:r>
    </w:p>
    <w:p>
      <w:pPr>
        <w:spacing w:after="0" w:line="8" w:lineRule="exact"/>
        <w:rPr>
          <w:rFonts w:ascii="MS PGothic" w:cs="MS PGothic" w:eastAsia="MS PGothic" w:hAnsi="MS PGothic"/>
          <w:sz w:val="12"/>
          <w:szCs w:val="12"/>
          <w:color w:val="auto"/>
        </w:rPr>
      </w:pPr>
    </w:p>
    <w:p>
      <w:pPr>
        <w:ind w:left="880" w:hanging="432"/>
        <w:spacing w:after="0" w:line="234" w:lineRule="auto"/>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i w:val="1"/>
          <w:iCs w:val="1"/>
          <w:color w:val="auto"/>
        </w:rPr>
        <w:t xml:space="preserve">Reduced accumulation of progenitor cells. </w:t>
      </w:r>
      <w:r>
        <w:rPr>
          <w:rFonts w:ascii="Arial" w:cs="Arial" w:eastAsia="Arial" w:hAnsi="Arial"/>
          <w:sz w:val="17"/>
          <w:szCs w:val="17"/>
          <w:color w:val="auto"/>
        </w:rPr>
        <w:t>Ineffective hematopoiesis in patients with MDS and in patients with myelofibrosis can be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production of blood cell progenitors that are unable to complete differentiation and ultimately become mature blood cells. We believe treatment with KER-050 will stimulate these progenitors to progress to maturation, ameliorating the accumulation of these cells that lead to MDS- and myelofibrosis-associated cytopenias.</w:t>
      </w:r>
    </w:p>
    <w:p>
      <w:pPr>
        <w:spacing w:after="0" w:line="7" w:lineRule="exact"/>
        <w:rPr>
          <w:rFonts w:ascii="MS PGothic" w:cs="MS PGothic" w:eastAsia="MS PGothic" w:hAnsi="MS PGothic"/>
          <w:sz w:val="12"/>
          <w:szCs w:val="12"/>
          <w:color w:val="auto"/>
        </w:rPr>
      </w:pPr>
    </w:p>
    <w:p>
      <w:pPr>
        <w:ind w:left="880" w:right="40" w:hanging="432"/>
        <w:spacing w:after="0" w:line="237" w:lineRule="auto"/>
        <w:tabs>
          <w:tab w:leader="none" w:pos="880" w:val="left"/>
        </w:tabs>
        <w:numPr>
          <w:ilvl w:val="0"/>
          <w:numId w:val="77"/>
        </w:numPr>
        <w:rPr>
          <w:rFonts w:ascii="MS PGothic" w:cs="MS PGothic" w:eastAsia="MS PGothic" w:hAnsi="MS PGothic"/>
          <w:sz w:val="12"/>
          <w:szCs w:val="12"/>
          <w:color w:val="auto"/>
        </w:rPr>
      </w:pPr>
      <w:r>
        <w:rPr>
          <w:rFonts w:ascii="Arial" w:cs="Arial" w:eastAsia="Arial" w:hAnsi="Arial"/>
          <w:sz w:val="17"/>
          <w:szCs w:val="17"/>
          <w:i w:val="1"/>
          <w:iCs w:val="1"/>
          <w:color w:val="auto"/>
        </w:rPr>
        <w:t xml:space="preserve">Robust and sustained increase in red blood cells, hemoglobin and reticulocytes, supporting monthly or less frequent dosing. </w:t>
      </w:r>
      <w:r>
        <w:rPr>
          <w:rFonts w:ascii="Arial" w:cs="Arial" w:eastAsia="Arial" w:hAnsi="Arial"/>
          <w:sz w:val="17"/>
          <w:szCs w:val="17"/>
          <w:color w:val="auto"/>
        </w:rPr>
        <w:t>ESAs can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dosing up to three times a week. We believe that treatment with KER-050 has the potential to reduce the frequency of dosing to every four weeks or less frequently, thereby decreasing the burden on patients and potentially improving compliance.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Completed Phase 1 Clinical Trial</w:t>
      </w:r>
    </w:p>
    <w:p>
      <w:pPr>
        <w:spacing w:after="0" w:line="31" w:lineRule="exact"/>
        <w:rPr>
          <w:sz w:val="20"/>
          <w:szCs w:val="20"/>
          <w:color w:val="auto"/>
        </w:rPr>
      </w:pPr>
    </w:p>
    <w:p>
      <w:pPr>
        <w:jc w:val="both"/>
        <w:ind w:right="120"/>
        <w:spacing w:after="0" w:line="230" w:lineRule="auto"/>
        <w:rPr>
          <w:sz w:val="20"/>
          <w:szCs w:val="20"/>
          <w:color w:val="auto"/>
        </w:rPr>
      </w:pPr>
      <w:r>
        <w:rPr>
          <w:rFonts w:ascii="Arial" w:cs="Arial" w:eastAsia="Arial" w:hAnsi="Arial"/>
          <w:sz w:val="17"/>
          <w:szCs w:val="17"/>
          <w:color w:val="auto"/>
        </w:rPr>
        <w:t>In January 2020, we completed a randomized, double-blind, placebo-controlled, two-part, dose-escalation Phase 1 clinical trial of KER-050 in 48 healthy post-menopausal women. The primary endpoints of this trial were safety, tolerability and pharmacokinetics. We also investigated changes in hematology and bone biomarkers in this clinical trial.</w:t>
      </w:r>
    </w:p>
    <w:p>
      <w:pPr>
        <w:spacing w:after="0" w:line="143"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In Part 1 of this trial, 30 subjects received a single dose of KER-050 and eight subjects received a single dose of placebo, each administered subcutaneously with a 12-week safety follow-up. The subjects were enrolled in sequential single-ascending dose escalation cohorts of up to ten subjects each. In Part 2 of this trial, ten subjects received either KER-050 or placebo, randomized on a four-to-one basis, administered subcutaneously, on two occasions 28 days apart, with a 12-week safety follow-up after the second dose. In Part 2 of this trial, only one dose level was evaluated, as it was deemed to provide the necessary data, in addition to that from Part 1 of the trial, to inform the design of the Phase 2 clinical trials of KER-050 in patients with MDS and in patients with myelofibrosis. The trial design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302260</wp:posOffset>
            </wp:positionV>
            <wp:extent cx="4840605" cy="20307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40605" cy="203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Observed tolerability data</w:t>
      </w:r>
    </w:p>
    <w:p>
      <w:pPr>
        <w:spacing w:after="0" w:line="31"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KER-050 was well tolerated in Part 1 of this Phase 1 clinical trial at dose levels up to 4.5 mg/kg, the highest dose level tested. While one subject in the placebo group withdrew consent, there were no discontinuations due to treatment-related adverse events. No treatment-related serious adverse events were reported. The most common adverse events observed in subjects in this trial were headache, upper respiratory tract infection, nausea and, consistent with the mechanism of action of KER-050, increased hemoglobin and hypertension.</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Long half-life observed, potentially supporting monthly or less frequent dosing</w:t>
      </w:r>
    </w:p>
    <w:p>
      <w:pPr>
        <w:spacing w:after="0" w:line="31"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We observed that KER-050 drug levels were dose proportional in Part 1 of this trial, with a mean half-life of approximately 12 days. The half-life coupled with the pharmaocodynamic effect observed in the hematologic</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20"/>
          </w:cols>
          <w:pgMar w:left="320" w:top="448" w:right="3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parameters support the potential for administration of monthly or less frequent dosing, which we believe will decrease the burden on patients and improve compliance.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Rapid and sustained increases in mean reticulocyte counts, hemoglobin, red blood cell counts and platelet counts observed</w:t>
      </w:r>
    </w:p>
    <w:p>
      <w:pPr>
        <w:spacing w:after="0" w:line="31"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In Part 1 of this trial, we observed rapid and sustained increases in mean reticulocyte counts, hemoglobin, red blood cell counts and platelet counts. Consistent with the underlying biology, increases in reticulocytes were observed early with increases of hemoglobin following thereafter. Increases in reticulocytes were observed as early as Day 2 and reached a peak around Day 15. Increases in hemoglobin concentration were also observed as early as Day 2, reached a peak around Day 29 and remained elevated for several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120650</wp:posOffset>
            </wp:positionV>
            <wp:extent cx="5039995" cy="13512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39995" cy="135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We also observed a dose-dependent increase in the proportion of subjects with hemoglobin increases of 1.0 g/dL and 1.5 g/dL. We believe a 1.5 g/dL increase would be considered clinically meaningful in patients with low red blood cell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119380</wp:posOffset>
            </wp:positionV>
            <wp:extent cx="5893435" cy="1798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93435"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00"/>
          </w:cols>
          <w:pgMar w:left="320" w:top="448" w:right="3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ind w:right="40"/>
        <w:spacing w:after="0" w:line="230" w:lineRule="auto"/>
        <w:rPr>
          <w:sz w:val="20"/>
          <w:szCs w:val="20"/>
          <w:color w:val="auto"/>
        </w:rPr>
      </w:pPr>
      <w:r>
        <w:rPr>
          <w:rFonts w:ascii="Arial" w:cs="Arial" w:eastAsia="Arial" w:hAnsi="Arial"/>
          <w:sz w:val="17"/>
          <w:szCs w:val="17"/>
          <w:color w:val="auto"/>
        </w:rPr>
        <w:t>In addition to the changes in erythroid parameters, robust, dose-dependent increases in platelet count were observed after a single dose of KER-050. All subjects who received a 4.5 mg/kg dose of KER-050, the highest dose evaluated, demonstrated an increase of 30 x 10</w:t>
      </w:r>
      <w:r>
        <w:rPr>
          <w:rFonts w:ascii="Arial" w:cs="Arial" w:eastAsia="Arial" w:hAnsi="Arial"/>
          <w:sz w:val="14"/>
          <w:szCs w:val="14"/>
          <w:color w:val="auto"/>
        </w:rPr>
        <w:t>9</w:t>
      </w:r>
      <w:r>
        <w:rPr>
          <w:rFonts w:ascii="Arial" w:cs="Arial" w:eastAsia="Arial" w:hAnsi="Arial"/>
          <w:sz w:val="17"/>
          <w:szCs w:val="17"/>
          <w:color w:val="auto"/>
        </w:rPr>
        <w:t xml:space="preserve"> cells/L or greater at any point in the trial, which we believe would be considered clinically meaningful in patients with low platelet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119380</wp:posOffset>
            </wp:positionV>
            <wp:extent cx="2063750" cy="1574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63750" cy="157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believe the rapid onset and durability of increased hemoglobin and platelet count observed in Part 1 of our Phase 1 clinical trial supports the potential for a dual effect of KER-050 on both early-stage differentiation and terminal maturation.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Clinical Development Strategy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We expect to commence an open-label Phase 2 clinical trial evaluating the treatment of cytopenias, including anemia and thrombocytopenia, in patients</w:t>
      </w:r>
    </w:p>
    <w:p>
      <w:pPr>
        <w:spacing w:after="0" w:line="10" w:lineRule="exact"/>
        <w:rPr>
          <w:sz w:val="20"/>
          <w:szCs w:val="20"/>
          <w:color w:val="auto"/>
        </w:rPr>
      </w:pPr>
    </w:p>
    <w:p>
      <w:pPr>
        <w:ind w:right="560"/>
        <w:spacing w:after="0" w:line="233" w:lineRule="auto"/>
        <w:rPr>
          <w:sz w:val="20"/>
          <w:szCs w:val="20"/>
          <w:color w:val="auto"/>
        </w:rPr>
      </w:pPr>
      <w:r>
        <w:rPr>
          <w:rFonts w:ascii="Arial" w:cs="Arial" w:eastAsia="Arial" w:hAnsi="Arial"/>
          <w:sz w:val="17"/>
          <w:szCs w:val="17"/>
          <w:color w:val="auto"/>
        </w:rPr>
        <w:t>with very low-, low- or intermediate-risk MDS in . We also expect to commence an open-label Phase 2 clinical trial evaluating the treatment of patients with myelofibrosis-associated cytopenias in .</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Preclinical Data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KER-050 was observed to inhibit ligands that signal through activin receptors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assays, and to potently regulate hematopoiesis in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Specifically, KER-050 demonstrated in these studies:</w:t>
      </w:r>
    </w:p>
    <w:p>
      <w:pPr>
        <w:sectPr>
          <w:pgSz w:w="11900" w:h="16838" w:orient="portrait"/>
          <w:cols w:equalWidth="0" w:num="1">
            <w:col w:w="11180"/>
          </w:cols>
          <w:pgMar w:left="320" w:top="448" w:right="399" w:bottom="1440" w:gutter="0" w:footer="0" w:header="0"/>
        </w:sectPr>
      </w:pPr>
    </w:p>
    <w:p>
      <w:pPr>
        <w:spacing w:after="0" w:line="166" w:lineRule="exact"/>
        <w:rPr>
          <w:sz w:val="20"/>
          <w:szCs w:val="20"/>
          <w:color w:val="auto"/>
        </w:rPr>
      </w:pPr>
    </w:p>
    <w:p>
      <w:pPr>
        <w:ind w:left="90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high affinity for and potent inhibition of ligands involved in the regulation of hematopoiesis;</w:t>
      </w:r>
    </w:p>
    <w:p>
      <w:pPr>
        <w:spacing w:after="0" w:line="49" w:lineRule="exact"/>
        <w:rPr>
          <w:sz w:val="20"/>
          <w:szCs w:val="20"/>
          <w:color w:val="auto"/>
        </w:rPr>
      </w:pPr>
    </w:p>
    <w:p>
      <w:pPr>
        <w:sectPr>
          <w:pgSz w:w="11900" w:h="16838" w:orient="portrait"/>
          <w:cols w:equalWidth="0" w:num="2">
            <w:col w:w="960" w:space="360"/>
            <w:col w:w="9860"/>
          </w:cols>
          <w:pgMar w:left="320" w:top="448" w:right="39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increased red blood cell production in mice and non-human primates; and</w:t>
      </w:r>
    </w:p>
    <w:p>
      <w:pPr>
        <w:sectPr>
          <w:pgSz w:w="11900" w:h="16838" w:orient="portrait"/>
          <w:cols w:equalWidth="0" w:num="1">
            <w:col w:w="11180"/>
          </w:cols>
          <w:pgMar w:left="320" w:top="448" w:right="399" w:bottom="1440" w:gutter="0" w:footer="0" w:header="0"/>
          <w:type w:val="continuous"/>
        </w:sectPr>
      </w:pPr>
    </w:p>
    <w:p>
      <w:pPr>
        <w:spacing w:after="0" w:line="32" w:lineRule="exact"/>
        <w:rPr>
          <w:sz w:val="20"/>
          <w:szCs w:val="20"/>
          <w:color w:val="auto"/>
        </w:rPr>
      </w:pPr>
    </w:p>
    <w:p>
      <w:pPr>
        <w:ind w:left="90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increased maturation of early-stage erythroid progenitors.</w:t>
      </w:r>
    </w:p>
    <w:p>
      <w:pPr>
        <w:spacing w:after="0" w:line="71" w:lineRule="exact"/>
        <w:rPr>
          <w:sz w:val="20"/>
          <w:szCs w:val="20"/>
          <w:color w:val="auto"/>
        </w:rPr>
      </w:pPr>
    </w:p>
    <w:p>
      <w:pPr>
        <w:sectPr>
          <w:pgSz w:w="11900" w:h="16838" w:orient="portrait"/>
          <w:cols w:equalWidth="0" w:num="2">
            <w:col w:w="960" w:space="360"/>
            <w:col w:w="9860"/>
          </w:cols>
          <w:pgMar w:left="320" w:top="448" w:right="399" w:bottom="1440" w:gutter="0" w:footer="0" w:header="0"/>
          <w:type w:val="continuous"/>
        </w:sectPr>
      </w:pPr>
    </w:p>
    <w:p>
      <w:pPr>
        <w:ind w:left="460"/>
        <w:spacing w:after="0"/>
        <w:rPr>
          <w:sz w:val="20"/>
          <w:szCs w:val="20"/>
          <w:color w:val="auto"/>
        </w:rPr>
      </w:pPr>
      <w:r>
        <w:rPr>
          <w:rFonts w:ascii="Arial" w:cs="Arial" w:eastAsia="Arial" w:hAnsi="Arial"/>
          <w:sz w:val="17"/>
          <w:szCs w:val="17"/>
          <w:i w:val="1"/>
          <w:iCs w:val="1"/>
          <w:color w:val="auto"/>
        </w:rPr>
        <w:t>KER-050 observed to target ligands that signal through ActRIIA and ActRIIB</w:t>
      </w:r>
    </w:p>
    <w:p>
      <w:pPr>
        <w:spacing w:after="0" w:line="3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KER-050 is a modified ActRIIA ligand trap that contains sequences from both wild-type ActRIIA and wild-type activin receptor type IIB, or ActRIIB. KER-050 was observed to bind to and inhibit multiple ligands that signal through these cell surface receptors, including activin A, activin B and growth differentiation factor 11. These ligands are key regulators of hematopoiesis that restrict blood cell progenitors from continuing through differentiation and developing into mature cells with specialized function. The KER-050-mediated inhibition of these regulators stimulated the progenitors to progress to maturation and, consequently, increased the number of mature cells in the blood.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Mouse version of KER-050 observed to potently stimulate red blood cell parameters and to decrease the populations of erythroid progenitors</w:t>
      </w:r>
    </w:p>
    <w:p>
      <w:pPr>
        <w:spacing w:after="0" w:line="3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a preclinical study conducted in mice, a single, subcutaneous 10 mg/kg dose of a mouse version of KER-050, or RKER-050, increased red blood cell numbers, hematocrit and hemoglobin compared to vehicle-treated mice four days post-treatment. RKER-050 has been modified to have a murine Fc domain in place of the human Fc domain present in KER-050, in order to minimize results confounded by the development of anti-drug antibodies in mice treated with a human protein.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80"/>
          </w:cols>
          <w:pgMar w:left="320" w:top="448" w:right="399" w:bottom="1440" w:gutter="0" w:footer="0" w:header="0"/>
          <w:type w:val="continuous"/>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Increase in Red Blood Cells, Hematocrit and Hemoglobin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238760</wp:posOffset>
            </wp:positionV>
            <wp:extent cx="4832350" cy="18815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32350"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KER-050 also observed to increase red blood cells in non-human primates</w:t>
      </w:r>
    </w:p>
    <w:p>
      <w:pPr>
        <w:spacing w:after="0" w:line="3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We believe that our observations in preclinical studies of KER-050 in non-human primates indicate that the red blood cell effects of KER-050 also translated to higher-order species. In this study, cynomolgus monkeys received subcutaneous administration every other week for three months of either vehicle or doses of 3 mg/kg, 10 mg/kg or 50 mg/kg of KER-050. Hematology was measured at baseline and on Day 92. Red cell mass, including red blood cell number, hematocrit and hemoglobin were dose-dependently increased in the cohorts receiving KER-050. These data demonstrate the translatability of red blood cell, hematocrit and hemoglobin increases observed in preclinical studies of KER-050 from mice to non-human primates.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Increase in Red Blood Cells, Hematocrit and Hemoglobin in Cynomolgus Monkeys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14605</wp:posOffset>
            </wp:positionV>
            <wp:extent cx="4956810" cy="1417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56810"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RKER-050 also observed increase numbers of erythroid progenitors in mice</w:t>
      </w:r>
    </w:p>
    <w:p>
      <w:pPr>
        <w:spacing w:after="0" w:line="31" w:lineRule="exact"/>
        <w:rPr>
          <w:sz w:val="20"/>
          <w:szCs w:val="20"/>
          <w:color w:val="auto"/>
        </w:rPr>
      </w:pPr>
    </w:p>
    <w:p>
      <w:pPr>
        <w:jc w:val="both"/>
        <w:ind w:right="20"/>
        <w:spacing w:after="0" w:line="230" w:lineRule="auto"/>
        <w:rPr>
          <w:sz w:val="20"/>
          <w:szCs w:val="20"/>
          <w:color w:val="auto"/>
        </w:rPr>
      </w:pPr>
      <w:r>
        <w:rPr>
          <w:rFonts w:ascii="Arial" w:cs="Arial" w:eastAsia="Arial" w:hAnsi="Arial"/>
          <w:sz w:val="17"/>
          <w:szCs w:val="17"/>
          <w:color w:val="auto"/>
        </w:rPr>
        <w:t>To evaluate the mechanism of action of RKER-050 in erythropoiesis, we collected and analyzed bone marrow from RKER-050-treated mice for erythroid progenitors. We observed a RKER-050-mediated increase in the proerythroblast, or Pro-E, population in a flow cytometry analysis that used antibodies directed against cell surface markers to label-specific cell populations.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48" w:right="4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Increase in Overall Numbers of Proerythroblasts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14605</wp:posOffset>
            </wp:positionV>
            <wp:extent cx="1566545" cy="1450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66545" cy="145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rapid expansion of the Pro-E population also coincided with decreased numbers of erythroid burst-forming units and erythroid colony-forming units, the cells that give rise to Pro-E cells, which demonstrates that treatment with RKER-050 stimulated the erythroid burst-forming units and erythroid colony-forming units into erythroid differentiation. Since treatment with RKER-050 stimulated the earliest progenitors in the erythroid lineage to progress to maturation and increased the Pro-E pool, the first cells to start synthesis of hemoglobin, we believe KER-050 has the potential to affect the early stages of erythropoiesis.</w:t>
      </w:r>
    </w:p>
    <w:p>
      <w:pPr>
        <w:spacing w:after="0" w:line="142"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We believe that the findings from our preclinical studies and from our Phase 1 clinical trial of KER-050 in healthy post-menopausal women demonstrates the translation of biological action from rodents to humans. We also believe that data from our preclinical studies and clinical trials support that treatment with KER-050 has the potential to address ineffective hematopoiesis in diseases where multiple cytopenias arise from the blockage in progression of progenitor cells to mature blood cells, such as in MDS and myelofibrosis.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KER-047: For the Treatment of Anemia Arising from High Hepcidin Levels</w:t>
      </w:r>
    </w:p>
    <w:p>
      <w:pPr>
        <w:spacing w:after="0" w:line="33"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We are developing KER-047, our lead small molecule product candidate, for the treatment of anemia resulting from high hepcidin levels. We believe KER-047 is a potent and selective inhibitor of ALK2, a receptor whose excessive signaling is the underlying cause of the elevated hepcidin levels that lead to low iron bioavailability and anemia in a broad range of diseases. KER-047 is being evaluated in a Phase 1 clinical trial in healthy volunteers to evaluate the safety and pharmacokinetic profiles of KER-047 and select biomarkers of iron mobilization.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Hepcidin</w:t>
      </w:r>
    </w:p>
    <w:p>
      <w:pPr>
        <w:spacing w:after="0" w:line="3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Iron supply in the bone marrow is critical for erythropoiesis, as iron is an essential component of hemoglobin. Although iron is required for many functions in the body, including erythropoiesis, high iron levels are toxic, so circulating levels are regulated to avoid iron overload. To maintain this balance, absorption of dietary iron is tightly controlled and recycled iron is held in the liver and macrophages, which we refer to as the storage tissues, to be mobilized quickly when circulating iron levels are too low. These storage tissues also act to sequester away iron when levels are too high. Hepcidin, a hormone produced by the liver, is the key regulator of iron absorption and recycling, and controls both the recirculation of iron from storage tissues as well as the absorption of dietary iron from the intestine.</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Hepcidin levels are upregulated through activation of the ALK2 receptor, which is a BMP receptor belonging to the broader TGF-ß family of proteins. Hepcidin levels are tightly regulated by liver cells through BMP6 signaling via ALK2. High serum iron triggers the expression of BMP6, which then acts to increase hepcidin expression, resulting in iron sequestration, decreased iron absorption and reduced serum iron. A negative feedback loop prevents this system from shifting out of balance. The system is downregulated through the activity of matriptase-2, or MT-2, a cell surface protease, which is encoded by the TMPRSS6 gene. This protein reduces the ability of BMP6 to signal through ALK2. The below graphic illustrates a normal functioning of the negative feedback loop.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20"/>
          </w:cols>
          <w:pgMar w:left="320" w:top="448" w:right="3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Regulation of Iron in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14605</wp:posOffset>
            </wp:positionV>
            <wp:extent cx="3613785" cy="31000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13785" cy="310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Anemia Arising from High Hepcidin Levels, including IRIDA</w:t>
      </w:r>
    </w:p>
    <w:p>
      <w:pPr>
        <w:spacing w:after="0" w:line="31" w:lineRule="exact"/>
        <w:rPr>
          <w:sz w:val="20"/>
          <w:szCs w:val="20"/>
          <w:color w:val="auto"/>
        </w:rPr>
      </w:pPr>
    </w:p>
    <w:p>
      <w:pPr>
        <w:ind w:right="280"/>
        <w:spacing w:after="0" w:line="230" w:lineRule="auto"/>
        <w:rPr>
          <w:sz w:val="20"/>
          <w:szCs w:val="20"/>
          <w:color w:val="auto"/>
        </w:rPr>
      </w:pPr>
      <w:r>
        <w:rPr>
          <w:rFonts w:ascii="Arial" w:cs="Arial" w:eastAsia="Arial" w:hAnsi="Arial"/>
          <w:sz w:val="17"/>
          <w:szCs w:val="17"/>
          <w:color w:val="auto"/>
        </w:rPr>
        <w:t>Failure to suppress ALK2 signaling can result in elevated hepcidin levels, which are associated with decreased dietary iron absorption, increased iron sequestration in storage tissues and low iron bioavailability in the bone marrow. These effects culminate in a shortage of serum iron, which leads to insufficient red blood cell production that manifests as mild to moderate anemia.</w:t>
      </w:r>
    </w:p>
    <w:p>
      <w:pPr>
        <w:spacing w:after="0" w:line="143"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Proinflammatory cytokines can also result in inappropriately high ALK2 signaling, increased hepcidin expression and anemia. In patients with chronic inflammation, the sustained cytokine-mediated ALK2 activation translates to low serum iron and mild to moderate anemia driven by abnormally high hepcidin levels. Anemia of inflammation is the second most common cause of anemia worldwide. The prevalence of anemia varies among different inflammatory rheumatic diseases. In the United States, approximately 1,000,000 people older than age 65 suffer from diseases of chronic inflammation, including rheumatoid arthritis, systemic lupus erythematosus and ankylosing spondylitis. Anemia with high hepcidin levels has also been reported in patients with primary myelofibrosis.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High hepcidin levels can also be the result of genetic disease. Iron-refractory iron deficiency anemia, or IRIDA, is a rare, inherited form of iron deficiency anemia that results in loss of function of MT-2, resulting in elevated ALK2 signaling and high hepcidin levels. Patients with IRIDA have the typical symptoms of anemia, including fatigue, weakness and shortness of breath, in addition to other symptoms associated with low iron. These symptoms are most pronounced during childhood, although they tend to be mild.</w:t>
      </w:r>
    </w:p>
    <w:p>
      <w:pPr>
        <w:spacing w:after="0" w:line="14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prevalence of IRIDA worldwide is estimated to be less than one person in 1,000,000. IRIDA was first described in 1981 with the observation that patients with anemia were refractory to treatment with oral iron. However, the association of mutations in the TMPRSS6 gene with IRIDA was not identified until 2008, and genetic testing for IRIDA is not widely available. Furthermore, affected individuals usually have normal growth and development, so IRIDA is poorly diagnosed. All these factors contribute to an inability to accurately determine the prevalence of IRIDA.</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80"/>
          </w:cols>
          <w:pgMar w:left="320" w:top="448" w:right="39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Limitations of Current Treatment Options for Anemia Arising from High Hepcidin Levels, including IRIDA</w:t>
      </w:r>
    </w:p>
    <w:p>
      <w:pPr>
        <w:spacing w:after="0" w:line="4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There are no current treatments that address the underlying cause of anemia arising from high hepcidin levels, including in patients with IRIDA. Although these patients are often treated with oral iron supplements or iron administered by intravenous infusion, these treatments do not address the underlying cause of the disease and therefore do not produce a clinically meaningful response or noticeable improvement in quality of life. These treatments can also cause mild side effects, such as constipation, diarrhea and cramping, and can increase the risk of very serious, life-threatening side effects, such as iron deposits in organs, hypersensitivity reactions and opportunistic infections.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Solution: KER-047</w:t>
      </w:r>
    </w:p>
    <w:p>
      <w:pPr>
        <w:spacing w:after="0" w:line="44"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KER-047 is an orally-available small molecule ALK2 inhibitor designed to potently inhibit ALK2 signaling, with high selectivity for ALK2 relative to other structurally-similar TGF-ß receptors as well as other kinase families.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Mechanism of Action of KER-047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238760</wp:posOffset>
            </wp:positionV>
            <wp:extent cx="5014595" cy="3613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14595" cy="361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believe that KER-047 has the potential to address the underlying cause of anemia arising from high hepcidin levels by suppressing ALK2 signaling to normalize hepcidin expression, thereby correcting serum iron levels and restoring the production of functional red blood cells. By ameliorating anemia arising from high hepcidin levels, we believe KER-047 can potentially eliminate the need for excessive supplementary iron or intravenous iron treatments and therefore avoid the adverse events associated with those treatment options.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KER-047 is being evaluated in a Phase 1 clinical trial in healthy volunteers to assess the safety and pharmacokinetic profiles of KER-047 and select</w:t>
      </w:r>
    </w:p>
    <w:p>
      <w:pPr>
        <w:ind w:right="400"/>
        <w:spacing w:after="0"/>
        <w:rPr>
          <w:sz w:val="20"/>
          <w:szCs w:val="20"/>
          <w:color w:val="auto"/>
        </w:rPr>
      </w:pPr>
      <w:r>
        <w:rPr>
          <w:rFonts w:ascii="Arial" w:cs="Arial" w:eastAsia="Arial" w:hAnsi="Arial"/>
          <w:sz w:val="17"/>
          <w:szCs w:val="17"/>
          <w:color w:val="auto"/>
        </w:rPr>
        <w:t>biomarkers of iron mobilization. We expect to report data from this trial in , and to commence a Phase 2 clinical trial in patients with IRIDA in .</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60"/>
          </w:cols>
          <w:pgMar w:left="320" w:top="448" w:right="41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Ongoing Phase 1 Clinical Trial and Clinical Development Strategy</w:t>
      </w:r>
    </w:p>
    <w:p>
      <w:pPr>
        <w:spacing w:after="0" w:line="84"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We are conducting a randomized, double-blind, placebo-controlled, two-part Phase 1 clinical trial to evaluate single and multiple ascending doses of KER-047 in healthy volunteers. The primary objectives of this trial are to assess safety, tolerability and pharmacokinetics of KER-047. The trial design is summarized in the figure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238760</wp:posOffset>
            </wp:positionV>
            <wp:extent cx="4923790" cy="255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23790" cy="255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40"/>
        <w:spacing w:after="0" w:line="230" w:lineRule="auto"/>
        <w:rPr>
          <w:sz w:val="20"/>
          <w:szCs w:val="20"/>
          <w:color w:val="auto"/>
        </w:rPr>
      </w:pPr>
      <w:r>
        <w:rPr>
          <w:rFonts w:ascii="Arial" w:cs="Arial" w:eastAsia="Arial" w:hAnsi="Arial"/>
          <w:sz w:val="17"/>
          <w:szCs w:val="17"/>
          <w:color w:val="auto"/>
        </w:rPr>
        <w:t>We expect to report data from this trial in , and to commence a Phase 2 clinical trial in patients with IRIDA in . The data from this Phase 2 trial will help guide patient selection and define dose levels to inform the design of any future clinical trials evaluating KER-047 in other indications where patients have anemia arising from high hepcidin levels.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Preclinical Data</w:t>
      </w:r>
    </w:p>
    <w:p>
      <w:pPr>
        <w:spacing w:after="0" w:line="44"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KER-047 was observed in preclinical studies to be a potent and highly selective ALK2 inhibitor and to change serum iron levels. Specifically, KER-047 demonstrated in these studies:</w:t>
      </w:r>
    </w:p>
    <w:p>
      <w:pPr>
        <w:spacing w:after="0" w:line="182" w:lineRule="exact"/>
        <w:rPr>
          <w:sz w:val="20"/>
          <w:szCs w:val="20"/>
          <w:color w:val="auto"/>
        </w:rPr>
      </w:pPr>
    </w:p>
    <w:p>
      <w:pPr>
        <w:ind w:left="1320" w:hanging="428"/>
        <w:spacing w:after="0"/>
        <w:tabs>
          <w:tab w:leader="none" w:pos="132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selectivity for ALK2 compared to other structurally-related TGF-ß and non-TGF-ß kinases;</w:t>
      </w:r>
    </w:p>
    <w:p>
      <w:pPr>
        <w:spacing w:after="0" w:line="26" w:lineRule="exact"/>
        <w:rPr>
          <w:rFonts w:ascii="MS PGothic" w:cs="MS PGothic" w:eastAsia="MS PGothic" w:hAnsi="MS PGothic"/>
          <w:sz w:val="12"/>
          <w:szCs w:val="12"/>
          <w:color w:val="auto"/>
        </w:rPr>
      </w:pPr>
    </w:p>
    <w:p>
      <w:pPr>
        <w:ind w:left="1320" w:hanging="428"/>
        <w:spacing w:after="0"/>
        <w:tabs>
          <w:tab w:leader="none" w:pos="132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increased serum iron levels in rat studies; and</w:t>
      </w:r>
    </w:p>
    <w:p>
      <w:pPr>
        <w:spacing w:after="0" w:line="26" w:lineRule="exact"/>
        <w:rPr>
          <w:rFonts w:ascii="MS PGothic" w:cs="MS PGothic" w:eastAsia="MS PGothic" w:hAnsi="MS PGothic"/>
          <w:sz w:val="12"/>
          <w:szCs w:val="12"/>
          <w:color w:val="auto"/>
        </w:rPr>
      </w:pPr>
    </w:p>
    <w:p>
      <w:pPr>
        <w:ind w:left="1320" w:hanging="428"/>
        <w:spacing w:after="0"/>
        <w:tabs>
          <w:tab w:leader="none" w:pos="132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reversal of high hepcidin levels and low hemoglobin levels in a mouse model of IRIDA.</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KER-047 observed to be a potent and highly selective ALK2 receptor inhibitor in a biochemical assay</w:t>
      </w:r>
    </w:p>
    <w:p>
      <w:pPr>
        <w:spacing w:after="0" w:line="4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standard biochemical kinase screenings, KER-047 exhibited low nanomolar potency for ALK2. Under the conditions of this assay, KER-047 exhibited at least an eight-fold selectivity over the other structurally-related TGF-ß kinases. In a 370-member kinase panel, only two non-TGF-ß kinases were inhibited less than 75% at a KER-047 concentration of 1 µM. We believe these preclinical data further support the potency and selectivity of KER-047 for the ALK2 domain.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448" w:right="3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Highly Selective ALK2 Receptor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238760</wp:posOffset>
            </wp:positionV>
            <wp:extent cx="3472815" cy="382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72815" cy="382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kinase selectivity of KER-047 is shown in the dendrogram above. Compounds were screened at 1 µM against a panel of over 370 kinases and disease-relevant mutants. Each branch of the dendogram represents an individual human kinase. Kinases bound by the compound are indicated by red circles on the kinome tree. The degree of binding corresponds to the size of the circle. As illustrated by the largest red circle in the above graphic, KER-047 was observed to be a potent ALK2 inhibitor and a weak inhibitor of other members of the TGF-ß family of receptors.</w:t>
      </w:r>
    </w:p>
    <w:p>
      <w:pPr>
        <w:spacing w:after="0" w:line="14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In cell-based assays that more directly tested the functional ability of KER-047 to suppress receptor signaling, KER-047 exhibited low nanomolar potency. In assays evaluating the effect of KER-047 on receptors with the highest structural homology to ALK2, KER-047 had at least 20-fold selectivity for ALK2.</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KER-047 inhibition of ALK2 signaling resulted in increased serum iron and transferrin saturation in multiple animal models</w:t>
      </w:r>
    </w:p>
    <w:p>
      <w:pPr>
        <w:spacing w:after="0" w:line="3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believe that data from preclinical studies support a link between ALK2 signaling, hepcidin expression and serum iron across multiple preclinical species in both healthy and disease models. Serum iron is an indicator of whether there is adequate iron available in the body. Total iron binding capacity is the measure of the maximum amount of iron that can be bound by transferrin, an iron-binding protein, and is a surrogate measurement of serum transferrin levels. Transferrin saturation is calculated by dividing serum iron by total iron binding capacity, and is an indicator of how well the body is transporting the iron in blood. Taken together, these values are an indication of the state of iron balance in the body.</w:t>
      </w:r>
    </w:p>
    <w:p>
      <w:pPr>
        <w:spacing w:after="0" w:line="142"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We evaluated serum iron, total iron binding capacity and transferrin saturation in Sprague-Dawley rats that received daily, oral administration of either vehicle or doses of 1 mg/kg, 2.5 mg/kg, 5 mg/kg or 15 mg/kg of KER-047 for</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60"/>
          </w:cols>
          <w:pgMar w:left="320" w:top="448" w:right="41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three months. Rats that were treated with KER-047 were observed to have a dose-dependent increase in serum iron levels and a concomitant increase in transferrin saturation, with no change in total iron binding capacity.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Increased Serum Iron, Total Iron Binding Capacity and Transferrin Saturation in 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238760</wp:posOffset>
            </wp:positionV>
            <wp:extent cx="4923790" cy="1500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2379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These data demonstrate that ALK2 inhibition resulted in increased serum iron and that KER-047 acts by releasing iron into blood without altering the expression or functionality of iron binding proteins. We believe that these data demonstrate that treatment with KER-047 has the potential to alter ALK2 signaling and release iron from storage tissue for transport to other tissues, including in the bone marrow.</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Treatment with an ALK2 inhibitor closely related to KER-047 was also observed to reverse anemia in a mouse model of IRIDA. To generate this mouse model, we used an siRNA directed against TMPRSS6, the same gene that is defective in patients with IRIDA, to render the mice TMPRSS6-deficient. We confirmed that mice receiving the TMPRSS6 siRNA had a greater than 85% reduction of target gene expression relative to the control siRNA cohort. This model recapitulated the increased hepcidin levels and reduced hemoglobin that are characteristic of patients with IRIDA. Treatment of the mice receiving the TMPRSS6 siRNA with an ALK2 inhibitor normalized levels of both hepcidin gene expression and hemoglobin levels compared to the control siRNA cohort receiving vehicle treatment, which we believe indicates that ALK2 inhibition can reverse anemia resulting from high hepcidin levels.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20"/>
          </w:cols>
          <w:pgMar w:left="320" w:top="448" w:right="3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Serum Hepcidin and Hemoglobin Levels in Mice with siRNA-induced IRIDA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238760</wp:posOffset>
            </wp:positionV>
            <wp:extent cx="5014595" cy="3522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1459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sequence of the ALK2 receptor has been highly conserved through evolution, with greater than 98% amino acid sequence homology between mice and humans. Likewise, the finding that the mouse models with changes in ALK2 signaling recapitulate human disease also provides evidence that the function of the ALK2 receptor is conserved across species. For example, knockdown of the TMPRSS6 gene results in a phenocopy of the disease observed in patients with IRIDA. We believe that the conservation of biology provides confidence that treatments that are efficacious in preclinical models will have similar effects in humans.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Fibrodysplasia Ossificans Progressiva Program</w:t>
      </w:r>
    </w:p>
    <w:p>
      <w:pPr>
        <w:spacing w:after="0" w:line="96"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We are also developing KER-047 for the treatment of fibrodysplasia ossificans progressiva, or FOP. FOP is a rare genetic disease resulting from gain-of-function mutations in the ALK2 receptor. In patients with FOP, soft tissue, including muscles and tendons, develops normally, but remodels into bone spontaneously or after injury. There are currently no approved treatments for FOP. We believe KER-047 has the potential to prevent progression of disease in these patients by normalizing ALK2 signaling.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Fibrodysplasia Ossificans Progressiva</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FOP results from single amino acid mutations in the ALK2 receptor that result in gain-of-function activity of the receptor. An estimated 97% of patients with FOP have an R206H mutation that results in excessive ALK2 receptor signaling. Multiple processes drive this excessive signaling. The ALK2/R206H receptor is inappropriately activated by activins A and B, hyperresponsive to the endogenous BMP ligands and can be active in the absence of ligands. These changes all result in increased kinase-mediated signaling and upregulation of bone-forming cellular activity, such as heterotopic ossification.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80"/>
          </w:cols>
          <w:pgMar w:left="320" w:top="448" w:right="39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Mutations in the ALK2 Receptor Result in Gain-of-Function Activity of the Receptor Through Three Distinct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Heterotopic ossification in patients with FOP can occur spontaneously or can be triggered by soft tissue trauma, such as from immunizations, falls, surgery or viral illnesses. The bony lesions from heterotopic ossification are painful and restrict movement. These lesions are permanent and their accumulation leads to progressive loss of function and immobility, eventually resulting in patients becoming wheelchair-dependent, making independent living difficult. Patients can have additional morbidity due to severe weight loss resulting from bone developing in and essentially locking the jaw, as well as respiratory problems due to constriction of the rib cage. Additionally, development of pneumonia and heart failure results in a high mortality rate, with a median age of death of 40 years. The International Fibrodysplasia Ossificans Progressiva Association estimates that there are 3,500 people worldwide with FOP, with approximately 800 patients identified. There are 285 known cases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FOP</w:t>
      </w:r>
    </w:p>
    <w:p>
      <w:pPr>
        <w:spacing w:after="0" w:line="3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There are no therapies approved to treat FOP. Patients are administered anti-inflammatory agents to minimize tissue damage and alleviate pain, but these treatment options do not reduce or prevent bone formation. Surgical removal of the heterotopic ossification is performed in extreme cases, such as when the bony lesion is hindering jaw movement. However, this intervention only provides temporary benefit, as bone that is surgically removed is quickly replaced by a similar volume of new bone in its place.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KER-047</w:t>
      </w:r>
    </w:p>
    <w:p>
      <w:pPr>
        <w:spacing w:after="0" w:line="33"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KER-047 is designed as an ALK2 inhibitor that is also designed to inhibit the ALK2/R206H mutant receptor, which we believe presents the potential to address the underlying cause of FOP.</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00"/>
          </w:cols>
          <w:pgMar w:left="320" w:top="448" w:right="3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Mechanism of Action of KER-047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2083435</wp:posOffset>
            </wp:positionH>
            <wp:positionV relativeFrom="paragraph">
              <wp:posOffset>238760</wp:posOffset>
            </wp:positionV>
            <wp:extent cx="2975610" cy="2950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75610" cy="295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 xml:space="preserve">KER-047 is designed to suppress ALK2 signaling, which we believe will prevent the development of new, and the expansion of existing, heterotopic ossification. Additionally, we believe that KER-047 has the potential to prevent the regrowth of bone after surgical resection and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bone formation resulting from surgery-induced trauma.</w:t>
      </w:r>
    </w:p>
    <w:p>
      <w:pPr>
        <w:spacing w:after="0" w:line="143"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FOP treatments currently in development, such as palovarotene, were observed to hamper the healing process in preclinical studies. We believe treatment with KER-047 would not interfere with a patient’s ability to undergo and recover from surgery. Additionally, treatment with palovarotene has been observed in a Phase 2 clinical trial to cause premature closure of growth plates in pediatric patients. ALK2 signaling is not required for normal skeletal growth and development, and in our preclinical studies, we did not observe changes to normal bone growth when treating mice with dose levels of KER-047 that resulted in a reduction in the amount of heterotopic ossification. Based on these data, KER-047 would not be expected to affect normal skeletal development and could be used to treat patients with FOP of all ages.</w:t>
      </w:r>
    </w:p>
    <w:p>
      <w:pPr>
        <w:spacing w:after="0" w:line="144" w:lineRule="exact"/>
        <w:rPr>
          <w:sz w:val="20"/>
          <w:szCs w:val="20"/>
          <w:color w:val="auto"/>
        </w:rPr>
      </w:pPr>
    </w:p>
    <w:p>
      <w:pPr>
        <w:spacing w:after="0"/>
        <w:tabs>
          <w:tab w:leader="none" w:pos="6780" w:val="left"/>
        </w:tabs>
        <w:rPr>
          <w:sz w:val="20"/>
          <w:szCs w:val="20"/>
          <w:color w:val="auto"/>
        </w:rPr>
      </w:pPr>
      <w:r>
        <w:rPr>
          <w:rFonts w:ascii="Arial" w:cs="Arial" w:eastAsia="Arial" w:hAnsi="Arial"/>
          <w:sz w:val="17"/>
          <w:szCs w:val="17"/>
          <w:color w:val="auto"/>
        </w:rPr>
        <w:t>We expect to commence a Phase 2 clinical trial of KER-047 in patients with FOP in</w:t>
      </w:r>
      <w:r>
        <w:rPr>
          <w:sz w:val="20"/>
          <w:szCs w:val="20"/>
          <w:color w:val="auto"/>
        </w:rPr>
        <w:tab/>
      </w:r>
      <w:r>
        <w:rPr>
          <w:rFonts w:ascii="Arial" w:cs="Arial" w:eastAsia="Arial" w:hAnsi="Arial"/>
          <w:sz w:val="14"/>
          <w:szCs w:val="14"/>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Data</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We have generated compelling biochemical and preclinical data that we believe demonstrated proof-of-mechanism of KER-047 for the treatment of FOP.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Specifically, KER-047 demonstrated in these studies:</w:t>
      </w:r>
    </w:p>
    <w:p>
      <w:pPr>
        <w:spacing w:after="0" w:line="183" w:lineRule="exact"/>
        <w:rPr>
          <w:sz w:val="20"/>
          <w:szCs w:val="20"/>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potent ALK2/R206H mutant receptor inhibitor;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dose-dependent reduction in the formation of heterotopic ossification in multiple mouse models;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no shortening of long bones in mice receiving the ALK2 inhibitor.</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KER-047 observed to be a potent ALK2 receptor inhibitor and ALK2/R206H mutant receptor inhibitor</w:t>
      </w:r>
    </w:p>
    <w:p>
      <w:pPr>
        <w:spacing w:after="0" w:line="2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 KER-047 was observed to be a potent ALK2 receptor inhibitor. In cell-based reporter assays, KER-047 also exhibited low nanomolar potency against the ALK2/R206H mutant receptor.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KER-047 inhibited ALK2 signaling and was associated with reduced bone formation in a mouse model of heterotopic ossification</w:t>
      </w:r>
    </w:p>
    <w:p>
      <w:pPr>
        <w:spacing w:after="0" w:line="3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patients with FOP, heterotopic ossification is driven by excessive signaling through a mutated ALK2 receptor. We evaluated treatment with KER-047 in multiple models of heterotopic ossification prior to testing in a genetic mouse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40"/>
          </w:cols>
          <w:pgMar w:left="320" w:top="448" w:right="4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model. In one such non-genetic model of heterotopic ossification, direct placement of the potent bone-inducing agent BMP6, a ligand that acts through the ALK2 receptor, in muscle, in combination with injury, results in rapid conversion of the muscle into bone. Only the most potent ALK2 inhibitors can inhibit this aggressive heterotopic ossification due to the presence of very high local concentrations of BMP6.</w:t>
      </w:r>
    </w:p>
    <w:p>
      <w:pPr>
        <w:spacing w:after="0" w:line="14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Administration of BMP6 in combination with cardiotoxin to induce injury resulted in robust heterotopic ossification in 11 days. In this model, we treated mice with either vehicle or doses of 2 mg/kg, 6 mg/kg or 20 mg/kg of KER-047, dosed daily by oral gavage for 14 days, one day before cardiotoxin administration and three days before receiving BMP6. We analyzed micro-CT scans for the presence of heterotopic ossification lesions in muscle. We observed a dose-dependent reduction in the formation of heterotopic ossification in the mice that were treated with KER-047, with more than 80% reduction in heterotopic ossification at the highest dose level tested.</w:t>
      </w:r>
    </w:p>
    <w:p>
      <w:pPr>
        <w:spacing w:after="0" w:line="386"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Reduced Bone Formation in a Mouse Model of Heterotopic Ossification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238760</wp:posOffset>
            </wp:positionV>
            <wp:extent cx="3448050" cy="4725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48050"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an R206H mouse model of FOP, KER-047 was associated with a dose-dependent reduction in heterotopic ossification. In our preclinical study, mice were treated with either vehicle or doses of 1 mg/kg or 6 mg/kg of</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980"/>
          </w:cols>
          <w:pgMar w:left="320" w:top="448" w:right="59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KER-047, dosed daily by oral gavage, starting three days prior to mice receiving the pinch injury and continuing through 14 days post-injury. Micro-CT scans were analyzed for the presence of heterotopic ossification lesions in muscle. In mice with the ALK2/R206H mutant receptor receiving KER-047, a statistically significant, dose-dependent reduction in the formation of heterotopic ossification after pinch injury was observed.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Reduced Formation of Heterotopic Ossification in a Mouse Model of FOP</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Representative MicroCT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238760</wp:posOffset>
            </wp:positionV>
            <wp:extent cx="4533900" cy="43929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33900" cy="439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Treatment with a selective ALK2 inhibitor did not affect skeletal development in young mice</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Third-party reports have described how treatment of young mice with palovarotene, a RAR-gamma agonist, resulted in growth plate closure in the normal skeleton, which led to a shortening of the long bones. These reports also described overgrowth of synovial joints that manifested as osteochondromas. One of the proposed mechanisms of the RAR-gamma agonist is inhibition of ALK2 in addition to other TGF-ß receptors. In order to evaluate the specific relationship between ALK2 and the development of these skeletal defects, we dosed two-week old mice with a potent ALK2 inhibitor closely related to KER-047. We tested the RAR-gamma agonist palovarotene as a positive control and observed a statistically significant shortening of the long bones. In contrast, mice treated with pharmacologically-relevant doses of the ALK2 inhibitor did not exhibit any shortening of the long bones. We did not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80"/>
          </w:cols>
          <w:pgMar w:left="320" w:top="448" w:right="3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observe any shortening of long bones in mice receiving the ALK2 inhibitor at doses associated with reduction in the formation of heterotopic ossification after pinch injury in the R206H model.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Normal Skeletal Development Was Not Disrupted in Young Mice Receiving an ALK2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238760</wp:posOffset>
            </wp:positionV>
            <wp:extent cx="5014595" cy="3448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14595" cy="344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Proprietary Discovery Approach</w:t>
      </w:r>
    </w:p>
    <w:p>
      <w:pPr>
        <w:spacing w:after="0" w:line="96"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We believe, based on our previous experience with ActRII ligand traps using the endogenous and wild-type sequences, that observations in preclinical rodent models have the potential to translate to humans in the clinic. Specifically:</w:t>
      </w:r>
    </w:p>
    <w:p>
      <w:pPr>
        <w:spacing w:after="0" w:line="182" w:lineRule="exact"/>
        <w:rPr>
          <w:sz w:val="20"/>
          <w:szCs w:val="20"/>
          <w:color w:val="auto"/>
        </w:rPr>
      </w:pPr>
    </w:p>
    <w:p>
      <w:pPr>
        <w:ind w:left="880" w:right="100" w:hanging="432"/>
        <w:spacing w:after="0" w:line="228" w:lineRule="auto"/>
        <w:tabs>
          <w:tab w:leader="none" w:pos="88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Wild-type ActRIIA-Fc was associated with increased bone growth and red blood cell production in rodents and non-human primates. In a third-party clinical trial of ActRIIA-Fc, increased bone mineral density and red blood cell production was reported in healthy post-menopausal women. In this clinical trial, it was also reported that lower doses elicited the effect on red blood cells compared to bone, and thus, the dominant effect on red blood cell production prevented development in diseases with bone loss.</w:t>
      </w:r>
    </w:p>
    <w:p>
      <w:pPr>
        <w:spacing w:after="0" w:line="27" w:lineRule="exact"/>
        <w:rPr>
          <w:rFonts w:ascii="MS PGothic" w:cs="MS PGothic" w:eastAsia="MS PGothic" w:hAnsi="MS PGothic"/>
          <w:sz w:val="12"/>
          <w:szCs w:val="12"/>
          <w:color w:val="auto"/>
        </w:rPr>
      </w:pPr>
    </w:p>
    <w:p>
      <w:pPr>
        <w:ind w:left="880" w:hanging="432"/>
        <w:spacing w:after="0" w:line="228" w:lineRule="auto"/>
        <w:tabs>
          <w:tab w:leader="none" w:pos="88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In third-party preclinical studies in rodents and non-human primates, ActRIIB-Fc was associated with increased bone mineral density and lean muscle mass, but was not associated with changes in red blood cells. However, ActRIIB-Fc was also observed to cause nose and gum bleeding, which we believe is due to its effect of disrupting normal vascular remodeling. BMP9 signaling is required for normal vascular remodeling, but is not involved in regulation of muscle or bone tissues. ActRIIB-Fc potently inhibits BMP9 signaling, which is the mechanism behind the bleeding events observed with ActRIIB-Fc treatment.</w:t>
      </w:r>
    </w:p>
    <w:p>
      <w:pPr>
        <w:spacing w:after="0" w:line="142"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We have developed a proprietary library of ActRII ligand traps by combining sequences from ActRIIA and ActRIIB. We have engineered molecules that are designed to have the therapeutic properties of either or both parent molecules without the dose-limiting effect on red blood cells observed with ActRIIA-Fc or the negative effect 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20"/>
          </w:cols>
          <w:pgMar w:left="320" w:top="448" w:right="3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blood vessels observed with wild-type ActRIIB-Fc. Our ActRII program has produced a broader pipeline of engineered ligand traps and currently contains more than 20 unique variants in preclinical development. These include:</w:t>
      </w:r>
    </w:p>
    <w:p>
      <w:pPr>
        <w:spacing w:after="0" w:line="182" w:lineRule="exact"/>
        <w:rPr>
          <w:sz w:val="20"/>
          <w:szCs w:val="20"/>
          <w:color w:val="auto"/>
        </w:rPr>
      </w:pPr>
    </w:p>
    <w:p>
      <w:pPr>
        <w:ind w:left="880" w:hanging="432"/>
        <w:spacing w:after="0"/>
        <w:tabs>
          <w:tab w:leader="none" w:pos="880" w:val="left"/>
        </w:tabs>
        <w:numPr>
          <w:ilvl w:val="0"/>
          <w:numId w:val="81"/>
        </w:numPr>
        <w:rPr>
          <w:rFonts w:ascii="MS PGothic" w:cs="MS PGothic" w:eastAsia="MS PGothic" w:hAnsi="MS PGothic"/>
          <w:sz w:val="12"/>
          <w:szCs w:val="12"/>
          <w:color w:val="auto"/>
        </w:rPr>
      </w:pPr>
      <w:r>
        <w:rPr>
          <w:rFonts w:ascii="Arial" w:cs="Arial" w:eastAsia="Arial" w:hAnsi="Arial"/>
          <w:sz w:val="17"/>
          <w:szCs w:val="17"/>
          <w:color w:val="auto"/>
        </w:rPr>
        <w:t>Molecules designed to increase bone mass without the dose-limiting effect on red blood cells observed with wild-type ActRIIA-Fc; and</w:t>
      </w:r>
    </w:p>
    <w:p>
      <w:pPr>
        <w:spacing w:after="0" w:line="26" w:lineRule="exact"/>
        <w:rPr>
          <w:rFonts w:ascii="MS PGothic" w:cs="MS PGothic" w:eastAsia="MS PGothic" w:hAnsi="MS PGothic"/>
          <w:sz w:val="12"/>
          <w:szCs w:val="12"/>
          <w:color w:val="auto"/>
        </w:rPr>
      </w:pPr>
    </w:p>
    <w:p>
      <w:pPr>
        <w:ind w:left="880" w:right="20" w:hanging="432"/>
        <w:spacing w:after="0" w:line="233" w:lineRule="auto"/>
        <w:tabs>
          <w:tab w:leader="none" w:pos="880" w:val="left"/>
        </w:tabs>
        <w:numPr>
          <w:ilvl w:val="0"/>
          <w:numId w:val="81"/>
        </w:numPr>
        <w:rPr>
          <w:rFonts w:ascii="MS PGothic" w:cs="MS PGothic" w:eastAsia="MS PGothic" w:hAnsi="MS PGothic"/>
          <w:sz w:val="12"/>
          <w:szCs w:val="12"/>
          <w:color w:val="auto"/>
        </w:rPr>
      </w:pPr>
      <w:r>
        <w:rPr>
          <w:rFonts w:ascii="Arial" w:cs="Arial" w:eastAsia="Arial" w:hAnsi="Arial"/>
          <w:sz w:val="17"/>
          <w:szCs w:val="17"/>
          <w:color w:val="auto"/>
        </w:rPr>
        <w:t>Molecules designed to increase muscle and bone mass with reduced BMP9 binding without impacting vascular remodeling that leads to weak blood vessels observed with the wild-type ActRIIB-Fc.</w:t>
      </w:r>
    </w:p>
    <w:p>
      <w:pPr>
        <w:spacing w:after="0" w:line="143"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Our discovery approach has built on these initial observations to generate product candidates designed to target ActRII receptors without the liabilities observed in third-party preclinical studies and clinical trials of ActRIIA-Fc and ActRIIB-Fc.</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We believe that we are well positioned to advance our product candidates and realize the commercial opportunities in diseases where muscle and bone loss result in a debilitating impact on survival and quality of life, if our product candidates are successfully developed and approved. Our deep knowledge and expertise of the TGF-ß family of proteins provides a streamlined approach to screen and develop novel product candidates for hematological and musculoskeletal diseases.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9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rely, and expect to continue to rely for the foreseeable future, on third-party contract manufacturing organizations, or CMOs, to produce our product candidates for preclinical and clinical testing, as well as for commercial manufacture if our product candidates receive marketing approval. We require that our CMOs produce bulk drug substances and finished drug products in accordance with current Good Manufacturing Practices, or cGMPs, and all other applicable laws and regulations. We maintain agreements with our manufacturers that include confidentiality and intellectual property provisions to protect our proprietary rights related to our product candidates.</w:t>
      </w:r>
    </w:p>
    <w:p>
      <w:pPr>
        <w:spacing w:after="0" w:line="14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We have engaged CMOs to manufacture supply for preclinical and clinical use. Additional CMOs are used to label, package and distribute drug product for preclinical and clinical use. We obtain our supplies from these CMOs on a purchase order basis and do not have any long-term supply arrangements in place. We do not currently have arrangements in place for redundant supply. As our development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8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rights. While we believe that our product candidates, discovery programs, technology, knowledge, experience and scientific resources provide us with competitive advantages, we compete in the highly competitive markets and face significant competition from many sources, including pharmaceutical and biotechnology companies, as well as academic institutions, governmental agencies and private and public research institutions.</w:t>
      </w:r>
    </w:p>
    <w:p>
      <w:pPr>
        <w:spacing w:after="0" w:line="145"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We compete in the segments of the biotechnology, pharmaceutical and other related industries that develop and market therapies for the treatment of hematological and musculoskeletal disorders. There are many other companies, including large biotechnology and pharmaceutical companies, that have commercialized and/or are developing therapies for the same therapeutic areas that our product candidates target. For example, FibroGen Inc. and Astellas Pharma Inc. are developing product candidates for the treatment of anemia, and Acceleron Pharma Inc. and Bristol-Myers Squibb Company are both developing product candidates targeting diseases associated with MDS and myelofibrosis, including chronic anemia. Sierra Oncology, Inc. is developing a treatment for myelofibrosis.</w:t>
      </w:r>
    </w:p>
    <w:p>
      <w:pPr>
        <w:spacing w:after="0" w:line="144" w:lineRule="exact"/>
        <w:rPr>
          <w:sz w:val="20"/>
          <w:szCs w:val="20"/>
          <w:color w:val="auto"/>
        </w:rPr>
      </w:pPr>
    </w:p>
    <w:p>
      <w:pPr>
        <w:ind w:right="660"/>
        <w:spacing w:after="0" w:line="233" w:lineRule="auto"/>
        <w:rPr>
          <w:sz w:val="20"/>
          <w:szCs w:val="20"/>
          <w:color w:val="auto"/>
        </w:rPr>
      </w:pPr>
      <w:r>
        <w:rPr>
          <w:rFonts w:ascii="Arial" w:cs="Arial" w:eastAsia="Arial" w:hAnsi="Arial"/>
          <w:sz w:val="17"/>
          <w:szCs w:val="17"/>
          <w:color w:val="auto"/>
        </w:rPr>
        <w:t>Other companies that are developing product candidates that are designed to target the TGF-ß signaling pathways include Scholar Rock Holding Corporation, Biogen Inc. and Regeneron Pharmaceuticals, Inc.</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There are currently no approved drugs for the treatment of FOP. However, Ipsen, through its subsidiary Clementia Pharmaceuticals Inc. and pursuant to a collaboration with Blueprint Medicines Corporation, as well as Regeneron Pharmaceuticals, Inc. and BioCryst Pharmaceuticals, Inc. are developing product candidates for the treatment of FOP that are intended to work, at least in part, through inhibition of the ALK2 signaling pathway.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0"/>
          </w:cols>
          <w:pgMar w:left="320" w:top="448" w:right="3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either alone or with their strategic collaborators, have significantly greater financial resources and expertise in research and development, manufacturing, preclinical testing, conducting clinical trials, obtaining regulatory approvals and marketing approved drugs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or universities and research institutions. These competitors also compete with us in recruiting and retaining qualified scientific and management personnel and establishing clinical trial sites and enrolling patients for our clinical trials, as well as in acquiring technologies complementary to, or necessary for, our programs.</w:t>
      </w:r>
    </w:p>
    <w:p>
      <w:pPr>
        <w:spacing w:after="0" w:line="128"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may develop.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License Agreement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Exclusive Patent License Agreement with The General Hospital Corporation</w:t>
      </w:r>
    </w:p>
    <w:p>
      <w:pPr>
        <w:spacing w:after="0" w:line="33"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 April 2016, we entered into an exclusive patent license agreement with The General Hospital Corporation, or MGH, which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Under the terms of the MGH Agreement, we made an initial license payment of $100,000 and reimbursed MGH approximately $280,000 of prior patent prosecution expenses related to the licensed patents. We also issued MGH an aggregate of 778,432 shares of our common stock. Additionally, we are required to pay a low to mid-five digit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 related payments received by us from sublicensees ranging in the sub-teen double digits and a change of control fee equal to a low-single digit percentage of the payments received as part of any completed transaction up to a low-seven digit amount.</w:t>
      </w:r>
    </w:p>
    <w:p>
      <w:pPr>
        <w:spacing w:after="0" w:line="316"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color w:val="auto"/>
        </w:rPr>
        <w:t>The MGH Agreement expires upon expiry of the last remaining royalty obligation for a licensed product or process. Under the MGH Agreement, MGH may terminate the agreement upon our uncured material breach or insolvency, a challenge by us of the licensed patents and certain other specified breaches of the MGH Agreement. We may terminate the agreement for any reason upon specified prior written notice to MGH.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20"/>
          </w:cols>
          <w:pgMar w:left="320" w:top="448" w:right="3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Research Collaboration and Exclusive License Agreement with Novo Nordisk</w:t>
      </w:r>
    </w:p>
    <w:p>
      <w:pPr>
        <w:spacing w:after="0" w:line="46"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In December 2017, we entered into a research collaboration and exclusive license agreement with Novo Nordisk A/S, or Novo Nordisk. Under the agreement with Novo Nordisk, or the Novo Nordisk Agreement, we are collaborating with Novo Nordisk on research and development of fusion molecules consisting of a ligand binder present as part of a larger molecule, or ligand traps. Pursuant to the Novo Nordisk Agreement, Novo Nordisk had the right to select a prespecified number of ligand traps for further development and commercialization by Novo Nordisk. Following execution, Novo Nordisk selected one existing ligand trap to further develop and commercialize and prior to the completion of the two-year research program, selected a second ligand trap arising from the collaboration.</w:t>
      </w:r>
    </w:p>
    <w:p>
      <w:pPr>
        <w:spacing w:after="0" w:line="14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Upon selection by Novo Nordisk of each ligand trap, we transferred the selected ligand trap to Novo Nordisk for further development and commercialization. We are able to further develop and commercialize all other remaining declined ligand traps, subject to certain limitations as described below.</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Under the Novo Nordisk Agreement, we granted Novo Nordisk an exclusive, worldwide, royalty bearing license, with the right to sublicense, under certain of our background intellectual property and collaboration intellectual property to develop, manufacture and commercialize products that contain the initial ligand trap and any selected ligand trap, whether alone or as a combination product, for use in the treatment of diabetes (including diabetes related complications of cardiovascular disease, or CVD, and chronic kidney disease, or CKD), obesity, (including obesity related complications of CVD, CKD and sarcopenic obesity), non-alcoholic steatohepatitis and cachexia, and, solely as a combination product for use in CVD and CKD.</w:t>
      </w:r>
    </w:p>
    <w:p>
      <w:pPr>
        <w:spacing w:after="0" w:line="125"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Under the terms of the Novo Nordisk Agreement, we received an initial license payment of $16.0 million. Novo Nordisk has paid us $4.0 million in research funding over the two-year research program. Additionally, we are eligible to receive certain clinical and regulatory milestone payments for the first product, for which milestone payments are $176.0 million in the aggregate, assuming the first product achieves such milestones in three indications, certain clinical and regulatory milestone payments for the second and third products, for which milestone payments are $145.5 million in the aggregate for each product, assuming each of the second and third products achieves such milestones in three indications, and certain commercial milestone payments, for which milestone payments are $70.0 million in the aggregate. We are also eligible to receive a mid-single digit royalty on net sales of licensed products, which include combination products. The royalty rates may be reduced up to a specified percentage in the event that Novo Nordisk’s commercialization of resulting products requires obtaining a license from a third party to avoid infringement of third-party patents. Novo Nordisk’s obligation to pay royalties to us under the Novo Nordisk Agreement expires on a licensed product-by-licensed product and country-by-country basis upon the later of expiry of the last valid claim of certain specified patents that cover such licensed product in such country and a number of years in the sub-teen double digits from first commercial sale of such product in such country.</w:t>
      </w:r>
    </w:p>
    <w:p>
      <w:pPr>
        <w:spacing w:after="0" w:line="142"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Under the terms of the Novo Nordisk Agreement, during the term of the agreement, we are not permitted, directly or indirectly, to research, develop or commercialize any ligand trap or ligand binder for use in the licensed field or any selected ligand trap outside of the licensed field, provided that after the expiration of the research collaboration term, we may research, develop, or commercialize any declined ligand trap for use in CVD and CKD.</w:t>
      </w:r>
    </w:p>
    <w:p>
      <w:pPr>
        <w:spacing w:after="0" w:line="121" w:lineRule="exact"/>
        <w:rPr>
          <w:sz w:val="20"/>
          <w:szCs w:val="20"/>
          <w:color w:val="auto"/>
        </w:rPr>
      </w:pPr>
    </w:p>
    <w:p>
      <w:pPr>
        <w:jc w:val="both"/>
        <w:ind w:right="260"/>
        <w:spacing w:after="0" w:line="228" w:lineRule="auto"/>
        <w:rPr>
          <w:sz w:val="20"/>
          <w:szCs w:val="20"/>
          <w:color w:val="auto"/>
        </w:rPr>
      </w:pPr>
      <w:r>
        <w:rPr>
          <w:rFonts w:ascii="Arial" w:cs="Arial" w:eastAsia="Arial" w:hAnsi="Arial"/>
          <w:sz w:val="17"/>
          <w:szCs w:val="17"/>
          <w:color w:val="auto"/>
        </w:rPr>
        <w:t>The Novo Nordisk Agreement expires upon expiry of the last remaining royalty obligation for a licensed product. Under the Novo Nordisk Agreement, either party may terminate the agreement upon the uncured material breach or insolvency of the other party. We may terminate the agreement upon a challenge by Novo Nordisk of the patentability, enforceability or validity of any claim contained in the licensed patents. Novo Nordisk may terminate the agreement for any reason upon specified prior written notice to 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We strive to protect the proprietary technology, inventions and improvements that we believe are commercially important to our business, including obtaining, maintaining, enforcing and defending our intellectual property rights, including patent rights, whether developed internally or licensed from third parties. We rely, in part, on trade secrets and know-how relating to our proprietary technology and drug candidates and continuing innovation to develop,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448" w:right="3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strengthen and maintain our proprietary position. We also plan to rely, in part, on data exclusivity, market exclusivity and patent term extensions if and when available. Our commercial success will depend in part on our ability to obtain and maintain patent and other intellectual property protection for our technology, inventions and improvements; to preserve the confidentiality of our trade secrets; to defend and enforce our proprietary rights, including any patents that we own or may obtain in the future; and to operate without infringing, misappropriating or otherwise violating the valid and enforceable patents and other intellectual property rights of third parties. Intellectual property rights may not address all potential threats to our competitive advantage</w:t>
      </w:r>
    </w:p>
    <w:p>
      <w:pPr>
        <w:spacing w:after="0" w:line="12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As of December 31, 2019, our patent portfolio consisted of five issued U.S. patents, eight pending U.S. patent applications, three issued ex-U.S. patents and 25 pending ex-U.S. applications, with expected expiry dates not earlier than between March 13, 2029 and October 25, 2039. Of these, 24 patent applications relate to KER-050 and KER-047, and eight issued patents and ten patent applications relate to other technologies, in each case as described in more detail below. Each of our pending international patent applications has been filed under the Patent Cooperation Treaty and has not yet entered any national jurisdictions. Our policy is to file patent applications to protect technology, inventions and improvements to inventions that may be commercially important to the development of our business.</w:t>
      </w:r>
    </w:p>
    <w:p>
      <w:pPr>
        <w:spacing w:after="0" w:line="144"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We seek U.S. and international patent protection for a variety of technologies, and own patent applications with claims directed to ActRIIA ligand traps, ActRIIB ligand traps, GDNF fusion polypeptides, ALK2 antibodies and crystal forms of an ALK2 inhibitor. We also intend to seek patent protection or rely upon trade secret rights to protect other technologies that may be used to discover and validate targets, and that may be used to manufacture and develop novel products. We are a party to license agreements that give us rights to use specific technologies in our products and in manufacturing our products.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Patent applications directed to our most advanced programs are summarized below.</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KER-050</w:t>
      </w:r>
    </w:p>
    <w:p>
      <w:pPr>
        <w:spacing w:after="0" w:line="31"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KER-050 is a modified ActRII ligand trap that is designed to bind to different TGF-ß ligands that signal through a TGF-ß signaling pathway. We own four pending U.S. patent applications and 14 pending ex-U.S. applications that contain claims or supporting disclosure directed to ActRIIA ligand traps and use thereof to treat muscle disease, bone disease, metabolic disease, anemia, fibrosis, and pulmonary hypertension. Any patents issuing from these applications will have expiration dates between November 9, 2037 and May 9, 2039, absent any patent term adjustments or extensions.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KER-047</w:t>
      </w:r>
    </w:p>
    <w:p>
      <w:pPr>
        <w:spacing w:after="0" w:line="3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KER-047 is an orally available small molecule ALK2 inhibitor designed to potently and selectively inhibit ALK2 signaling. We own one pending U.S. patent application that contains claims or supporting disclosure directed to crystal forms of an ALK2 inhibitor. Any patents issuing from this application will have an expiration date of October 25, 2039, absent any patent term adjustments or extensions.</w:t>
      </w:r>
    </w:p>
    <w:p>
      <w:pPr>
        <w:spacing w:after="0" w:line="14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have exclusively licensed from The General Hospital Corporation rights in one patent family related to novel ALK2 inhibitors. Patents in this family are expected to expire on April 26, 2038, absent any patent term adjustments or extensions.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3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We plan to seek United States and international patent protection for a variety of additional technologies. We own three pending U.S. patent applications and seven pending ex-U.S. applications that contain claims or supporting disclosure directed to ActRIIB ligand traps, GDNF fusion polypeptides, and ALK2 antibodies. Any patents issuing from these applications will have expiration dates between November 9, 2037 and October 23, 2039, absent any patent term adjustments or extensions.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Protection</w:t>
      </w:r>
    </w:p>
    <w:p>
      <w:pPr>
        <w:spacing w:after="0" w:line="33" w:lineRule="exact"/>
        <w:rPr>
          <w:sz w:val="20"/>
          <w:szCs w:val="20"/>
          <w:color w:val="auto"/>
        </w:rPr>
      </w:pPr>
    </w:p>
    <w:p>
      <w:pPr>
        <w:jc w:val="both"/>
        <w:ind w:right="100"/>
        <w:spacing w:after="0" w:line="271" w:lineRule="auto"/>
        <w:rPr>
          <w:sz w:val="20"/>
          <w:szCs w:val="20"/>
          <w:color w:val="auto"/>
        </w:rPr>
      </w:pPr>
      <w:r>
        <w:rPr>
          <w:rFonts w:ascii="Arial" w:cs="Arial" w:eastAsia="Arial" w:hAnsi="Arial"/>
          <w:sz w:val="15"/>
          <w:szCs w:val="15"/>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0"/>
          </w:cols>
          <w:pgMar w:left="320" w:top="448" w:right="3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28"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46"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96"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FDA and other regulatory authorities at federal, state and local levels, as well as in foreign countries, extensively regulate, among other things, the research, development, testing, manufacture, quality control, import, export, labeling, packaging, storage, distribution, record keeping, approval, advertising, promotion, marketing, post-approval monitoring and post-approval reporting of drug and biological products such as those we are developing.</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product candidates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and Biological Product Regulation</w:t>
      </w:r>
    </w:p>
    <w:p>
      <w:pPr>
        <w:spacing w:after="0" w:line="46"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color w:val="auto"/>
        </w:rPr>
        <w:t>Our product candidates must be approved by the FDA through either a New Drug Application, or NDA, or a Biologics License Application, or BLA. The process required by the FDA before biopharmaceutical product candidates may be marketed in the United States generally involves the following:</w:t>
      </w:r>
    </w:p>
    <w:p>
      <w:pPr>
        <w:spacing w:after="0" w:line="146" w:lineRule="exact"/>
        <w:rPr>
          <w:sz w:val="20"/>
          <w:szCs w:val="20"/>
          <w:color w:val="auto"/>
        </w:rPr>
      </w:pPr>
    </w:p>
    <w:p>
      <w:pPr>
        <w:ind w:left="880" w:right="360" w:hanging="432"/>
        <w:spacing w:after="0" w:line="233" w:lineRule="auto"/>
        <w:tabs>
          <w:tab w:leader="none" w:pos="88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completion of extensive preclinical laboratory tests and animal studies performed in accordance with applicable regulations, including the FDA’s Good Laboratory Practice, or GLP, requirements;</w:t>
      </w:r>
    </w:p>
    <w:p>
      <w:pPr>
        <w:spacing w:after="0" w:line="25" w:lineRule="exact"/>
        <w:rPr>
          <w:rFonts w:ascii="MS PGothic" w:cs="MS PGothic" w:eastAsia="MS PGothic" w:hAnsi="MS PGothic"/>
          <w:sz w:val="12"/>
          <w:szCs w:val="12"/>
          <w:color w:val="auto"/>
        </w:rPr>
      </w:pPr>
    </w:p>
    <w:p>
      <w:pPr>
        <w:ind w:left="880" w:right="400" w:hanging="432"/>
        <w:spacing w:after="0" w:line="233" w:lineRule="auto"/>
        <w:tabs>
          <w:tab w:leader="none" w:pos="88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submission to the FDA of an Investigational New Drug, or IND, application which must become effective before human clinical trials may begin;</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approval by an independent institutional review board, or IRB, or ethics committee at each clinical site before the trial may be initiated;</w:t>
      </w:r>
    </w:p>
    <w:p>
      <w:pPr>
        <w:spacing w:after="0" w:line="26" w:lineRule="exact"/>
        <w:rPr>
          <w:rFonts w:ascii="MS PGothic" w:cs="MS PGothic" w:eastAsia="MS PGothic" w:hAnsi="MS PGothic"/>
          <w:sz w:val="12"/>
          <w:szCs w:val="12"/>
          <w:color w:val="auto"/>
        </w:rPr>
      </w:pPr>
    </w:p>
    <w:p>
      <w:pPr>
        <w:ind w:left="880" w:right="340" w:hanging="432"/>
        <w:spacing w:after="0" w:line="233" w:lineRule="auto"/>
        <w:tabs>
          <w:tab w:leader="none" w:pos="88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performance of adequate and well-controlled human clinical trials in accordance with applicable IND regulations, good clinical practice, or GCP, requirements and other clinical trial-related regulations to</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48" w:right="3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900" w:right="520"/>
        <w:spacing w:after="0" w:line="233" w:lineRule="auto"/>
        <w:rPr>
          <w:sz w:val="20"/>
          <w:szCs w:val="20"/>
          <w:color w:val="auto"/>
        </w:rPr>
      </w:pPr>
      <w:r>
        <w:rPr>
          <w:rFonts w:ascii="Arial" w:cs="Arial" w:eastAsia="Arial" w:hAnsi="Arial"/>
          <w:sz w:val="17"/>
          <w:szCs w:val="17"/>
          <w:color w:val="auto"/>
        </w:rPr>
        <w:t>establish the safety and efficacy of the investigational drug product for each proposed indication and to establish the safety, purity and potency of the investigational biologic product candidate for each proposed indication;</w:t>
      </w:r>
    </w:p>
    <w:p>
      <w:pPr>
        <w:spacing w:after="0" w:line="25" w:lineRule="exact"/>
        <w:rPr>
          <w:sz w:val="20"/>
          <w:szCs w:val="20"/>
          <w:color w:val="auto"/>
        </w:rPr>
      </w:pPr>
    </w:p>
    <w:p>
      <w:pPr>
        <w:ind w:left="880" w:right="260" w:hanging="432"/>
        <w:spacing w:after="0" w:line="233" w:lineRule="auto"/>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preparation of and submission to the FDA of an NDA for a small molecule product candidate or a BLA for a biologic after completion of all pivotal clinical trials;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payment of user fees for FDA review of the NDA or BLA;</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a determination by the FDA within 60 days of its receipt of the NDA or BLA to file the application for review;</w:t>
      </w:r>
    </w:p>
    <w:p>
      <w:pPr>
        <w:spacing w:after="0" w:line="26" w:lineRule="exact"/>
        <w:rPr>
          <w:rFonts w:ascii="MS PGothic" w:cs="MS PGothic" w:eastAsia="MS PGothic" w:hAnsi="MS PGothic"/>
          <w:sz w:val="12"/>
          <w:szCs w:val="12"/>
          <w:color w:val="auto"/>
        </w:rPr>
      </w:pPr>
    </w:p>
    <w:p>
      <w:pPr>
        <w:ind w:left="880" w:right="120" w:hanging="432"/>
        <w:spacing w:after="0" w:line="230" w:lineRule="auto"/>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satisfactory completion of one or more FDA pre-approval inspections of the manufacturing facility or facilities at which the proposed product will be produced to assess compliance with current Good Manufacturing Practice, or cGMP, requirements and to assure that the facilities, methods and controls are adequate to preserve the product’s continued identity, strength, quality and purity;</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potential FDA audit of the preclinical study and/or clinical trial sites that generated the data in support of the NDA or BLA;</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satisfactory completion of an FDA Advisory Committee review, if applicable;</w:t>
      </w:r>
    </w:p>
    <w:p>
      <w:pPr>
        <w:spacing w:after="0" w:line="26" w:lineRule="exact"/>
        <w:rPr>
          <w:rFonts w:ascii="MS PGothic" w:cs="MS PGothic" w:eastAsia="MS PGothic" w:hAnsi="MS PGothic"/>
          <w:sz w:val="12"/>
          <w:szCs w:val="12"/>
          <w:color w:val="auto"/>
        </w:rPr>
      </w:pPr>
    </w:p>
    <w:p>
      <w:pPr>
        <w:ind w:left="880" w:right="40" w:hanging="432"/>
        <w:spacing w:after="0" w:line="233" w:lineRule="auto"/>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FDA review and approval of an NDA or licensure of a BLA, including consideration of the views of any FDA Advisory Committee, prior to any commercial marketing or sale of the product for particular indications for use in the United States;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compliance with any post-approval requirements, including the potential requirement to conduct post-approval studies.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3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 xml:space="preserve">Before testing any drug or biologic candidate in humans in the United States, the product candidate must undergo rigorous preclinical testing. Preclinical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safety and in some cases to establish a rationale for therapeutic use. The conduct of preclinical studies is subject to federal and state regulations and requirements, including GLP regulations for safety/toxicology studies.</w:t>
      </w:r>
    </w:p>
    <w:p>
      <w:pPr>
        <w:spacing w:after="0" w:line="145"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 xml:space="preserve">Prior to beginning the first clinical trial with a product candidate, we must submit the results of the preclinical studies, together with manufacturing information, analytical data, any available clinical data or literature and a proposed clinical protocol, to the FDA as part of an IND. An IND is a request for authorization from the FDA to administer an investigational new drug product to humans. The IND submission contains the general investigational plan and the protocol or protocols for preclinical studies and clinical trials, as well as results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period, raises safety concerns or questions related to one or more proposed clinical trials and places the trial on clinical hold. In such a case, the IND sponsor and the FDA must resolve any outstanding concerns or questions before the clinical trial can begin. Submission of an IND therefore may or may not result in FDA authorization to begin a clinical trial.</w:t>
      </w:r>
    </w:p>
    <w:p>
      <w:pPr>
        <w:spacing w:after="0" w:line="14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clinical stage of development involves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These investigators are generally physicians who are not employed by or under the trial sponsor’s control. Clinical trials are conducted under protocols detailing, among other things, the objectives of the study, dosing procedures, subject selection and exclusion criteria, and the parameters to be used in monitoring subject safety and assessing efficacy. Each protocol, and any subsequent amendments to the protocol, must be submitted to the FDA as part of the existing IND. Furthermore, each clinical trial must be reviewed and approved by an independent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study until completed. Regulatory authorities, the IRB or the sponsor may suspend a clinical trial at any time on various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60"/>
          </w:cols>
          <w:pgMar w:left="320" w:top="448" w:right="41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 -designed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in the United States are typically conducted in three sequential phases that may overlap or be combined:</w:t>
      </w:r>
    </w:p>
    <w:p>
      <w:pPr>
        <w:spacing w:after="0" w:line="183" w:lineRule="exact"/>
        <w:rPr>
          <w:sz w:val="20"/>
          <w:szCs w:val="20"/>
          <w:color w:val="auto"/>
        </w:rPr>
      </w:pPr>
    </w:p>
    <w:p>
      <w:pPr>
        <w:jc w:val="both"/>
        <w:ind w:left="880" w:right="160" w:hanging="432"/>
        <w:spacing w:after="0" w:line="230" w:lineRule="auto"/>
        <w:tabs>
          <w:tab w:leader="none" w:pos="880" w:val="left"/>
        </w:tabs>
        <w:numPr>
          <w:ilvl w:val="0"/>
          <w:numId w:val="84"/>
        </w:numPr>
        <w:rPr>
          <w:rFonts w:ascii="MS PGothic" w:cs="MS PGothic" w:eastAsia="MS PGothic" w:hAnsi="MS PGothic"/>
          <w:sz w:val="12"/>
          <w:szCs w:val="12"/>
          <w:color w:val="auto"/>
        </w:rPr>
      </w:pPr>
      <w:r>
        <w:rPr>
          <w:rFonts w:ascii="Arial" w:cs="Arial" w:eastAsia="Arial" w:hAnsi="Arial"/>
          <w:sz w:val="17"/>
          <w:szCs w:val="17"/>
          <w:color w:val="auto"/>
        </w:rPr>
        <w:t>Phase 1 clinical trials generally involve a small number of healthy volunteers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5" w:lineRule="exact"/>
        <w:rPr>
          <w:rFonts w:ascii="MS PGothic" w:cs="MS PGothic" w:eastAsia="MS PGothic" w:hAnsi="MS PGothic"/>
          <w:sz w:val="12"/>
          <w:szCs w:val="12"/>
          <w:color w:val="auto"/>
        </w:rPr>
      </w:pPr>
    </w:p>
    <w:p>
      <w:pPr>
        <w:ind w:left="880" w:right="80" w:hanging="432"/>
        <w:spacing w:after="0" w:line="233" w:lineRule="auto"/>
        <w:tabs>
          <w:tab w:leader="none" w:pos="880" w:val="left"/>
        </w:tabs>
        <w:numPr>
          <w:ilvl w:val="0"/>
          <w:numId w:val="84"/>
        </w:numPr>
        <w:rPr>
          <w:rFonts w:ascii="MS PGothic" w:cs="MS PGothic" w:eastAsia="MS PGothic" w:hAnsi="MS PGothic"/>
          <w:sz w:val="12"/>
          <w:szCs w:val="12"/>
          <w:color w:val="auto"/>
        </w:rPr>
      </w:pPr>
      <w:r>
        <w:rPr>
          <w:rFonts w:ascii="Arial" w:cs="Arial" w:eastAsia="Arial" w:hAnsi="Arial"/>
          <w:sz w:val="17"/>
          <w:szCs w:val="17"/>
          <w:color w:val="auto"/>
        </w:rPr>
        <w:t>Phase 2 clinical trials involve studies in a limited population of disease-affected patients to evaluate the preliminary efficacy, optimal dosages and dosing schedule and to identify possible adverse side effects and safety risks.</w:t>
      </w:r>
    </w:p>
    <w:p>
      <w:pPr>
        <w:spacing w:after="0" w:line="25" w:lineRule="exact"/>
        <w:rPr>
          <w:rFonts w:ascii="MS PGothic" w:cs="MS PGothic" w:eastAsia="MS PGothic" w:hAnsi="MS PGothic"/>
          <w:sz w:val="12"/>
          <w:szCs w:val="12"/>
          <w:color w:val="auto"/>
        </w:rPr>
      </w:pPr>
    </w:p>
    <w:p>
      <w:pPr>
        <w:ind w:left="880" w:right="120" w:hanging="432"/>
        <w:spacing w:after="0" w:line="271" w:lineRule="auto"/>
        <w:tabs>
          <w:tab w:leader="none" w:pos="880" w:val="left"/>
        </w:tabs>
        <w:numPr>
          <w:ilvl w:val="0"/>
          <w:numId w:val="84"/>
        </w:numPr>
        <w:rPr>
          <w:rFonts w:ascii="MS PGothic" w:cs="MS PGothic" w:eastAsia="MS PGothic" w:hAnsi="MS PGothic"/>
          <w:sz w:val="11"/>
          <w:szCs w:val="11"/>
          <w:color w:val="auto"/>
        </w:rPr>
      </w:pPr>
      <w:r>
        <w:rPr>
          <w:rFonts w:ascii="Arial" w:cs="Arial" w:eastAsia="Arial" w:hAnsi="Arial"/>
          <w:sz w:val="15"/>
          <w:szCs w:val="15"/>
          <w:color w:val="auto"/>
        </w:rPr>
        <w:t>Phase 3 clinical trials generally involve a large number of patients at multiple geographically dispersed clinical trial sites and are designed to further evaluate dosage, to provide statistically significant evidence of clinical efficacy and to further test for safety. These clinical trials are intended to establish the overall risk/benefit ratio of the investigational product and to provide an adequate basis for product approval.</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When these phases overlap or are combined, the trials may be referred to as Phase 1/2 or Phase 2/3. A Phase 1/2 clinical trial is a human trial that investigates both safety and preliminary efficacy of an investigational therapy. A Phase 2/3 clinical trial is a human trial that investigates both preliminary and confirmatory efficacy and safety to potentially support submission of a marketing application with the applicable regulatory authorities.</w:t>
      </w:r>
    </w:p>
    <w:p>
      <w:pPr>
        <w:spacing w:after="0" w:line="121"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to FDA approval of an NDA or BLA.</w:t>
      </w:r>
    </w:p>
    <w:p>
      <w:pPr>
        <w:spacing w:after="0" w:line="145"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Concurrent with clinical trials, companies may complete additional animal studies and develop additional information about the chemistry and physical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44" w:lineRule="exact"/>
        <w:rPr>
          <w:sz w:val="20"/>
          <w:szCs w:val="20"/>
          <w:color w:val="auto"/>
        </w:rPr>
      </w:pPr>
    </w:p>
    <w:p>
      <w:pPr>
        <w:jc w:val="both"/>
        <w:ind w:right="100"/>
        <w:spacing w:after="0" w:line="228"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00"/>
          </w:cols>
          <w:pgMar w:left="320" w:top="448" w:right="37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Review Process</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Assuming successful completion of all required testing in accordance with all applicable regulatory requirements, the results of product development, nonclinical studies and clinical trials are submitted to the FDA as part of an NDA or BLA. The NDA or BLA is a request for approval to market the drug or biologic for one or more specified indications and must contain proof of safety and efficacy for a drug or safety, purity and potency for a biologic. The application must include all relevant data available from pertinent preclinical studies and clinical trials, including negative or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w:t>
      </w:r>
    </w:p>
    <w:p>
      <w:pPr>
        <w:spacing w:after="0" w:line="130"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Under the Prescription Drug User Fee Act, or PDUFA, as amended, each submission of an NDA or BLA requires payment of a substantial application user fee to the FDA, unless a waiver or exemption applies.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application also includes a non-orphan indication.</w:t>
      </w:r>
    </w:p>
    <w:p>
      <w:pPr>
        <w:spacing w:after="0" w:line="126" w:lineRule="exact"/>
        <w:rPr>
          <w:sz w:val="20"/>
          <w:szCs w:val="20"/>
          <w:color w:val="auto"/>
        </w:rPr>
      </w:pPr>
    </w:p>
    <w:p>
      <w:pPr>
        <w:jc w:val="both"/>
        <w:ind w:right="20"/>
        <w:spacing w:after="0" w:line="230" w:lineRule="auto"/>
        <w:rPr>
          <w:sz w:val="20"/>
          <w:szCs w:val="20"/>
          <w:color w:val="auto"/>
        </w:rPr>
      </w:pPr>
      <w:r>
        <w:rPr>
          <w:rFonts w:ascii="Arial" w:cs="Arial" w:eastAsia="Arial" w:hAnsi="Arial"/>
          <w:sz w:val="17"/>
          <w:szCs w:val="17"/>
          <w:color w:val="auto"/>
        </w:rPr>
        <w:t>The FDA reviews all submitted NDAs and BLAs before it accepts them for filing, and may request additional information rather than accepting the NDA or BLA for filing. The FDA must make a decision on accepting an NDA or BLA for filing within sixty days of receipt. Such decision could include either issue a refusal to file letter or acceptance of the NDA or BLA for filing, indicating that it is sufficiently complete to permit substantive review.</w:t>
      </w:r>
    </w:p>
    <w:p>
      <w:pPr>
        <w:spacing w:after="0" w:line="143"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Once an NDA or BLA has been accepted for filing, the FDA begins an in-depth review of the NDA or BLA. Under the goals and policies agreed to by the FDA under PDUFA, the FDA aims to review standard applications within ten months from the filing date, during which it will complete its initial review of a new molecular entity NDA or original BLA and respond to the applicant, or within six months from the filing date of a new molecular entity NDA or original BLA designated for priority review. In both standard and priority reviews, the FDA does not always meet its PDUFA goal dates, and the review process is often significantly extended by FDA requests for additional information or clarification. The FDA reviews the application to determine, among other things, whether a product is safe and effective, or for a biologic, safe, pure and potent for its intended use, and whether the facility in which it is manufactured, processed, packed or held meets standards designed to assure and preserve the product’s identity, safety, strength, quality, potency and purity.</w:t>
      </w:r>
    </w:p>
    <w:p>
      <w:pPr>
        <w:spacing w:after="0" w:line="12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Before approving an NDA or BLA, the FDA will conduct a pre-approval inspection of the manufacturing facility or facilities for the new product to determine whether they comply with cGMP requirements. The FDA will not approve an application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the advisory committee, but it considers such recommendations when making decisions on approval.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00"/>
          </w:cols>
          <w:pgMar w:left="320" w:top="448" w:right="37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After the FDA evaluates an NDA or BLA and conducts inspections of manufacturing facilities where the investigational product and/or its drug substance will be manufactured, the FDA will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application in condition for approval, including requests for additional information or clarification, which may include the potential requirement for additional clinical studies, including the potential requirement to conduct additional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28"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application fee.</w:t>
      </w:r>
    </w:p>
    <w:p>
      <w:pPr>
        <w:spacing w:after="0" w:line="128"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33"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Following approval of a new product, the manufacturer and the approved product are subject to pervasive and continuing regulation by the FDA, including, among other things, requirements relating to monitoring and record-keeping, reporting of adverse experiences, periodic reporting, product sampling and distribution, compliance with advertising and promotion requirements, which include restrictions on promoting the product for unapproved uses or patient populations, known as “off-label use,” and limitations on industry-sponsored scientific and educational activities. Further, after approval, if there are any changes or modifications to the approved product, including changes in indications, labeling or manufacturing processes or facilities, the applicant may be required to submit and obtain FDA review and approval of a new NDA/BLA or NDA/BLA supplement, which may require the development of additional data or preclinical studies and clinical trials.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320" w:top="448" w:right="3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The FDA may also place other conditions on approvals including the requirement for a Risk Evaluation and Mitigation Strategy, or REMS, to assure the safe use of the product. If the FDA concludes a REMS is needed, the sponsor of the NDA or BLA must submit a proposed REMS.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will not approve the NDA or BLA without an approved REMS, if required.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Product approvals may be withdrawn for non-compliance with regulatory standards or if problems occur following initial marketing.</w:t>
      </w:r>
    </w:p>
    <w:p>
      <w:pPr>
        <w:spacing w:after="0" w:line="142"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1" w:lineRule="exact"/>
        <w:rPr>
          <w:sz w:val="20"/>
          <w:szCs w:val="20"/>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fines, warning or untitled letters or holds on post-approval clinical studies;</w:t>
      </w:r>
    </w:p>
    <w:p>
      <w:pPr>
        <w:spacing w:after="0" w:line="26" w:lineRule="exact"/>
        <w:rPr>
          <w:rFonts w:ascii="MS PGothic" w:cs="MS PGothic" w:eastAsia="MS PGothic" w:hAnsi="MS PGothic"/>
          <w:sz w:val="12"/>
          <w:szCs w:val="12"/>
          <w:color w:val="auto"/>
        </w:rPr>
      </w:pPr>
    </w:p>
    <w:p>
      <w:pPr>
        <w:ind w:left="880" w:right="120" w:hanging="432"/>
        <w:spacing w:after="0" w:line="233" w:lineRule="auto"/>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product seizure or detention, or refusal of the FDA to permit the import or export of products;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consent decrees, corporate integrity agreements, debarment or exclusion from federal healthcare programs;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mandated modification of promotional materials and labeling and the issuance of corrective information;</w:t>
      </w:r>
    </w:p>
    <w:p>
      <w:pPr>
        <w:spacing w:after="0" w:line="26" w:lineRule="exact"/>
        <w:rPr>
          <w:rFonts w:ascii="MS PGothic" w:cs="MS PGothic" w:eastAsia="MS PGothic" w:hAnsi="MS PGothic"/>
          <w:sz w:val="12"/>
          <w:szCs w:val="12"/>
          <w:color w:val="auto"/>
        </w:rPr>
      </w:pPr>
    </w:p>
    <w:p>
      <w:pPr>
        <w:ind w:left="880" w:right="80" w:hanging="432"/>
        <w:spacing w:after="0" w:line="233" w:lineRule="auto"/>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 or</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5"/>
        </w:numPr>
        <w:rPr>
          <w:rFonts w:ascii="MS PGothic" w:cs="MS PGothic" w:eastAsia="MS PGothic" w:hAnsi="MS PGothic"/>
          <w:sz w:val="12"/>
          <w:szCs w:val="12"/>
          <w:color w:val="auto"/>
        </w:rPr>
      </w:pPr>
      <w:r>
        <w:rPr>
          <w:rFonts w:ascii="Arial" w:cs="Arial" w:eastAsia="Arial" w:hAnsi="Arial"/>
          <w:sz w:val="17"/>
          <w:szCs w:val="17"/>
          <w:color w:val="auto"/>
        </w:rPr>
        <w:t>injunctions or the imposition of civil or criminal penalties.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FDA closely regulates the marketing, labeling, advertising and promotion of drugs and biologics. Drugs and biologics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Biosimilars and Exclusivity</w:t>
      </w:r>
    </w:p>
    <w:p>
      <w:pPr>
        <w:spacing w:after="0" w:line="33" w:lineRule="exact"/>
        <w:rPr>
          <w:sz w:val="20"/>
          <w:szCs w:val="20"/>
          <w:color w:val="auto"/>
        </w:rPr>
      </w:pPr>
    </w:p>
    <w:p>
      <w:pPr>
        <w:ind w:right="260"/>
        <w:spacing w:after="0" w:line="22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 Act, which created an abbreviated approval pathway for biological products shown to be similar to, or interchangeable with, an FDA-licensed reference biological product. To date, only a handful of biosimilars have been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20"/>
          </w:cols>
          <w:pgMar w:left="320" w:top="448" w:right="3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licensed under the BPCIA, although numerous biosimilars have been approved in Europe. The FDA has issued several guidance documents outlining an approach to review and approval of biosimilars.</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47" w:lineRule="exact"/>
        <w:rPr>
          <w:sz w:val="20"/>
          <w:szCs w:val="20"/>
          <w:color w:val="auto"/>
        </w:rPr>
      </w:pPr>
    </w:p>
    <w:p>
      <w:pPr>
        <w:ind w:right="240"/>
        <w:spacing w:after="0" w:line="226"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47"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33" w:lineRule="exact"/>
        <w:rPr>
          <w:sz w:val="20"/>
          <w:szCs w:val="20"/>
          <w:color w:val="auto"/>
        </w:rPr>
      </w:pPr>
    </w:p>
    <w:p>
      <w:pPr>
        <w:ind w:right="260"/>
        <w:spacing w:after="0" w:line="265" w:lineRule="auto"/>
        <w:rPr>
          <w:sz w:val="20"/>
          <w:szCs w:val="20"/>
          <w:color w:val="auto"/>
        </w:rPr>
      </w:pPr>
      <w:r>
        <w:rPr>
          <w:rFonts w:ascii="Arial" w:cs="Arial" w:eastAsia="Arial" w:hAnsi="Arial"/>
          <w:sz w:val="15"/>
          <w:szCs w:val="15"/>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33" w:lineRule="exact"/>
        <w:rPr>
          <w:sz w:val="20"/>
          <w:szCs w:val="20"/>
          <w:color w:val="auto"/>
        </w:rPr>
      </w:pPr>
    </w:p>
    <w:p>
      <w:pPr>
        <w:ind w:right="500"/>
        <w:spacing w:after="0" w:line="226" w:lineRule="auto"/>
        <w:rPr>
          <w:sz w:val="20"/>
          <w:szCs w:val="20"/>
          <w:color w:val="auto"/>
        </w:rPr>
      </w:pPr>
      <w:r>
        <w:rPr>
          <w:rFonts w:ascii="Arial" w:cs="Arial" w:eastAsia="Arial" w:hAnsi="Arial"/>
          <w:sz w:val="17"/>
          <w:szCs w:val="17"/>
          <w:color w:val="auto"/>
        </w:rPr>
        <w:t>Our initial Phase 1 trials for KER-047 and KER-050 are being conducted in Australia. The Therapeutic Goods Administration, or the TGA, and the National Health and Medical Research Council set the GCP requirements for clinical research in Australia, and compliance with these codes is mandatory. Australia has also adopted international codes, such as those promulgated by the International Council for Harmonization of Technical Requirements for Registration of Pharmaceuticals for Human Use, or the ICH. The ICH guidelines must be complied with across all fields of clinical research,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similar to those required in other major jurisdictions.</w:t>
      </w:r>
    </w:p>
    <w:p>
      <w:pPr>
        <w:spacing w:after="0" w:line="147"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Clinical trials conducted using “unapproved therapeutic goods” in Australia, being those which have not yet been evaluated by the TGA for quality, safety and efficacy must occur pursuant to either the Clinical Trial Notification Scheme, or the CTN Scheme, or the Clinical Trial Exemption Scheme, or the CTX Scheme. In each case, the trial is supervised by a Human Research Ethics Committee, or HREC, an independent review committee set up under guidelines of the Australian National Health and Medical Research Council that ensures the protection of rights, safety and well-being of human subjects involved in a clinical trial. A HREC does this by reviewing, approving and providing continuing examination of trial protocols and amendments, and of the methods and material to be used in obtaining and documenting informed consent of the trial subjects.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40"/>
          </w:cols>
          <w:pgMar w:left="320" w:top="448" w:right="3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CTN Scheme broadly involves:</w:t>
      </w:r>
    </w:p>
    <w:p>
      <w:pPr>
        <w:spacing w:after="0" w:line="183" w:lineRule="exact"/>
        <w:rPr>
          <w:sz w:val="20"/>
          <w:szCs w:val="20"/>
          <w:color w:val="auto"/>
        </w:rPr>
      </w:pPr>
    </w:p>
    <w:p>
      <w:pPr>
        <w:ind w:left="880" w:hanging="432"/>
        <w:spacing w:after="0"/>
        <w:tabs>
          <w:tab w:leader="none" w:pos="880" w:val="left"/>
        </w:tabs>
        <w:numPr>
          <w:ilvl w:val="0"/>
          <w:numId w:val="86"/>
        </w:numPr>
        <w:rPr>
          <w:rFonts w:ascii="MS PGothic" w:cs="MS PGothic" w:eastAsia="MS PGothic" w:hAnsi="MS PGothic"/>
          <w:sz w:val="12"/>
          <w:szCs w:val="12"/>
          <w:color w:val="auto"/>
        </w:rPr>
      </w:pPr>
      <w:r>
        <w:rPr>
          <w:rFonts w:ascii="Arial" w:cs="Arial" w:eastAsia="Arial" w:hAnsi="Arial"/>
          <w:sz w:val="17"/>
          <w:szCs w:val="17"/>
          <w:color w:val="auto"/>
        </w:rPr>
        <w:t>completion of preclinical laboratory and animal testing;</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6"/>
        </w:numPr>
        <w:rPr>
          <w:rFonts w:ascii="MS PGothic" w:cs="MS PGothic" w:eastAsia="MS PGothic" w:hAnsi="MS PGothic"/>
          <w:sz w:val="12"/>
          <w:szCs w:val="12"/>
          <w:color w:val="auto"/>
        </w:rPr>
      </w:pPr>
      <w:r>
        <w:rPr>
          <w:rFonts w:ascii="Arial" w:cs="Arial" w:eastAsia="Arial" w:hAnsi="Arial"/>
          <w:sz w:val="17"/>
          <w:szCs w:val="17"/>
          <w:color w:val="auto"/>
        </w:rPr>
        <w:t>submission to a HREC, of all material relating to the proposed clinical trial, including the trial protocol;</w:t>
      </w:r>
    </w:p>
    <w:p>
      <w:pPr>
        <w:spacing w:after="0" w:line="26" w:lineRule="exact"/>
        <w:rPr>
          <w:rFonts w:ascii="MS PGothic" w:cs="MS PGothic" w:eastAsia="MS PGothic" w:hAnsi="MS PGothic"/>
          <w:sz w:val="12"/>
          <w:szCs w:val="12"/>
          <w:color w:val="auto"/>
        </w:rPr>
      </w:pPr>
    </w:p>
    <w:p>
      <w:pPr>
        <w:ind w:left="880" w:right="60" w:hanging="432"/>
        <w:spacing w:after="0" w:line="233" w:lineRule="auto"/>
        <w:tabs>
          <w:tab w:leader="none" w:pos="880" w:val="left"/>
        </w:tabs>
        <w:numPr>
          <w:ilvl w:val="0"/>
          <w:numId w:val="86"/>
        </w:numPr>
        <w:rPr>
          <w:rFonts w:ascii="MS PGothic" w:cs="MS PGothic" w:eastAsia="MS PGothic" w:hAnsi="MS PGothic"/>
          <w:sz w:val="12"/>
          <w:szCs w:val="12"/>
          <w:color w:val="auto"/>
        </w:rPr>
      </w:pPr>
      <w:r>
        <w:rPr>
          <w:rFonts w:ascii="Arial" w:cs="Arial" w:eastAsia="Arial" w:hAnsi="Arial"/>
          <w:sz w:val="17"/>
          <w:szCs w:val="17"/>
          <w:color w:val="auto"/>
        </w:rPr>
        <w:t>the institution or organisation at which the trial will be conducted, referred to as the “Approving Authority”, giving final approval for the conduct of the trial at the site, having regard to the advice from the HREC; and</w:t>
      </w:r>
    </w:p>
    <w:p>
      <w:pPr>
        <w:spacing w:after="0" w:line="25" w:lineRule="exact"/>
        <w:rPr>
          <w:rFonts w:ascii="MS PGothic" w:cs="MS PGothic" w:eastAsia="MS PGothic" w:hAnsi="MS PGothic"/>
          <w:sz w:val="12"/>
          <w:szCs w:val="12"/>
          <w:color w:val="auto"/>
        </w:rPr>
      </w:pPr>
    </w:p>
    <w:p>
      <w:pPr>
        <w:jc w:val="both"/>
        <w:ind w:left="880" w:right="180" w:hanging="432"/>
        <w:spacing w:after="0" w:line="271" w:lineRule="auto"/>
        <w:tabs>
          <w:tab w:leader="none" w:pos="880" w:val="left"/>
        </w:tabs>
        <w:numPr>
          <w:ilvl w:val="0"/>
          <w:numId w:val="86"/>
        </w:numPr>
        <w:rPr>
          <w:rFonts w:ascii="MS PGothic" w:cs="MS PGothic" w:eastAsia="MS PGothic" w:hAnsi="MS PGothic"/>
          <w:sz w:val="11"/>
          <w:szCs w:val="11"/>
          <w:color w:val="auto"/>
        </w:rPr>
      </w:pPr>
      <w:r>
        <w:rPr>
          <w:rFonts w:ascii="Arial" w:cs="Arial" w:eastAsia="Arial" w:hAnsi="Arial"/>
          <w:sz w:val="15"/>
          <w:szCs w:val="15"/>
          <w:color w:val="auto"/>
        </w:rPr>
        <w:t>the investigator submitting a ‘Notification of Intent to Conduct a Clinical Trial’ form, or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CTX Scheme:</w:t>
      </w:r>
    </w:p>
    <w:p>
      <w:pPr>
        <w:spacing w:after="0" w:line="183" w:lineRule="exact"/>
        <w:rPr>
          <w:sz w:val="20"/>
          <w:szCs w:val="20"/>
          <w:color w:val="auto"/>
        </w:rPr>
      </w:pPr>
    </w:p>
    <w:p>
      <w:pPr>
        <w:ind w:left="880" w:hanging="432"/>
        <w:spacing w:after="0"/>
        <w:tabs>
          <w:tab w:leader="none" w:pos="880" w:val="left"/>
        </w:tabs>
        <w:numPr>
          <w:ilvl w:val="0"/>
          <w:numId w:val="87"/>
        </w:numPr>
        <w:rPr>
          <w:rFonts w:ascii="MS PGothic" w:cs="MS PGothic" w:eastAsia="MS PGothic" w:hAnsi="MS PGothic"/>
          <w:sz w:val="12"/>
          <w:szCs w:val="12"/>
          <w:color w:val="auto"/>
        </w:rPr>
      </w:pPr>
      <w:r>
        <w:rPr>
          <w:rFonts w:ascii="Arial" w:cs="Arial" w:eastAsia="Arial" w:hAnsi="Arial"/>
          <w:sz w:val="17"/>
          <w:szCs w:val="17"/>
          <w:color w:val="auto"/>
        </w:rPr>
        <w:t>a sponsor submits an application to conduct a clinical trial to the TGA for evaluation and comment;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7"/>
        </w:numPr>
        <w:rPr>
          <w:rFonts w:ascii="MS PGothic" w:cs="MS PGothic" w:eastAsia="MS PGothic" w:hAnsi="MS PGothic"/>
          <w:sz w:val="12"/>
          <w:szCs w:val="12"/>
          <w:color w:val="auto"/>
        </w:rPr>
      </w:pPr>
      <w:r>
        <w:rPr>
          <w:rFonts w:ascii="Arial" w:cs="Arial" w:eastAsia="Arial" w:hAnsi="Arial"/>
          <w:sz w:val="17"/>
          <w:szCs w:val="17"/>
          <w:color w:val="auto"/>
        </w:rPr>
        <w:t>a sponsor must forward any comments made by the TGA Delegate to the HREC(s) at the sites where the trial will be conducted.</w:t>
      </w:r>
    </w:p>
    <w:p>
      <w:pPr>
        <w:spacing w:after="0" w:line="144"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A sponsor cannot commence a trial under the CTX Scheme until written advice has been received from the TGA regarding the application and approval for the conduct of the trial has been obtained from an ethics committee and the institution at which the trial will be conducted.</w:t>
      </w:r>
    </w:p>
    <w:p>
      <w:pPr>
        <w:spacing w:after="0" w:line="143" w:lineRule="exact"/>
        <w:rPr>
          <w:sz w:val="20"/>
          <w:szCs w:val="20"/>
          <w:color w:val="auto"/>
        </w:rPr>
      </w:pPr>
    </w:p>
    <w:p>
      <w:pPr>
        <w:ind w:right="540"/>
        <w:spacing w:after="0" w:line="233" w:lineRule="auto"/>
        <w:rPr>
          <w:sz w:val="20"/>
          <w:szCs w:val="20"/>
          <w:color w:val="auto"/>
        </w:rPr>
      </w:pPr>
      <w:r>
        <w:rPr>
          <w:rFonts w:ascii="Arial" w:cs="Arial" w:eastAsia="Arial" w:hAnsi="Arial"/>
          <w:sz w:val="17"/>
          <w:szCs w:val="17"/>
          <w:color w:val="auto"/>
        </w:rPr>
        <w:t>Approval for inclusion in the Australian Register of Therapeutic Goods, or ARTG, is required before a pharmaceutical product may be marketed (or imported, exported or manufactured) in Australia. In order to obtain registration of the product on the ARTG, it is required that:</w:t>
      </w:r>
    </w:p>
    <w:p>
      <w:pPr>
        <w:spacing w:after="0" w:line="182" w:lineRule="exact"/>
        <w:rPr>
          <w:sz w:val="20"/>
          <w:szCs w:val="20"/>
          <w:color w:val="auto"/>
        </w:rPr>
      </w:pPr>
    </w:p>
    <w:p>
      <w:pPr>
        <w:ind w:left="880" w:hanging="432"/>
        <w:spacing w:after="0"/>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adequate and well-controlled clinical trials demonstrate the quality, safety and efficacy of the therapeutic product;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evidence is compiled which demonstrates that the manufacture of the therapeutic product complies with the principles of cGMP;</w:t>
      </w:r>
    </w:p>
    <w:p>
      <w:pPr>
        <w:spacing w:after="0" w:line="26" w:lineRule="exact"/>
        <w:rPr>
          <w:rFonts w:ascii="MS PGothic" w:cs="MS PGothic" w:eastAsia="MS PGothic" w:hAnsi="MS PGothic"/>
          <w:sz w:val="12"/>
          <w:szCs w:val="12"/>
          <w:color w:val="auto"/>
        </w:rPr>
      </w:pPr>
    </w:p>
    <w:p>
      <w:pPr>
        <w:ind w:left="880" w:right="100" w:hanging="432"/>
        <w:spacing w:after="0" w:line="233" w:lineRule="auto"/>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manufacturing and clinical data is derived to submit to the Advisory Committee on Prescription Medicines, which makes recommendations to the TGA as to whether or not to grant approval to include the therapeutic product in the ARTG; and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an ultimate decision is made by the TGA whether to include the therapeutic product in the ARTG.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Compliance Requirements</w:t>
      </w:r>
    </w:p>
    <w:p>
      <w:pPr>
        <w:spacing w:after="0" w:line="3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U.S. federal Health Insurance Portability and Accountability Act of 1996, or HIPAA, and similar foreign, federal and state fraud and abuse, transparency and privacy laws.</w:t>
      </w:r>
    </w:p>
    <w:p>
      <w:pPr>
        <w:spacing w:after="0" w:line="14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448" w:right="3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 xml:space="preserve">Civil and criminal false claims laws, including the civil False Claims Act, which can be enforced through civil whistleblower or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and civil monetary penalty laws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allegedly providing free product to customers with the expectation that the customers would bill federal programs for the product.</w:t>
      </w:r>
    </w:p>
    <w:p>
      <w:pPr>
        <w:spacing w:after="0" w:line="12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HIPAA created additional federal civil and criminal liability for, among other things, executing a scheme to defraud any healthcare benefit program, including private third-party payors, and making false statements relating to healthcare matters. Similar to the U.S. federal Anti-Kickback Statute, a person or entity does not need to have actual knowledge of the statute or specific intent to violate it in order to have committed a violation. In addition, HIPAA, as amended by HITECH, and their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w:t>
      </w:r>
    </w:p>
    <w:p>
      <w:pPr>
        <w:spacing w:after="0" w:line="147"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U.S. federal Physician Payments Sunshine Act requires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made in the prior year to physicians, as defined under such law, teaching hospitals and, beginning in 2022, certain other healthcare providers, as well as ownership and investment interests held by such healthcare providers and their immediate family members.</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3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No uniform policy for coverage and reimbursement exists in the United States, and coverage and reimbursement can differ significantly from payor to payor. Decisions regarding whether to cover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448" w:right="3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4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25"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 party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33"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42"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ACA-mandated fees, and increasing the point-of-sale discount that is owed by pharmaceutical manufacturers who participate in Medicare Part D.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legislation enacted in 2017, informally titled the Tax Cuts and Jobs Act. Additionally, on December 18, 2019, the U.S. Court of Appeals for the 5th Circuit ruled that that the individual mandate was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0"/>
          </w:cols>
          <w:pgMar w:left="320" w:top="448" w:right="3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unconstitutional and remanded the case back to the District Court to determine whether the remaining provisions of the ACA are invalid as well.</w:t>
      </w:r>
    </w:p>
    <w:p>
      <w:pPr>
        <w:spacing w:after="0" w:line="14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2029 unless additional action is taken by Congress.</w:t>
      </w:r>
    </w:p>
    <w:p>
      <w:pPr>
        <w:spacing w:after="0" w:line="14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soliciting feedback on certain of these measures and, additionally,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8"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or conditions to access certain investigational products for which a Phase I clinical trial has been completed, and that are undergoing investigation for FDA approval, provided that the investigational product has not been approved for any use. Under certain circumstances, eligible patients can seek treatment without enrolling in clinical trials and without obtaining FDA permission under the FDA expanded access program. There is no obligation for a drug manufacturer to make its investigational products available to eligible patients as a result of the Right to Try Act.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3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Foreign Corrupt Practices Act</w:t>
      </w:r>
    </w:p>
    <w:p>
      <w:pPr>
        <w:spacing w:after="0" w:line="3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U.S. Foreign Corrupt Practices Act, or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48" w:right="3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96"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As of December 31, 2019, we had 23 full-time employees, including nine who hold Ph.D. or M.D. degrees. Of these full-time employees, 17 employees are engaged in research and development and six employees are engaged in management or general and administrative activities. None of our employees are subject to a collective bargaining agreement or represented by a trade or labor union. We consider our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8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principal office is located at 99 Hayden Avenue, Suite 120, Building E, Lexington, Massachusetts 02421, where we lease approximately 10,400 square feet of office and laboratory space under a lease that terminates in 2022.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8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From time to time, we may be involved in various other claims and legal proceedings relating to claims arising out of our operations. We are not currently a party to any material legal proceedings.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00"/>
          </w:cols>
          <w:pgMar w:left="320" w:top="448" w:right="3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our executive officers and directors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NAME</w:t>
            </w:r>
          </w:p>
        </w:tc>
        <w:tc>
          <w:tcPr>
            <w:tcW w:w="314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POSITION(S)</w:t>
            </w:r>
          </w:p>
        </w:tc>
        <w:tc>
          <w:tcPr>
            <w:tcW w:w="1760" w:type="dxa"/>
            <w:vAlign w:val="bottom"/>
          </w:tcPr>
          <w:p>
            <w:pPr>
              <w:spacing w:after="0"/>
              <w:rPr>
                <w:sz w:val="16"/>
                <w:szCs w:val="16"/>
                <w:color w:val="auto"/>
              </w:rPr>
            </w:pPr>
          </w:p>
        </w:tc>
      </w:tr>
      <w:tr>
        <w:trPr>
          <w:trHeight w:val="150"/>
        </w:trPr>
        <w:tc>
          <w:tcPr>
            <w:tcW w:w="3560" w:type="dxa"/>
            <w:vAlign w:val="bottom"/>
            <w:gridSpan w:val="2"/>
          </w:tcPr>
          <w:p>
            <w:pPr>
              <w:spacing w:after="0" w:line="150" w:lineRule="exact"/>
              <w:rPr>
                <w:sz w:val="20"/>
                <w:szCs w:val="20"/>
                <w:color w:val="auto"/>
              </w:rPr>
            </w:pPr>
            <w:r>
              <w:rPr>
                <w:rFonts w:ascii="Arial" w:cs="Arial" w:eastAsia="Arial" w:hAnsi="Arial"/>
                <w:sz w:val="17"/>
                <w:szCs w:val="17"/>
                <w:b w:val="1"/>
                <w:bCs w:val="1"/>
                <w:i w:val="1"/>
                <w:iCs w:val="1"/>
                <w:color w:val="auto"/>
              </w:rPr>
              <w:t>Executive Officers</w:t>
            </w:r>
          </w:p>
        </w:tc>
        <w:tc>
          <w:tcPr>
            <w:tcW w:w="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Jasbir Seehra, Ph.D.</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64</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w w:val="96"/>
              </w:rPr>
              <w:t>Chief Executive Officer and Director</w:t>
            </w: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Jennifer Lachey, Ph.D.</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47</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rPr>
              <w:t>Chief Scientific Officer</w:t>
            </w:r>
          </w:p>
        </w:tc>
      </w:tr>
      <w:tr>
        <w:trPr>
          <w:trHeight w:val="198"/>
        </w:trPr>
        <w:tc>
          <w:tcPr>
            <w:tcW w:w="3560" w:type="dxa"/>
            <w:vAlign w:val="bottom"/>
            <w:gridSpan w:val="2"/>
          </w:tcPr>
          <w:p>
            <w:pPr>
              <w:spacing w:after="0"/>
              <w:rPr>
                <w:sz w:val="20"/>
                <w:szCs w:val="20"/>
                <w:color w:val="auto"/>
              </w:rPr>
            </w:pPr>
            <w:r>
              <w:rPr>
                <w:rFonts w:ascii="Arial" w:cs="Arial" w:eastAsia="Arial" w:hAnsi="Arial"/>
                <w:sz w:val="17"/>
                <w:szCs w:val="17"/>
                <w:color w:val="auto"/>
              </w:rPr>
              <w:t>Claudia Ordonez, M.D.</w:t>
            </w:r>
          </w:p>
        </w:tc>
        <w:tc>
          <w:tcPr>
            <w:tcW w:w="300" w:type="dxa"/>
            <w:vAlign w:val="bottom"/>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Chief Medical Officer</w:t>
            </w:r>
          </w:p>
        </w:tc>
      </w:tr>
      <w:tr>
        <w:trPr>
          <w:trHeight w:val="377"/>
        </w:trPr>
        <w:tc>
          <w:tcPr>
            <w:tcW w:w="35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Non-Employee Directors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Zafrira Avnur, Ph.D.</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69</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rPr>
              <w:t>Director</w:t>
            </w: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Tomer Kariv</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58</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rPr>
              <w:t>Director</w:t>
            </w: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Julius Knowles</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56</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rPr>
              <w:t>Director</w:t>
            </w:r>
          </w:p>
        </w:tc>
      </w:tr>
      <w:tr>
        <w:trPr>
          <w:trHeight w:val="183"/>
        </w:trPr>
        <w:tc>
          <w:tcPr>
            <w:tcW w:w="3560" w:type="dxa"/>
            <w:vAlign w:val="bottom"/>
            <w:gridSpan w:val="2"/>
          </w:tcPr>
          <w:p>
            <w:pPr>
              <w:spacing w:after="0" w:line="183" w:lineRule="exact"/>
              <w:rPr>
                <w:sz w:val="20"/>
                <w:szCs w:val="20"/>
                <w:color w:val="auto"/>
              </w:rPr>
            </w:pPr>
            <w:r>
              <w:rPr>
                <w:rFonts w:ascii="Arial" w:cs="Arial" w:eastAsia="Arial" w:hAnsi="Arial"/>
                <w:sz w:val="17"/>
                <w:szCs w:val="17"/>
                <w:color w:val="auto"/>
              </w:rPr>
              <w:t>Alon Lazarus, Ph.D.</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44</w:t>
            </w:r>
          </w:p>
        </w:tc>
        <w:tc>
          <w:tcPr>
            <w:tcW w:w="16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Arial" w:cs="Arial" w:eastAsia="Arial" w:hAnsi="Arial"/>
                <w:sz w:val="17"/>
                <w:szCs w:val="17"/>
                <w:color w:val="auto"/>
              </w:rPr>
              <w:t>Director</w:t>
            </w:r>
          </w:p>
        </w:tc>
      </w:tr>
      <w:tr>
        <w:trPr>
          <w:trHeight w:val="198"/>
        </w:trPr>
        <w:tc>
          <w:tcPr>
            <w:tcW w:w="3560" w:type="dxa"/>
            <w:vAlign w:val="bottom"/>
            <w:gridSpan w:val="2"/>
          </w:tcPr>
          <w:p>
            <w:pPr>
              <w:spacing w:after="0"/>
              <w:rPr>
                <w:sz w:val="20"/>
                <w:szCs w:val="20"/>
                <w:color w:val="auto"/>
              </w:rPr>
            </w:pPr>
            <w:r>
              <w:rPr>
                <w:rFonts w:ascii="Arial" w:cs="Arial" w:eastAsia="Arial" w:hAnsi="Arial"/>
                <w:sz w:val="17"/>
                <w:szCs w:val="17"/>
                <w:color w:val="auto"/>
              </w:rPr>
              <w:t>Ran Nussbaum</w:t>
            </w:r>
          </w:p>
        </w:tc>
        <w:tc>
          <w:tcPr>
            <w:tcW w:w="30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367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 xml:space="preserve">Jasbir Seehra, Ph.D., </w:t>
      </w:r>
      <w:r>
        <w:rPr>
          <w:rFonts w:ascii="Arial" w:cs="Arial" w:eastAsia="Arial" w:hAnsi="Arial"/>
          <w:sz w:val="15"/>
          <w:szCs w:val="15"/>
          <w:color w:val="auto"/>
        </w:rPr>
        <w:t>has served as our Chief Executive Officer and as a member of our board of directors since December 2015. Prior to joining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 Seehra served as the Chief Scientific Officer at Ember Therapeutics, Inc. from December 2011 to April 2015. From February 2004 to November 2010, Dr. Seehra served as the Co-Founder and Chief Scientific Officer of Acceleron Pharma Inc. Dr. Seehra serves on the board of directors of Eloxx Pharmaceuticals, Inc. He has also served as Vice President of Biological Chemistry at Wyeth and led the small molecule lead discovery effort at Genetics Institute, Inc., where he helped build the institute’s small molecule drug discovery capabilities, including medicinal chemistry, high throughput screening and structural biology. Dr. Seehra received a B.Sc. and a Ph.D. in Biochemistry from the University of Southampton in England. He completed his postdoctoral work at the Massachusetts Institute of Technology. Our board of directors believes that Dr. Seehra’s extensive experience in the pharmaceutical industry and executive leadership experience provides him with the qualifications to serve on our board of directors.</w:t>
      </w:r>
    </w:p>
    <w:p>
      <w:pPr>
        <w:spacing w:after="0" w:line="107"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b w:val="1"/>
          <w:bCs w:val="1"/>
          <w:i w:val="1"/>
          <w:iCs w:val="1"/>
          <w:color w:val="auto"/>
        </w:rPr>
        <w:t xml:space="preserve">Jennifer Lachey, Ph.D., </w:t>
      </w:r>
      <w:r>
        <w:rPr>
          <w:rFonts w:ascii="Arial" w:cs="Arial" w:eastAsia="Arial" w:hAnsi="Arial"/>
          <w:sz w:val="15"/>
          <w:szCs w:val="15"/>
          <w:color w:val="auto"/>
        </w:rPr>
        <w:t>has served as our Chief Scientific Officer since June 2019, and as our Vice President of Biology and Pharmacology since July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2016. Prior to joining us, Dr. Lachey served as a Senior Director at Seres Therapeutics, Inc. from March 2015 to July 2016. From July 2012 to January 2015, Dr. Lachey served as the Senior Director of Preclinical Pharmacology at Ember Therapeutics, Inc. From January 2008 to July 2012, Dr. Lachey served as the Associate Director of Preclinical Pharmacology at Acceleron Pharma Inc. Dr. Lachey received a B.Sc. in Biology from Indiana University, and a Ph.D. in Neurobiology from the University of Cincinnati. Dr. Lachey completed her post-doctoral training at Beth Israel Deaconess Medical Center.</w:t>
      </w:r>
    </w:p>
    <w:p>
      <w:pPr>
        <w:spacing w:after="0" w:line="104" w:lineRule="exact"/>
        <w:rPr>
          <w:sz w:val="20"/>
          <w:szCs w:val="20"/>
          <w:color w:val="auto"/>
        </w:rPr>
      </w:pPr>
    </w:p>
    <w:p>
      <w:pPr>
        <w:spacing w:after="0" w:line="230" w:lineRule="auto"/>
        <w:rPr>
          <w:sz w:val="20"/>
          <w:szCs w:val="20"/>
          <w:color w:val="auto"/>
        </w:rPr>
      </w:pPr>
      <w:r>
        <w:rPr>
          <w:rFonts w:ascii="Arial" w:cs="Arial" w:eastAsia="Arial" w:hAnsi="Arial"/>
          <w:sz w:val="17"/>
          <w:szCs w:val="17"/>
          <w:b w:val="1"/>
          <w:bCs w:val="1"/>
          <w:i w:val="1"/>
          <w:iCs w:val="1"/>
          <w:color w:val="auto"/>
        </w:rPr>
        <w:t xml:space="preserve">Claudia Ordonez, M.D., </w:t>
      </w:r>
      <w:r>
        <w:rPr>
          <w:rFonts w:ascii="Arial" w:cs="Arial" w:eastAsia="Arial" w:hAnsi="Arial"/>
          <w:sz w:val="17"/>
          <w:szCs w:val="17"/>
          <w:color w:val="auto"/>
        </w:rPr>
        <w:t>has served as our Chief Medical Officer since September 2019. Prior to joining us, Dr. Ordonez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Akcea Therapeutics, Inc. from November 2018 to September 2019. From October 2015 to October 2018, Dr. Ordonez served as Chief Medical Officer of Flatley Discovery Lab. From July 2012 to October 2015, Dr. Ordonez served as Senior Medical Director at Biogen Inc. (formerly Biogen Idec Inc.). From July 2006 to June 2012, Dr. Ordonez served as Senior Medical Director at Vertex Pharmaceuticals, Inc. Dr. Ordonez also served as a full-time attending physician at Boston Children’s Hospital from August 1998 to July 2006, maintaining the position on a part-time basis to April 2013. Dr. Ordonez received a B.A. in Biology from the University of Maryland, Baltimore County, and an M.D. in Medicine and received fellowship training at University of California, San Francisco.</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62"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b w:val="1"/>
          <w:bCs w:val="1"/>
          <w:i w:val="1"/>
          <w:iCs w:val="1"/>
          <w:color w:val="auto"/>
        </w:rPr>
        <w:t xml:space="preserve">Zafrira Avnur, Ph.D., </w:t>
      </w:r>
      <w:r>
        <w:rPr>
          <w:rFonts w:ascii="Arial" w:cs="Arial" w:eastAsia="Arial" w:hAnsi="Arial"/>
          <w:sz w:val="17"/>
          <w:szCs w:val="17"/>
          <w:color w:val="auto"/>
        </w:rPr>
        <w:t>has served as a member of our board of directors since November 2018. Dr. Avnur has served as the Chief Scientific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Quark Venture Inc., a venture investment fund focused on life sciences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0"/>
          </w:cols>
          <w:pgMar w:left="320" w:top="448" w:right="3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investments, since October 2016. From January 2009 to October 2016, Dr. Avnur served as the Global Head of Academic Innovation, Roche Partnering. Dr. Avnur currently serves as a director for Eloxx Pharmaceuticals, Inc. Dr. Avnur received a Ph.D. in Biology from the Weizmann Institute of Science in Israel. Our board of directors believes that Dr. Avnur’s experience in life sciences venture capital provides her with the qualifications to serve on our board of directors.</w:t>
      </w:r>
    </w:p>
    <w:p>
      <w:pPr>
        <w:spacing w:after="0" w:line="125"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b w:val="1"/>
          <w:bCs w:val="1"/>
          <w:i w:val="1"/>
          <w:iCs w:val="1"/>
          <w:color w:val="auto"/>
        </w:rPr>
        <w:t xml:space="preserve">Tomer Kariv </w:t>
      </w:r>
      <w:r>
        <w:rPr>
          <w:rFonts w:ascii="Arial" w:cs="Arial" w:eastAsia="Arial" w:hAnsi="Arial"/>
          <w:sz w:val="17"/>
          <w:szCs w:val="17"/>
          <w:color w:val="auto"/>
        </w:rPr>
        <w:t>has served as a member of our board of directors since January 2020. Mr. Kariv has served as Managing Partner and Co-Founder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Pontifax Group, or Pontifax, a group of Israeli-based life sciences venture funds focusing on investments in development stage bio-pharmaceutical and med-tech technologies, since December 2004. Mr. Kariv currently serves on the boards of Eloxx Pharmaceuticals, Inc. and LogicBio Therapeutics, Inc., and he previously served on the boards of 89bio, Inc., Arno Therapeutics, Inc., Check-Cap Ltd., Macrocure Ltd. and VBI Vaccines Inc. Mr. Kariv also serves as a member of the boards of several private life sciences companies. Mr. Kariv received a B.A. in Economics from Harvard University and a J.D. from Harvard Law School. Our board of directors believes Mr. Kariv’s extensive experience as a venture capital investor, financial executive and board member qualifies him to serve on our board of directors.</w:t>
      </w:r>
    </w:p>
    <w:p>
      <w:pPr>
        <w:spacing w:after="0" w:line="125" w:lineRule="exact"/>
        <w:rPr>
          <w:sz w:val="20"/>
          <w:szCs w:val="20"/>
          <w:color w:val="auto"/>
        </w:rPr>
      </w:pPr>
    </w:p>
    <w:p>
      <w:pPr>
        <w:spacing w:after="0" w:line="228" w:lineRule="auto"/>
        <w:rPr>
          <w:sz w:val="20"/>
          <w:szCs w:val="20"/>
          <w:color w:val="auto"/>
        </w:rPr>
      </w:pPr>
      <w:r>
        <w:rPr>
          <w:rFonts w:ascii="Arial" w:cs="Arial" w:eastAsia="Arial" w:hAnsi="Arial"/>
          <w:sz w:val="17"/>
          <w:szCs w:val="17"/>
          <w:b w:val="1"/>
          <w:bCs w:val="1"/>
          <w:i w:val="1"/>
          <w:iCs w:val="1"/>
          <w:color w:val="auto"/>
        </w:rPr>
        <w:t xml:space="preserve">Julius Knowles </w:t>
      </w:r>
      <w:r>
        <w:rPr>
          <w:rFonts w:ascii="Arial" w:cs="Arial" w:eastAsia="Arial" w:hAnsi="Arial"/>
          <w:sz w:val="17"/>
          <w:szCs w:val="17"/>
          <w:color w:val="auto"/>
        </w:rPr>
        <w:t>has served as a member of our board of directors since April 2016. Since January 2014, Mr. Knowles has served as a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Innovation Fund, the venture arm of Partners HealthCare. From March 2012 to January 2014, Mr. Knowles served as the Chief Executive Officer of X-BODY BioSciences Inc. (acquired by Juno Therapeutics, Inc.). From October 2006 to February 2012, Mr. Knowles was responsible for global technology and drug discovery collaborations at Novartis, including as the Head of the Platforms team for Strategic Alliances at Novartis Institute of Biomedical Research. From March 2002 to June 2006, Mr. Knowles served as the President of Novalar Pharmaceuticals, Inc. Mr. Knowles previously served as the Vice President of Business Development of Novacea, Inc. (acquired by Transcept Pharmaceuticals, Inc.) from June 2001 to March 2002, the Vice President of Business Development of SGX Pharmaceuticals, Inc. from October 1999 to June 2001 and the Director of Research and Development Planning at Vertex Pharmaceuticals, Inc. from June 1993 to October 1999. Mr. Knowles also serves on the board of several private life science companies. Mr. Knowles received a B.A. with distinction in Chemistry from Carleton College, an M.B.A. from the University of Pennsylvania and an M.Sc. in Chemistry from UC Berkeley. Our board of directors believes Mr. Knowles’ significant industry experience and corporate management experience qualify him to serve on our board of directors.</w:t>
      </w:r>
    </w:p>
    <w:p>
      <w:pPr>
        <w:spacing w:after="0" w:line="12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b w:val="1"/>
          <w:bCs w:val="1"/>
          <w:i w:val="1"/>
          <w:iCs w:val="1"/>
          <w:color w:val="auto"/>
        </w:rPr>
        <w:t>Alon Lazarus, Ph.D.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April 2016. Dr. Lazarus has held the position of Biotech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 of the Pharma Division of Arkin Holdings, Ltd., an investment firm, focused in the healthcare and pharmaceutical sectors, since August 2013. Prior to joining Arkin Holdings, Ltd., Dr. Lazarus worked for the Healthcare Business Development Department of Yissum Research Development Company of the Hebrew University of Jerusalem from January 2012 until August 2013, and as an Analyst for Integra Holdings, Ltd., an Israel-based healthcare investment company. Dr. Lazarus serves as a member of the board of directors of several private life science companies. Dr. Lazarus holds a Ph.D. in Molecular Biology from the Hadassah Medical School of Hebrew University of Jerusalem in Israel, an M.B.A. from the School of Business Administration of Hebrew University of Jerusalem in Israel and a B.Sc. in Biology from Hebrew University of Jerusalem in Israel. Our board of directors believes Dr. Lazarus’ experience as a member of the board of directors of several biotechnology companies and his comprehensive understanding of the industry qualifies him to serve on our board of directors.</w:t>
      </w:r>
    </w:p>
    <w:p>
      <w:pPr>
        <w:spacing w:after="0" w:line="123"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b w:val="1"/>
          <w:bCs w:val="1"/>
          <w:i w:val="1"/>
          <w:iCs w:val="1"/>
          <w:color w:val="auto"/>
        </w:rPr>
        <w:t xml:space="preserve">Ran Nussbaum </w:t>
      </w:r>
      <w:r>
        <w:rPr>
          <w:rFonts w:ascii="Arial" w:cs="Arial" w:eastAsia="Arial" w:hAnsi="Arial"/>
          <w:sz w:val="15"/>
          <w:szCs w:val="15"/>
          <w:color w:val="auto"/>
        </w:rPr>
        <w:t>has served as a member of our board of directors since April 2016. Since January 2004, Mr. Nussbaum has served as a Managing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and the Co-Founder of Pontifax. He also serves as a board member on many of Pontifax’s portfolio companies, including ArQule, Inc. (acquired by Merck &amp; Co., Inc.), Eloxx Pharmaceuticals Ltd., Prevail Therapeutics, Inc. and UroGen Pharma Ltd. Mr. Nussbaum previously served as a director of BioBlast Pharma Ltd., VBI Vaccines Inc. and Kite Pharma, Inc. until its acquisition by Gilead Sciences, Inc. Our board of directors believes Mr. Nussbaum’s investment experience in the life sciences industry provides him with the qualifications to serve on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448" w:right="3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96"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Our business and affairs are managed under the direction of our board of directors, which currently consists of six members. Certain members of our board of directors were elected pursuant to the provisions of a voting agreement among certain of our major stockholders. The voting agreement will terminate upon the closing of this offering and, following such termination, none of our stockholders will have any special rights regarding the election or designation of members of our board of directors.</w:t>
      </w:r>
    </w:p>
    <w:p>
      <w:pPr>
        <w:spacing w:after="0" w:line="14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Our board of directors will consist of members upon the closing of this offering. In accordance with our amended and restated certificate of incorporation to be filed in connection with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00"/>
        </w:trPr>
        <w:tc>
          <w:tcPr>
            <w:tcW w:w="26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Class I, which will consist of</w:t>
            </w:r>
          </w:p>
        </w:tc>
        <w:tc>
          <w:tcPr>
            <w:tcW w:w="820" w:type="dxa"/>
            <w:vAlign w:val="bottom"/>
          </w:tcPr>
          <w:p>
            <w:pPr>
              <w:ind w:left="100"/>
              <w:spacing w:after="0"/>
              <w:rPr>
                <w:sz w:val="20"/>
                <w:szCs w:val="20"/>
                <w:color w:val="auto"/>
              </w:rPr>
            </w:pPr>
            <w:r>
              <w:rPr>
                <w:rFonts w:ascii="Arial" w:cs="Arial" w:eastAsia="Arial" w:hAnsi="Arial"/>
                <w:sz w:val="17"/>
                <w:szCs w:val="17"/>
                <w:color w:val="auto"/>
              </w:rPr>
              <w:t>and</w:t>
            </w:r>
          </w:p>
        </w:tc>
        <w:tc>
          <w:tcPr>
            <w:tcW w:w="6680" w:type="dxa"/>
            <w:vAlign w:val="bottom"/>
          </w:tcPr>
          <w:p>
            <w:pPr>
              <w:jc w:val="center"/>
              <w:ind w:left="257"/>
              <w:spacing w:after="0"/>
              <w:rPr>
                <w:sz w:val="20"/>
                <w:szCs w:val="20"/>
                <w:color w:val="auto"/>
              </w:rPr>
            </w:pPr>
            <w:r>
              <w:rPr>
                <w:rFonts w:ascii="Arial" w:cs="Arial" w:eastAsia="Arial" w:hAnsi="Arial"/>
                <w:sz w:val="17"/>
                <w:szCs w:val="17"/>
                <w:color w:val="auto"/>
                <w:w w:val="97"/>
              </w:rPr>
              <w:t>, and will have a term that expires at our first annual meeting of stockholders to be held</w:t>
            </w:r>
          </w:p>
        </w:tc>
      </w:tr>
      <w:tr>
        <w:trPr>
          <w:trHeight w:val="198"/>
        </w:trPr>
        <w:tc>
          <w:tcPr>
            <w:tcW w:w="260" w:type="dxa"/>
            <w:vAlign w:val="bottom"/>
          </w:tcPr>
          <w:p>
            <w:pPr>
              <w:spacing w:after="0"/>
              <w:rPr>
                <w:sz w:val="17"/>
                <w:szCs w:val="17"/>
                <w:color w:val="auto"/>
              </w:rPr>
            </w:pPr>
          </w:p>
        </w:tc>
        <w:tc>
          <w:tcPr>
            <w:tcW w:w="2940" w:type="dxa"/>
            <w:vAlign w:val="bottom"/>
          </w:tcPr>
          <w:p>
            <w:pPr>
              <w:ind w:left="180"/>
              <w:spacing w:after="0"/>
              <w:rPr>
                <w:sz w:val="20"/>
                <w:szCs w:val="20"/>
                <w:color w:val="auto"/>
              </w:rPr>
            </w:pPr>
            <w:r>
              <w:rPr>
                <w:rFonts w:ascii="Arial" w:cs="Arial" w:eastAsia="Arial" w:hAnsi="Arial"/>
                <w:sz w:val="17"/>
                <w:szCs w:val="17"/>
                <w:color w:val="auto"/>
              </w:rPr>
              <w:t>after the closing of this offering;</w:t>
            </w:r>
          </w:p>
        </w:tc>
        <w:tc>
          <w:tcPr>
            <w:tcW w:w="820" w:type="dxa"/>
            <w:vAlign w:val="bottom"/>
          </w:tcPr>
          <w:p>
            <w:pPr>
              <w:spacing w:after="0"/>
              <w:rPr>
                <w:sz w:val="17"/>
                <w:szCs w:val="17"/>
                <w:color w:val="auto"/>
              </w:rPr>
            </w:pPr>
          </w:p>
        </w:tc>
        <w:tc>
          <w:tcPr>
            <w:tcW w:w="6680" w:type="dxa"/>
            <w:vAlign w:val="bottom"/>
          </w:tcPr>
          <w:p>
            <w:pPr>
              <w:spacing w:after="0"/>
              <w:rPr>
                <w:sz w:val="17"/>
                <w:szCs w:val="17"/>
                <w:color w:val="auto"/>
              </w:rPr>
            </w:pPr>
          </w:p>
        </w:tc>
      </w:tr>
      <w:tr>
        <w:trPr>
          <w:trHeight w:val="207"/>
        </w:trPr>
        <w:tc>
          <w:tcPr>
            <w:tcW w:w="26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Class II, which will consist of</w:t>
            </w:r>
          </w:p>
        </w:tc>
        <w:tc>
          <w:tcPr>
            <w:tcW w:w="820" w:type="dxa"/>
            <w:vAlign w:val="bottom"/>
          </w:tcPr>
          <w:p>
            <w:pPr>
              <w:ind w:left="140"/>
              <w:spacing w:after="0"/>
              <w:rPr>
                <w:sz w:val="20"/>
                <w:szCs w:val="20"/>
                <w:color w:val="auto"/>
              </w:rPr>
            </w:pPr>
            <w:r>
              <w:rPr>
                <w:rFonts w:ascii="Arial" w:cs="Arial" w:eastAsia="Arial" w:hAnsi="Arial"/>
                <w:sz w:val="17"/>
                <w:szCs w:val="17"/>
                <w:color w:val="auto"/>
              </w:rPr>
              <w:t>and</w:t>
            </w:r>
          </w:p>
        </w:tc>
        <w:tc>
          <w:tcPr>
            <w:tcW w:w="6680" w:type="dxa"/>
            <w:vAlign w:val="bottom"/>
          </w:tcPr>
          <w:p>
            <w:pPr>
              <w:jc w:val="center"/>
              <w:ind w:left="257"/>
              <w:spacing w:after="0"/>
              <w:rPr>
                <w:sz w:val="20"/>
                <w:szCs w:val="20"/>
                <w:color w:val="auto"/>
              </w:rPr>
            </w:pPr>
            <w:r>
              <w:rPr>
                <w:rFonts w:ascii="Arial" w:cs="Arial" w:eastAsia="Arial" w:hAnsi="Arial"/>
                <w:sz w:val="17"/>
                <w:szCs w:val="17"/>
                <w:color w:val="auto"/>
                <w:w w:val="97"/>
              </w:rPr>
              <w:t>, and will have a term that expires at our second annual meeting of stockholders to be</w:t>
            </w:r>
          </w:p>
        </w:tc>
      </w:tr>
      <w:tr>
        <w:trPr>
          <w:trHeight w:val="198"/>
        </w:trPr>
        <w:tc>
          <w:tcPr>
            <w:tcW w:w="260" w:type="dxa"/>
            <w:vAlign w:val="bottom"/>
          </w:tcPr>
          <w:p>
            <w:pPr>
              <w:spacing w:after="0"/>
              <w:rPr>
                <w:sz w:val="17"/>
                <w:szCs w:val="17"/>
                <w:color w:val="auto"/>
              </w:rPr>
            </w:pPr>
          </w:p>
        </w:tc>
        <w:tc>
          <w:tcPr>
            <w:tcW w:w="3760" w:type="dxa"/>
            <w:vAlign w:val="bottom"/>
            <w:gridSpan w:val="2"/>
          </w:tcPr>
          <w:p>
            <w:pPr>
              <w:ind w:left="180"/>
              <w:spacing w:after="0"/>
              <w:rPr>
                <w:sz w:val="20"/>
                <w:szCs w:val="20"/>
                <w:color w:val="auto"/>
              </w:rPr>
            </w:pPr>
            <w:r>
              <w:rPr>
                <w:rFonts w:ascii="Arial" w:cs="Arial" w:eastAsia="Arial" w:hAnsi="Arial"/>
                <w:sz w:val="17"/>
                <w:szCs w:val="17"/>
                <w:color w:val="auto"/>
              </w:rPr>
              <w:t>held after the closing of this offering; and</w:t>
            </w:r>
          </w:p>
        </w:tc>
        <w:tc>
          <w:tcPr>
            <w:tcW w:w="6680" w:type="dxa"/>
            <w:vAlign w:val="bottom"/>
          </w:tcPr>
          <w:p>
            <w:pPr>
              <w:spacing w:after="0"/>
              <w:rPr>
                <w:sz w:val="17"/>
                <w:szCs w:val="17"/>
                <w:color w:val="auto"/>
              </w:rPr>
            </w:pPr>
          </w:p>
        </w:tc>
      </w:tr>
      <w:tr>
        <w:trPr>
          <w:trHeight w:val="207"/>
        </w:trPr>
        <w:tc>
          <w:tcPr>
            <w:tcW w:w="26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Class III, which will consist of</w:t>
            </w:r>
          </w:p>
        </w:tc>
        <w:tc>
          <w:tcPr>
            <w:tcW w:w="820" w:type="dxa"/>
            <w:vAlign w:val="bottom"/>
          </w:tcPr>
          <w:p>
            <w:pPr>
              <w:ind w:left="200"/>
              <w:spacing w:after="0"/>
              <w:rPr>
                <w:sz w:val="20"/>
                <w:szCs w:val="20"/>
                <w:color w:val="auto"/>
              </w:rPr>
            </w:pPr>
            <w:r>
              <w:rPr>
                <w:rFonts w:ascii="Arial" w:cs="Arial" w:eastAsia="Arial" w:hAnsi="Arial"/>
                <w:sz w:val="17"/>
                <w:szCs w:val="17"/>
                <w:color w:val="auto"/>
              </w:rPr>
              <w:t>and</w:t>
            </w:r>
          </w:p>
        </w:tc>
        <w:tc>
          <w:tcPr>
            <w:tcW w:w="6680" w:type="dxa"/>
            <w:vAlign w:val="bottom"/>
          </w:tcPr>
          <w:p>
            <w:pPr>
              <w:ind w:left="440"/>
              <w:spacing w:after="0"/>
              <w:rPr>
                <w:sz w:val="20"/>
                <w:szCs w:val="20"/>
                <w:color w:val="auto"/>
              </w:rPr>
            </w:pPr>
            <w:r>
              <w:rPr>
                <w:rFonts w:ascii="Arial" w:cs="Arial" w:eastAsia="Arial" w:hAnsi="Arial"/>
                <w:sz w:val="17"/>
                <w:szCs w:val="17"/>
                <w:color w:val="auto"/>
              </w:rPr>
              <w:t>, and will have a term that expires at our third annual meeting of stockholders to be</w:t>
            </w:r>
          </w:p>
        </w:tc>
      </w:tr>
      <w:tr>
        <w:trPr>
          <w:trHeight w:val="198"/>
        </w:trPr>
        <w:tc>
          <w:tcPr>
            <w:tcW w:w="260" w:type="dxa"/>
            <w:vAlign w:val="bottom"/>
          </w:tcPr>
          <w:p>
            <w:pPr>
              <w:spacing w:after="0"/>
              <w:rPr>
                <w:sz w:val="17"/>
                <w:szCs w:val="17"/>
                <w:color w:val="auto"/>
              </w:rPr>
            </w:pPr>
          </w:p>
        </w:tc>
        <w:tc>
          <w:tcPr>
            <w:tcW w:w="2940" w:type="dxa"/>
            <w:vAlign w:val="bottom"/>
          </w:tcPr>
          <w:p>
            <w:pPr>
              <w:ind w:left="180"/>
              <w:spacing w:after="0"/>
              <w:rPr>
                <w:sz w:val="20"/>
                <w:szCs w:val="20"/>
                <w:color w:val="auto"/>
              </w:rPr>
            </w:pPr>
            <w:r>
              <w:rPr>
                <w:rFonts w:ascii="Arial" w:cs="Arial" w:eastAsia="Arial" w:hAnsi="Arial"/>
                <w:sz w:val="17"/>
                <w:szCs w:val="17"/>
                <w:color w:val="auto"/>
              </w:rPr>
              <w:t>held after the closing of this offering.</w:t>
            </w:r>
          </w:p>
        </w:tc>
        <w:tc>
          <w:tcPr>
            <w:tcW w:w="820" w:type="dxa"/>
            <w:vAlign w:val="bottom"/>
          </w:tcPr>
          <w:p>
            <w:pPr>
              <w:spacing w:after="0"/>
              <w:rPr>
                <w:sz w:val="17"/>
                <w:szCs w:val="17"/>
                <w:color w:val="auto"/>
              </w:rPr>
            </w:pPr>
          </w:p>
        </w:tc>
        <w:tc>
          <w:tcPr>
            <w:tcW w:w="6680" w:type="dxa"/>
            <w:vAlign w:val="bottom"/>
          </w:tcPr>
          <w:p>
            <w:pPr>
              <w:spacing w:after="0"/>
              <w:rPr>
                <w:sz w:val="17"/>
                <w:szCs w:val="17"/>
                <w:color w:val="auto"/>
              </w:rPr>
            </w:pPr>
          </w:p>
        </w:tc>
      </w:tr>
    </w:tbl>
    <w:p>
      <w:pPr>
        <w:spacing w:after="0" w:line="142" w:lineRule="exact"/>
        <w:rPr>
          <w:sz w:val="20"/>
          <w:szCs w:val="20"/>
          <w:color w:val="auto"/>
        </w:rPr>
      </w:pPr>
    </w:p>
    <w:p>
      <w:pPr>
        <w:ind w:right="320"/>
        <w:spacing w:after="0" w:line="233" w:lineRule="auto"/>
        <w:rPr>
          <w:sz w:val="20"/>
          <w:szCs w:val="20"/>
          <w:color w:val="auto"/>
        </w:rPr>
      </w:pPr>
      <w:r>
        <w:rPr>
          <w:rFonts w:ascii="Arial" w:cs="Arial" w:eastAsia="Arial" w:hAnsi="Arial"/>
          <w:sz w:val="17"/>
          <w:szCs w:val="17"/>
          <w:color w:val="auto"/>
        </w:rPr>
        <w:t>Our amended and restated bylaws that will become effective immediately prior to the closing of this offering will provide that the authorized number of directors may be changed only by resolution approved by a majority of our board of directors.</w:t>
      </w:r>
    </w:p>
    <w:p>
      <w:pPr>
        <w:spacing w:after="0" w:line="143"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82" w:lineRule="exact"/>
        <w:rPr>
          <w:sz w:val="20"/>
          <w:szCs w:val="20"/>
          <w:color w:val="auto"/>
        </w:rPr>
      </w:pPr>
    </w:p>
    <w:p>
      <w:pPr>
        <w:jc w:val="both"/>
        <w:ind w:right="120"/>
        <w:spacing w:after="0" w:line="254" w:lineRule="auto"/>
        <w:rPr>
          <w:sz w:val="20"/>
          <w:szCs w:val="20"/>
          <w:color w:val="auto"/>
        </w:rPr>
      </w:pPr>
      <w:r>
        <w:rPr>
          <w:rFonts w:ascii="Arial" w:cs="Arial" w:eastAsia="Arial" w:hAnsi="Arial"/>
          <w:sz w:val="15"/>
          <w:szCs w:val="15"/>
          <w:color w:val="auto"/>
        </w:rPr>
        <w:t>Our board of directors has undertaken a review of the independence of our directors and considered whether any director has a relationship that, in the opinion of the board of directors, would interfere with the exercise of independent judgment in carrying out the responsibilities of a member of our board. Based upon information requested from and provided by each director concerning such director’s background, employment and affiliations, including</w:t>
      </w:r>
    </w:p>
    <w:p>
      <w:pPr>
        <w:spacing w:after="0" w:line="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family relationships, our board of directors has determined that all of our directors other than , representing of our directors, are “independent directors” as defined under the standards of the Nasdaq Stock Market, or Nasdaq.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of this prospectus titled “Certain Relationships and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82"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Our board of directors has established a compensation committee, and our board of directors will establish, immediately prior to the closing of this offering, an audit committee and a nominating and corporate governance committee. From time to time, the board may establish other committees to facilitate the management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73" w:lineRule="exact"/>
        <w:rPr>
          <w:sz w:val="20"/>
          <w:szCs w:val="20"/>
          <w:color w:val="auto"/>
        </w:rPr>
      </w:pPr>
    </w:p>
    <w:p>
      <w:pPr>
        <w:spacing w:after="0"/>
        <w:tabs>
          <w:tab w:leader="none" w:pos="5880" w:val="left"/>
          <w:tab w:leader="none" w:pos="7340" w:val="left"/>
          <w:tab w:leader="none" w:pos="8020" w:val="left"/>
          <w:tab w:leader="none" w:pos="9080" w:val="left"/>
        </w:tabs>
        <w:rPr>
          <w:sz w:val="20"/>
          <w:szCs w:val="20"/>
          <w:color w:val="auto"/>
        </w:rPr>
      </w:pPr>
      <w:r>
        <w:rPr>
          <w:rFonts w:ascii="Arial" w:cs="Arial" w:eastAsia="Arial" w:hAnsi="Arial"/>
          <w:sz w:val="17"/>
          <w:szCs w:val="17"/>
          <w:color w:val="auto"/>
        </w:rPr>
        <w:t>Upon the completion of this offering, our audit committee will consist of</w:t>
      </w:r>
      <w:r>
        <w:rPr>
          <w:sz w:val="20"/>
          <w:szCs w:val="20"/>
          <w:color w:val="auto"/>
        </w:rPr>
        <w:tab/>
      </w:r>
      <w:r>
        <w:rPr>
          <w:rFonts w:ascii="Arial" w:cs="Arial" w:eastAsia="Arial" w:hAnsi="Arial"/>
          <w:sz w:val="17"/>
          <w:szCs w:val="17"/>
          <w:color w:val="auto"/>
        </w:rPr>
        <w:t>directors,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Our board of directors has</w:t>
      </w:r>
    </w:p>
    <w:p>
      <w:pPr>
        <w:ind w:right="560"/>
        <w:spacing w:after="0" w:line="233" w:lineRule="auto"/>
        <w:rPr>
          <w:sz w:val="20"/>
          <w:szCs w:val="20"/>
          <w:color w:val="auto"/>
        </w:rPr>
      </w:pPr>
      <w:r>
        <w:rPr>
          <w:rFonts w:ascii="Arial" w:cs="Arial" w:eastAsia="Arial" w:hAnsi="Arial"/>
          <w:sz w:val="17"/>
          <w:szCs w:val="17"/>
          <w:color w:val="auto"/>
        </w:rPr>
        <w:t>determined that each of these individuals meets the requirements for independence under current rules and regulations of the SEC and the listing standards of Nasdaq. Each member of</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00"/>
          </w:cols>
          <w:pgMar w:left="320" w:top="448" w:right="3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auto"/>
        </w:rPr>
        <w:t>our audit committee meets the financial literacy requirements of the listing standards of Nasdaq. will serve as the chairman of the audit committee and our board of directors has determined that is an “audit committee financial expert” as defined by Item 407(d)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the Securities Act. The principal duties and responsibilities of our audit committee will include, among other things:</w:t>
      </w:r>
    </w:p>
    <w:p>
      <w:pPr>
        <w:spacing w:after="0" w:line="183" w:lineRule="exact"/>
        <w:rPr>
          <w:sz w:val="20"/>
          <w:szCs w:val="20"/>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selecting a qualified firm to serve as the independent registered public accounting firm to audit our financial statements;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helping to ensure the independence and performance of the independent registered public accounting firm;</w:t>
      </w:r>
    </w:p>
    <w:p>
      <w:pPr>
        <w:spacing w:after="0" w:line="26" w:lineRule="exact"/>
        <w:rPr>
          <w:rFonts w:ascii="MS PGothic" w:cs="MS PGothic" w:eastAsia="MS PGothic" w:hAnsi="MS PGothic"/>
          <w:sz w:val="12"/>
          <w:szCs w:val="12"/>
          <w:color w:val="auto"/>
        </w:rPr>
      </w:pPr>
    </w:p>
    <w:p>
      <w:pPr>
        <w:ind w:left="880" w:right="20" w:hanging="432"/>
        <w:spacing w:after="0" w:line="233"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reviewing our policies on risk assessment and risk management;</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reviewing related party transactions;</w:t>
      </w:r>
    </w:p>
    <w:p>
      <w:pPr>
        <w:spacing w:after="0" w:line="26" w:lineRule="exact"/>
        <w:rPr>
          <w:rFonts w:ascii="MS PGothic" w:cs="MS PGothic" w:eastAsia="MS PGothic" w:hAnsi="MS PGothic"/>
          <w:sz w:val="12"/>
          <w:szCs w:val="12"/>
          <w:color w:val="auto"/>
        </w:rPr>
      </w:pPr>
    </w:p>
    <w:p>
      <w:pPr>
        <w:ind w:left="880" w:right="80" w:hanging="432"/>
        <w:spacing w:after="0" w:line="230"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25" w:lineRule="exact"/>
        <w:rPr>
          <w:rFonts w:ascii="MS PGothic" w:cs="MS PGothic" w:eastAsia="MS PGothic" w:hAnsi="MS PGothic"/>
          <w:sz w:val="12"/>
          <w:szCs w:val="12"/>
          <w:color w:val="auto"/>
        </w:rPr>
      </w:pPr>
    </w:p>
    <w:p>
      <w:pPr>
        <w:ind w:left="880" w:right="300" w:hanging="432"/>
        <w:spacing w:after="0" w:line="233" w:lineRule="auto"/>
        <w:tabs>
          <w:tab w:leader="none" w:pos="880" w:val="left"/>
        </w:tabs>
        <w:numPr>
          <w:ilvl w:val="0"/>
          <w:numId w:val="89"/>
        </w:numPr>
        <w:rPr>
          <w:rFonts w:ascii="MS PGothic" w:cs="MS PGothic" w:eastAsia="MS PGothic" w:hAnsi="MS PGothic"/>
          <w:sz w:val="12"/>
          <w:szCs w:val="12"/>
          <w:color w:val="auto"/>
        </w:rPr>
      </w:pPr>
      <w:r>
        <w:rPr>
          <w:rFonts w:ascii="Arial" w:cs="Arial" w:eastAsia="Arial" w:hAnsi="Arial"/>
          <w:sz w:val="17"/>
          <w:szCs w:val="17"/>
          <w:color w:val="auto"/>
        </w:rPr>
        <w:t>approving (or, as permitted, pre-approving) all audit and all permissible non-audit services, other than de minimis non-audit services, to be performed by the independent registered public accounting firm.</w:t>
      </w:r>
    </w:p>
    <w:p>
      <w:pPr>
        <w:spacing w:after="0" w:line="14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audit committee will operate under a written charter, to be effective immediately prior to the closing of this offering, which satisfies the applicable rules and regulations of the SEC and the listing standards of Nasdaq.</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73" w:lineRule="exact"/>
        <w:rPr>
          <w:sz w:val="20"/>
          <w:szCs w:val="20"/>
          <w:color w:val="auto"/>
        </w:rPr>
      </w:pPr>
    </w:p>
    <w:p>
      <w:pPr>
        <w:spacing w:after="0"/>
        <w:tabs>
          <w:tab w:leader="none" w:pos="6540" w:val="left"/>
          <w:tab w:leader="none" w:pos="8000" w:val="left"/>
          <w:tab w:leader="none" w:pos="8880" w:val="left"/>
          <w:tab w:leader="none" w:pos="9940" w:val="left"/>
        </w:tabs>
        <w:rPr>
          <w:sz w:val="20"/>
          <w:szCs w:val="20"/>
          <w:color w:val="auto"/>
        </w:rPr>
      </w:pPr>
      <w:r>
        <w:rPr>
          <w:rFonts w:ascii="Arial" w:cs="Arial" w:eastAsia="Arial" w:hAnsi="Arial"/>
          <w:sz w:val="17"/>
          <w:szCs w:val="17"/>
          <w:color w:val="auto"/>
        </w:rPr>
        <w:t>Upon the completion of this offering, our compensation committee will consist of</w:t>
      </w:r>
      <w:r>
        <w:rPr>
          <w:sz w:val="20"/>
          <w:szCs w:val="20"/>
          <w:color w:val="auto"/>
        </w:rPr>
        <w:tab/>
      </w:r>
      <w:r>
        <w:rPr>
          <w:rFonts w:ascii="Arial" w:cs="Arial" w:eastAsia="Arial" w:hAnsi="Arial"/>
          <w:sz w:val="17"/>
          <w:szCs w:val="17"/>
          <w:color w:val="auto"/>
        </w:rPr>
        <w:t>directors,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each of whom is</w:t>
      </w:r>
    </w:p>
    <w:p>
      <w:pPr>
        <w:ind w:right="40"/>
        <w:spacing w:after="0" w:line="254" w:lineRule="auto"/>
        <w:rPr>
          <w:sz w:val="20"/>
          <w:szCs w:val="20"/>
          <w:color w:val="auto"/>
        </w:rPr>
      </w:pPr>
      <w:r>
        <w:rPr>
          <w:rFonts w:ascii="Arial" w:cs="Arial" w:eastAsia="Arial" w:hAnsi="Arial"/>
          <w:sz w:val="15"/>
          <w:szCs w:val="15"/>
          <w:color w:val="auto"/>
        </w:rPr>
        <w:t>a non-employee member of our board of directors as defined in Rule 16b-3 under the Securities Exchange Act of 1934, as amended, or the Exchange Act. Our board of directors has determined that each of these individuals meets the requirements for independence under current rules and regulations of</w:t>
      </w:r>
    </w:p>
    <w:p>
      <w:pPr>
        <w:ind w:right="1120"/>
        <w:spacing w:after="0" w:line="233" w:lineRule="auto"/>
        <w:rPr>
          <w:sz w:val="20"/>
          <w:szCs w:val="20"/>
          <w:color w:val="auto"/>
        </w:rPr>
      </w:pPr>
      <w:r>
        <w:rPr>
          <w:rFonts w:ascii="Arial" w:cs="Arial" w:eastAsia="Arial" w:hAnsi="Arial"/>
          <w:sz w:val="17"/>
          <w:szCs w:val="17"/>
          <w:color w:val="auto"/>
        </w:rPr>
        <w:t>the SEC and the listing standards of Nasdaq. will serve as the chairman of the compensation committee. The principal duties and responsibilities of our compensation committee will include, among other things:</w:t>
      </w:r>
    </w:p>
    <w:p>
      <w:pPr>
        <w:spacing w:after="0" w:line="182" w:lineRule="exact"/>
        <w:rPr>
          <w:sz w:val="20"/>
          <w:szCs w:val="20"/>
          <w:color w:val="auto"/>
        </w:rPr>
      </w:pPr>
    </w:p>
    <w:p>
      <w:pPr>
        <w:ind w:left="880" w:hanging="432"/>
        <w:spacing w:after="0" w:line="233" w:lineRule="auto"/>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reviewing and recommending to our board of directors the compensation of our directors;</w:t>
      </w:r>
    </w:p>
    <w:p>
      <w:pPr>
        <w:spacing w:after="0" w:line="26"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reviewing and approving, or recommending that our board of directors approve, the terms of compensatory arrangements with our executive officers;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administering our equity and non-equity incentive plans;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reviewing and approving, or recommending that our board of directors approve, incentive compensation and equity plans; and</w:t>
      </w:r>
    </w:p>
    <w:p>
      <w:pPr>
        <w:spacing w:after="0" w:line="26" w:lineRule="exact"/>
        <w:rPr>
          <w:rFonts w:ascii="MS PGothic" w:cs="MS PGothic" w:eastAsia="MS PGothic" w:hAnsi="MS PGothic"/>
          <w:sz w:val="12"/>
          <w:szCs w:val="12"/>
          <w:color w:val="auto"/>
        </w:rPr>
      </w:pPr>
    </w:p>
    <w:p>
      <w:pPr>
        <w:ind w:left="880" w:right="160" w:hanging="432"/>
        <w:spacing w:after="0" w:line="233" w:lineRule="auto"/>
        <w:tabs>
          <w:tab w:leader="none" w:pos="880" w:val="left"/>
        </w:tabs>
        <w:numPr>
          <w:ilvl w:val="0"/>
          <w:numId w:val="90"/>
        </w:numPr>
        <w:rPr>
          <w:rFonts w:ascii="MS PGothic" w:cs="MS PGothic" w:eastAsia="MS PGothic" w:hAnsi="MS PGothic"/>
          <w:sz w:val="12"/>
          <w:szCs w:val="12"/>
          <w:color w:val="auto"/>
        </w:rPr>
      </w:pPr>
      <w:r>
        <w:rPr>
          <w:rFonts w:ascii="Arial" w:cs="Arial" w:eastAsia="Arial" w:hAnsi="Arial"/>
          <w:sz w:val="17"/>
          <w:szCs w:val="17"/>
          <w:color w:val="auto"/>
        </w:rPr>
        <w:t>reviewing and establishing general policies relating to compensation and benefits of our employees and reviewing our overall compensation philosophy.</w:t>
      </w:r>
    </w:p>
    <w:p>
      <w:pPr>
        <w:spacing w:after="0" w:line="143" w:lineRule="exact"/>
        <w:rPr>
          <w:sz w:val="20"/>
          <w:szCs w:val="20"/>
          <w:color w:val="auto"/>
        </w:rPr>
      </w:pPr>
    </w:p>
    <w:p>
      <w:pPr>
        <w:ind w:right="560"/>
        <w:spacing w:after="0" w:line="233" w:lineRule="auto"/>
        <w:rPr>
          <w:sz w:val="20"/>
          <w:szCs w:val="20"/>
          <w:color w:val="auto"/>
        </w:rPr>
      </w:pPr>
      <w:r>
        <w:rPr>
          <w:rFonts w:ascii="Arial" w:cs="Arial" w:eastAsia="Arial" w:hAnsi="Arial"/>
          <w:sz w:val="17"/>
          <w:szCs w:val="17"/>
          <w:color w:val="auto"/>
        </w:rPr>
        <w:t>Our compensation committee will operate under a written charter, to be effective immediately prior to the closing of this offering, which satisfies the applicable rules and regulations of the SEC and the listing standards of Nasdaq.</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448" w:right="3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34" w:lineRule="exact"/>
        <w:rPr>
          <w:sz w:val="20"/>
          <w:szCs w:val="20"/>
          <w:color w:val="auto"/>
        </w:rPr>
      </w:pPr>
    </w:p>
    <w:p>
      <w:pPr>
        <w:spacing w:after="0"/>
        <w:tabs>
          <w:tab w:leader="none" w:pos="8340" w:val="left"/>
          <w:tab w:leader="none" w:pos="9800" w:val="left"/>
        </w:tabs>
        <w:rPr>
          <w:sz w:val="20"/>
          <w:szCs w:val="20"/>
          <w:color w:val="auto"/>
        </w:rPr>
      </w:pPr>
      <w:r>
        <w:rPr>
          <w:rFonts w:ascii="Arial" w:cs="Arial" w:eastAsia="Arial" w:hAnsi="Arial"/>
          <w:sz w:val="17"/>
          <w:szCs w:val="17"/>
          <w:color w:val="auto"/>
        </w:rPr>
        <w:t>Upon the completion of this offering, our nominating and corporate governance committee will consist of</w:t>
      </w:r>
      <w:r>
        <w:rPr>
          <w:sz w:val="20"/>
          <w:szCs w:val="20"/>
          <w:color w:val="auto"/>
        </w:rPr>
        <w:tab/>
      </w:r>
      <w:r>
        <w:rPr>
          <w:rFonts w:ascii="Arial" w:cs="Arial" w:eastAsia="Arial" w:hAnsi="Arial"/>
          <w:sz w:val="17"/>
          <w:szCs w:val="17"/>
          <w:color w:val="auto"/>
        </w:rPr>
        <w:t>directors,</w:t>
      </w:r>
      <w:r>
        <w:rPr>
          <w:sz w:val="20"/>
          <w:szCs w:val="20"/>
          <w:color w:val="auto"/>
        </w:rPr>
        <w:tab/>
      </w:r>
      <w:r>
        <w:rPr>
          <w:rFonts w:ascii="Arial" w:cs="Arial" w:eastAsia="Arial" w:hAnsi="Arial"/>
          <w:sz w:val="17"/>
          <w:szCs w:val="17"/>
          <w:color w:val="auto"/>
        </w:rPr>
        <w:t>,</w:t>
      </w:r>
    </w:p>
    <w:p>
      <w:pPr>
        <w:ind w:left="780"/>
        <w:spacing w:after="0"/>
        <w:tabs>
          <w:tab w:leader="none" w:pos="1820" w:val="left"/>
        </w:tabs>
        <w:rPr>
          <w:sz w:val="20"/>
          <w:szCs w:val="20"/>
          <w:color w:val="auto"/>
        </w:rPr>
      </w:pPr>
      <w:r>
        <w:rPr>
          <w:rFonts w:ascii="Arial" w:cs="Arial" w:eastAsia="Arial" w:hAnsi="Arial"/>
          <w:sz w:val="15"/>
          <w:szCs w:val="15"/>
          <w:color w:val="auto"/>
        </w:rPr>
        <w:t>and</w:t>
      </w:r>
      <w:r>
        <w:rPr>
          <w:sz w:val="20"/>
          <w:szCs w:val="20"/>
          <w:color w:val="auto"/>
        </w:rPr>
        <w:tab/>
      </w:r>
      <w:r>
        <w:rPr>
          <w:rFonts w:ascii="Arial" w:cs="Arial" w:eastAsia="Arial" w:hAnsi="Arial"/>
          <w:sz w:val="15"/>
          <w:szCs w:val="15"/>
          <w:color w:val="auto"/>
        </w:rPr>
        <w:t>. Our board of directors has determined that each of these individuals meets the requirements for independence under current</w:t>
      </w:r>
    </w:p>
    <w:p>
      <w:pPr>
        <w:spacing w:after="0"/>
        <w:tabs>
          <w:tab w:leader="none" w:pos="5820" w:val="left"/>
        </w:tabs>
        <w:rPr>
          <w:sz w:val="20"/>
          <w:szCs w:val="20"/>
          <w:color w:val="auto"/>
        </w:rPr>
      </w:pPr>
      <w:r>
        <w:rPr>
          <w:rFonts w:ascii="Arial" w:cs="Arial" w:eastAsia="Arial" w:hAnsi="Arial"/>
          <w:sz w:val="17"/>
          <w:szCs w:val="17"/>
          <w:color w:val="auto"/>
        </w:rPr>
        <w:t>rules and regulations of the SEC and the listing standards of Nasdaq.</w:t>
      </w:r>
      <w:r>
        <w:rPr>
          <w:sz w:val="20"/>
          <w:szCs w:val="20"/>
          <w:color w:val="auto"/>
        </w:rPr>
        <w:tab/>
      </w:r>
      <w:r>
        <w:rPr>
          <w:rFonts w:ascii="Arial" w:cs="Arial" w:eastAsia="Arial" w:hAnsi="Arial"/>
          <w:sz w:val="15"/>
          <w:szCs w:val="15"/>
          <w:color w:val="auto"/>
        </w:rPr>
        <w:t>will serve as the chairman of the nominating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committee. The nominating and corporate governance committee’s responsibilities will include, among other things:</w:t>
      </w:r>
    </w:p>
    <w:p>
      <w:pPr>
        <w:spacing w:after="0" w:line="183" w:lineRule="exact"/>
        <w:rPr>
          <w:sz w:val="20"/>
          <w:szCs w:val="20"/>
          <w:color w:val="auto"/>
        </w:rPr>
      </w:pPr>
    </w:p>
    <w:p>
      <w:pPr>
        <w:ind w:left="880" w:hanging="432"/>
        <w:spacing w:after="0" w:line="233" w:lineRule="auto"/>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identifying, evaluating and selecting, or recommending that our board of directors approve, nominees for election to our board of directors and its committees;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evaluating the performance of our board of directors and of individual directors;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1"/>
        </w:numPr>
        <w:rPr>
          <w:rFonts w:ascii="MS PGothic" w:cs="MS PGothic" w:eastAsia="MS PGothic" w:hAnsi="MS PGothic"/>
          <w:sz w:val="11"/>
          <w:szCs w:val="11"/>
          <w:color w:val="auto"/>
        </w:rPr>
      </w:pPr>
      <w:r>
        <w:rPr>
          <w:rFonts w:ascii="Arial" w:cs="Arial" w:eastAsia="Arial" w:hAnsi="Arial"/>
          <w:sz w:val="15"/>
          <w:szCs w:val="15"/>
          <w:color w:val="auto"/>
        </w:rPr>
        <w:t>considering and making recommendations to our board of directors regarding the composition of our board of directors and its committees;</w:t>
      </w:r>
    </w:p>
    <w:p>
      <w:pPr>
        <w:spacing w:after="0" w:line="49" w:lineRule="exact"/>
        <w:rPr>
          <w:rFonts w:ascii="MS PGothic" w:cs="MS PGothic" w:eastAsia="MS PGothic" w:hAnsi="MS PGothic"/>
          <w:sz w:val="11"/>
          <w:szCs w:val="11"/>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reviewing developments in corporate governance practices;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evaluating the adequacy of our corporate governance practices and reporting;</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overseeing an annual evaluation of the board’s performance.</w:t>
      </w:r>
    </w:p>
    <w:p>
      <w:pPr>
        <w:spacing w:after="0" w:line="144" w:lineRule="exact"/>
        <w:rPr>
          <w:sz w:val="20"/>
          <w:szCs w:val="20"/>
          <w:color w:val="auto"/>
        </w:rPr>
      </w:pPr>
    </w:p>
    <w:p>
      <w:pPr>
        <w:ind w:right="440"/>
        <w:spacing w:after="0" w:line="233" w:lineRule="auto"/>
        <w:rPr>
          <w:sz w:val="20"/>
          <w:szCs w:val="20"/>
          <w:color w:val="auto"/>
        </w:rPr>
      </w:pPr>
      <w:r>
        <w:rPr>
          <w:rFonts w:ascii="Arial" w:cs="Arial" w:eastAsia="Arial" w:hAnsi="Arial"/>
          <w:sz w:val="17"/>
          <w:szCs w:val="17"/>
          <w:color w:val="auto"/>
        </w:rPr>
        <w:t>Our nominating and governance committee will operate under a written charter, to be effective immediately prior to the closing of this offering, which satisfies the applicable rules and regulations of the SEC and the listing standards of Nasdaq.</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82"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In connection with this offering, we intend to adopt a Code of Business Conduct and Ethics, or the Code of Conduct, applicable to all of our employees, executive officers and directors. Following the closing of this offering, the Code of Conduct will be available on our website at www.kerostx.com.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 website. Information contained in, or accessible through, our website does not constitute a part of, and is not incorporated into,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96"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None of our executive officers currently serves, or in our last completed fiscal year has served, as a member of the board of directors or compensation committee, or other committee serving an equivalent function, of any entity that has one or more executive officers that has served or is planning to serve on our board of directors or compensation committee. None of the members of our compensation committee is an officer or employee of our company, nor have they ever been an officer or employee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82" w:lineRule="exact"/>
        <w:rPr>
          <w:sz w:val="20"/>
          <w:szCs w:val="20"/>
          <w:color w:val="auto"/>
        </w:rPr>
      </w:pPr>
    </w:p>
    <w:p>
      <w:pPr>
        <w:jc w:val="both"/>
        <w:ind w:right="80"/>
        <w:spacing w:after="0" w:line="230" w:lineRule="auto"/>
        <w:rPr>
          <w:sz w:val="20"/>
          <w:szCs w:val="20"/>
          <w:color w:val="auto"/>
        </w:rPr>
      </w:pPr>
      <w:r>
        <w:rPr>
          <w:rFonts w:ascii="Arial" w:cs="Arial" w:eastAsia="Arial" w:hAnsi="Arial"/>
          <w:sz w:val="17"/>
          <w:szCs w:val="17"/>
          <w:color w:val="auto"/>
        </w:rPr>
        <w:t>During the fiscal year ended December 31, 2019, we did not pay cash or equity-based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43" w:lineRule="exact"/>
        <w:rPr>
          <w:sz w:val="20"/>
          <w:szCs w:val="20"/>
          <w:color w:val="auto"/>
        </w:rPr>
      </w:pPr>
    </w:p>
    <w:p>
      <w:pPr>
        <w:ind w:right="240"/>
        <w:spacing w:after="0" w:line="289" w:lineRule="auto"/>
        <w:rPr>
          <w:sz w:val="20"/>
          <w:szCs w:val="20"/>
          <w:color w:val="auto"/>
        </w:rPr>
      </w:pPr>
      <w:r>
        <w:rPr>
          <w:rFonts w:ascii="Arial" w:cs="Arial" w:eastAsia="Arial" w:hAnsi="Arial"/>
          <w:sz w:val="15"/>
          <w:szCs w:val="15"/>
          <w:color w:val="auto"/>
        </w:rPr>
        <w:t>Dr. Seehra, our Chief Executive Officer, who is also a member of our board of directors, did not receive any additional compensation for service as a director. Dr. Seehra’s compensation as a named executive officer is set forth below under “Executive Compensation—Summary Compensation Table.”</w:t>
      </w:r>
    </w:p>
    <w:p>
      <w:pPr>
        <w:spacing w:after="0" w:line="107"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As of December 31, 2019, none of the non-employee directors held any outstanding option awards or other stock awards to purchase or to be issued our common stock.</w:t>
      </w:r>
    </w:p>
    <w:p>
      <w:pPr>
        <w:spacing w:after="0" w:line="143"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We expect that our board of directors will adopt a director compensation policy for non-employee directors to be effective upon the completion of this offering.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20"/>
          </w:cols>
          <w:pgMar w:left="320" w:top="448" w:right="3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330"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following table summarizes information regarding the compensation awarded to, earned by, or paid to our principal executive officer and the next two most highly compensated executive officers during 2019. We refer to these individuals in this prospectus as our named executive officers. Our named executive officers for 2019 who appear in the 2019 Summary Compensation Table are:</w:t>
      </w:r>
    </w:p>
    <w:p>
      <w:pPr>
        <w:spacing w:after="0" w:line="182" w:lineRule="exact"/>
        <w:rPr>
          <w:sz w:val="20"/>
          <w:szCs w:val="20"/>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Jasbir Seehra, Ph.D., Chief Executive Officer and Director;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Jennifer Lachey, Ph.D., Chief Scientific Officer;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Claudia Ordonez, M.D., Chief Medical Officer.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NON-EQUITY</w:t>
            </w: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ALL</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OPTION</w:t>
            </w: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INCENTIVE</w:t>
            </w:r>
          </w:p>
        </w:tc>
        <w:tc>
          <w:tcPr>
            <w:tcW w:w="82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7"/>
              </w:rPr>
              <w:t>OTHER</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jc w:val="right"/>
              <w:ind w:right="360"/>
              <w:spacing w:after="0" w:line="151" w:lineRule="exact"/>
              <w:rPr>
                <w:sz w:val="20"/>
                <w:szCs w:val="20"/>
                <w:color w:val="auto"/>
              </w:rPr>
            </w:pPr>
            <w:r>
              <w:rPr>
                <w:rFonts w:ascii="Arial" w:cs="Arial" w:eastAsia="Arial" w:hAnsi="Arial"/>
                <w:sz w:val="14"/>
                <w:szCs w:val="14"/>
                <w:b w:val="1"/>
                <w:bCs w:val="1"/>
                <w:color w:val="auto"/>
                <w:w w:val="98"/>
              </w:rPr>
              <w:t>BONUS</w:t>
            </w:r>
          </w:p>
        </w:tc>
        <w:tc>
          <w:tcPr>
            <w:tcW w:w="78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5"/>
              </w:rPr>
              <w:t>AWARDS</w:t>
            </w:r>
          </w:p>
        </w:tc>
        <w:tc>
          <w:tcPr>
            <w:tcW w:w="110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rPr>
              <w:t>PLAN COMP.</w:t>
            </w:r>
          </w:p>
        </w:tc>
        <w:tc>
          <w:tcPr>
            <w:tcW w:w="82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5"/>
              </w:rPr>
              <w:t>COMP.</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00" w:type="dxa"/>
            <w:vAlign w:val="bottom"/>
            <w:gridSpan w:val="3"/>
            <w:vMerge w:val="continue"/>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4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b w:val="1"/>
                <w:bCs w:val="1"/>
                <w:color w:val="auto"/>
                <w:w w:val="97"/>
              </w:rPr>
              <w:t xml:space="preserve">TOTAL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0" w:type="dxa"/>
            <w:vAlign w:val="bottom"/>
          </w:tcPr>
          <w:p>
            <w:pPr>
              <w:spacing w:after="0"/>
              <w:rPr>
                <w:sz w:val="1"/>
                <w:szCs w:val="1"/>
                <w:color w:val="auto"/>
              </w:rPr>
            </w:pPr>
          </w:p>
        </w:tc>
      </w:tr>
      <w:tr>
        <w:trPr>
          <w:trHeight w:val="16"/>
        </w:trPr>
        <w:tc>
          <w:tcPr>
            <w:tcW w:w="20" w:type="dxa"/>
            <w:vAlign w:val="bottom"/>
          </w:tcPr>
          <w:p>
            <w:pPr>
              <w:spacing w:after="0" w:line="20" w:lineRule="exact"/>
              <w:rPr>
                <w:sz w:val="1"/>
                <w:szCs w:val="1"/>
                <w:color w:val="auto"/>
              </w:rPr>
            </w:pPr>
          </w:p>
        </w:tc>
        <w:tc>
          <w:tcPr>
            <w:tcW w:w="548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Jasbir Seehra, Ph.D.</w:t>
            </w:r>
          </w:p>
        </w:tc>
        <w:tc>
          <w:tcPr>
            <w:tcW w:w="4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2019</w:t>
            </w: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auto"/>
            </w:tcBorders>
            <w:shd w:val="clear" w:color="auto" w:fill="000000"/>
          </w:tcPr>
          <w:p>
            <w:pPr>
              <w:ind w:left="60"/>
              <w:spacing w:after="0"/>
              <w:rPr>
                <w:sz w:val="20"/>
                <w:szCs w:val="20"/>
                <w:color w:val="auto"/>
              </w:rPr>
            </w:pPr>
            <w:r>
              <w:rPr>
                <w:rFonts w:ascii="Arial" w:cs="Arial" w:eastAsia="Arial" w:hAnsi="Arial"/>
                <w:sz w:val="1"/>
                <w:szCs w:val="1"/>
                <w:color w:val="auto"/>
              </w:rPr>
              <w:t>485,100</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5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w:t>
            </w: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15,379</w:t>
            </w: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9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194,040</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5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w:t>
            </w: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auto"/>
              <w:right w:val="single" w:sz="8" w:color="CCEEFF"/>
            </w:tcBorders>
            <w:shd w:val="clear" w:color="auto" w:fill="000000"/>
          </w:tcPr>
          <w:p>
            <w:pPr>
              <w:jc w:val="right"/>
              <w:spacing w:after="0"/>
              <w:rPr>
                <w:sz w:val="20"/>
                <w:szCs w:val="20"/>
                <w:color w:val="auto"/>
              </w:rPr>
            </w:pPr>
            <w:r>
              <w:rPr>
                <w:rFonts w:ascii="Arial" w:cs="Arial" w:eastAsia="Arial" w:hAnsi="Arial"/>
                <w:sz w:val="1"/>
                <w:szCs w:val="1"/>
                <w:color w:val="auto"/>
              </w:rPr>
              <w:t>694,519</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jc w:val="right"/>
              <w:ind w:right="475"/>
              <w:spacing w:after="0" w:line="135" w:lineRule="exact"/>
              <w:rPr>
                <w:sz w:val="20"/>
                <w:szCs w:val="20"/>
                <w:color w:val="auto"/>
              </w:rPr>
            </w:pPr>
            <w:r>
              <w:rPr>
                <w:rFonts w:ascii="Arial" w:cs="Arial" w:eastAsia="Arial" w:hAnsi="Arial"/>
                <w:sz w:val="14"/>
                <w:szCs w:val="14"/>
                <w:color w:val="auto"/>
              </w:rPr>
              <w:t>(3)</w:t>
            </w:r>
          </w:p>
        </w:tc>
        <w:tc>
          <w:tcPr>
            <w:tcW w:w="3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Chief Executive Officer and Director</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00" w:type="dxa"/>
            <w:vAlign w:val="bottom"/>
            <w:gridSpan w:val="3"/>
          </w:tcPr>
          <w:p>
            <w:pPr>
              <w:spacing w:after="0"/>
              <w:rPr>
                <w:sz w:val="20"/>
                <w:szCs w:val="20"/>
                <w:color w:val="auto"/>
              </w:rPr>
            </w:pPr>
            <w:r>
              <w:rPr>
                <w:rFonts w:ascii="Arial" w:cs="Arial" w:eastAsia="Arial" w:hAnsi="Arial"/>
                <w:sz w:val="17"/>
                <w:szCs w:val="17"/>
                <w:color w:val="auto"/>
              </w:rPr>
              <w:t>Jennifer Lachey, Ph.D.</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2019</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294,255</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27,039</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93,000</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414,294</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7"/>
                <w:szCs w:val="17"/>
                <w:i w:val="1"/>
                <w:iCs w:val="1"/>
                <w:color w:val="auto"/>
              </w:rPr>
              <w:t>Chief Scientific Officer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22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5480" w:type="dxa"/>
            <w:vAlign w:val="bottom"/>
            <w:gridSpan w:val="2"/>
            <w:shd w:val="clear" w:color="auto" w:fill="CCEEFF"/>
          </w:tcPr>
          <w:p>
            <w:pPr>
              <w:spacing w:after="0" w:line="159" w:lineRule="exact"/>
              <w:rPr>
                <w:sz w:val="20"/>
                <w:szCs w:val="20"/>
                <w:color w:val="auto"/>
              </w:rPr>
            </w:pPr>
            <w:r>
              <w:rPr>
                <w:rFonts w:ascii="Arial" w:cs="Arial" w:eastAsia="Arial" w:hAnsi="Arial"/>
                <w:sz w:val="17"/>
                <w:szCs w:val="17"/>
                <w:color w:val="auto"/>
              </w:rPr>
              <w:t>Claudia Ordonez, M.D.</w:t>
            </w:r>
            <w:r>
              <w:rPr>
                <w:rFonts w:ascii="Arial" w:cs="Arial" w:eastAsia="Arial" w:hAnsi="Arial"/>
                <w:sz w:val="14"/>
                <w:szCs w:val="14"/>
                <w:color w:val="auto"/>
              </w:rPr>
              <w:t>(4)</w:t>
            </w:r>
          </w:p>
        </w:tc>
        <w:tc>
          <w:tcPr>
            <w:tcW w:w="5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7"/>
                <w:szCs w:val="17"/>
                <w:color w:val="auto"/>
              </w:rPr>
              <w:t>2019</w:t>
            </w:r>
          </w:p>
        </w:tc>
        <w:tc>
          <w:tcPr>
            <w:tcW w:w="8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7"/>
                <w:szCs w:val="17"/>
                <w:color w:val="auto"/>
              </w:rPr>
              <w:t>106,458</w:t>
            </w: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7"/>
                <w:szCs w:val="17"/>
                <w:color w:val="auto"/>
              </w:rPr>
              <w:t>30,000</w:t>
            </w:r>
            <w:r>
              <w:rPr>
                <w:rFonts w:ascii="Arial" w:cs="Arial" w:eastAsia="Arial" w:hAnsi="Arial"/>
                <w:sz w:val="14"/>
                <w:szCs w:val="14"/>
                <w:color w:val="auto"/>
              </w:rPr>
              <w:t>(5)</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7"/>
                <w:szCs w:val="17"/>
                <w:color w:val="auto"/>
              </w:rPr>
              <w:t>32,650</w:t>
            </w:r>
          </w:p>
        </w:tc>
        <w:tc>
          <w:tcPr>
            <w:tcW w:w="11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7"/>
                <w:szCs w:val="17"/>
                <w:color w:val="auto"/>
              </w:rPr>
              <w:t>32,100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7"/>
                <w:szCs w:val="17"/>
                <w:color w:val="auto"/>
              </w:rPr>
              <w:t>700</w:t>
            </w:r>
            <w:r>
              <w:rPr>
                <w:rFonts w:ascii="Arial" w:cs="Arial" w:eastAsia="Arial" w:hAnsi="Arial"/>
                <w:sz w:val="14"/>
                <w:szCs w:val="14"/>
                <w:color w:val="auto"/>
              </w:rPr>
              <w:t>(6)</w:t>
            </w:r>
          </w:p>
        </w:tc>
        <w:tc>
          <w:tcPr>
            <w:tcW w:w="7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201,908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Chief Medical Officer</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6" w:lineRule="exact"/>
        <w:rPr>
          <w:sz w:val="20"/>
          <w:szCs w:val="20"/>
          <w:color w:val="auto"/>
        </w:rPr>
      </w:pPr>
    </w:p>
    <w:p>
      <w:pPr>
        <w:ind w:left="440" w:right="20" w:hanging="279"/>
        <w:spacing w:after="0" w:line="233"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option awards granted during the year measured pursuant to Financial Accounting Standard Board Accounting Standards Codification Topic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440" w:right="240" w:hanging="279"/>
        <w:spacing w:after="0" w:line="233"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This column reflects the amount of performance-based incentive compensation earned by our named executive officers for 2019. For more information, see below under “— Non-Equity Incentive Plan Compensation.”</w:t>
      </w:r>
    </w:p>
    <w:p>
      <w:pPr>
        <w:ind w:left="440" w:hanging="279"/>
        <w:spacing w:after="0" w:line="233"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Seehra is also a member of our board of directors, but does not receive any additional compensation in his capacity as a director.</w:t>
      </w:r>
    </w:p>
    <w:p>
      <w:pPr>
        <w:ind w:left="440" w:hanging="279"/>
        <w:spacing w:after="0" w:line="233"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Ordonez commenced employment with us in September 2019.</w:t>
      </w:r>
    </w:p>
    <w:p>
      <w:pPr>
        <w:ind w:left="440" w:hanging="279"/>
        <w:spacing w:after="0" w:line="233"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connection with her commencement of employment, Dr. Ordonez received a one-time signing bonus, which was paid in 2019.</w:t>
      </w:r>
    </w:p>
    <w:p>
      <w:pPr>
        <w:ind w:left="440" w:hanging="279"/>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This reflects a monthly payment of $200 that we make to Dr. Ordonez in exchange for her opting not to participate in our health insurance plans.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8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compensation committee of our board of directors has historically determined our executives’ compensation and determines the compensation of our named executive officers.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after discussions without members of management present. We generally do not provide perquisites or personal benefits except in limited circumstances, and we did not provide any perquisites or personal benefits to our named executive officers in 2019.</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Base Salary</w:t>
      </w:r>
    </w:p>
    <w:p>
      <w:pPr>
        <w:spacing w:after="0" w:line="96" w:lineRule="exact"/>
        <w:rPr>
          <w:sz w:val="20"/>
          <w:szCs w:val="20"/>
          <w:color w:val="auto"/>
        </w:rPr>
      </w:pPr>
    </w:p>
    <w:p>
      <w:pPr>
        <w:jc w:val="both"/>
        <w:ind w:right="260"/>
        <w:spacing w:after="0" w:line="230" w:lineRule="auto"/>
        <w:rPr>
          <w:sz w:val="20"/>
          <w:szCs w:val="20"/>
          <w:color w:val="auto"/>
        </w:rPr>
      </w:pPr>
      <w:r>
        <w:rPr>
          <w:rFonts w:ascii="Arial" w:cs="Arial" w:eastAsia="Arial" w:hAnsi="Arial"/>
          <w:sz w:val="17"/>
          <w:szCs w:val="17"/>
          <w:color w:val="auto"/>
        </w:rPr>
        <w:t>The annual base salaries of our named executive officers are generally reviewed, determined and approved by the board of directors periodically upon the recommendation of the compensation committee in order to compensate our named executive officers for the satisfactory performance of duties to our company. Annual base salaries are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448" w:right="3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intended to provide a fixed component of compensation to our named executive officers, reflecting their skill sets, experience, roles and responsibilities.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Base salaries for our named executive officers have generally been set at levels deemed necessary to attract and retain individuals with superior talent.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annual base salaries for each of our named executive officers for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380" w:type="dxa"/>
            <w:vAlign w:val="bottom"/>
          </w:tcPr>
          <w:p>
            <w:pPr>
              <w:ind w:left="4340"/>
              <w:spacing w:after="0"/>
              <w:rPr>
                <w:sz w:val="20"/>
                <w:szCs w:val="20"/>
                <w:color w:val="auto"/>
              </w:rPr>
            </w:pPr>
            <w:r>
              <w:rPr>
                <w:rFonts w:ascii="Arial" w:cs="Arial" w:eastAsia="Arial" w:hAnsi="Arial"/>
                <w:sz w:val="14"/>
                <w:szCs w:val="14"/>
                <w:b w:val="1"/>
                <w:bCs w:val="1"/>
                <w:color w:val="auto"/>
              </w:rPr>
              <w:t>2019 BASE</w:t>
            </w: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2020 BASE</w:t>
            </w:r>
          </w:p>
        </w:tc>
        <w:tc>
          <w:tcPr>
            <w:tcW w:w="0" w:type="dxa"/>
            <w:vAlign w:val="bottom"/>
          </w:tcPr>
          <w:p>
            <w:pPr>
              <w:spacing w:after="0"/>
              <w:rPr>
                <w:sz w:val="1"/>
                <w:szCs w:val="1"/>
                <w:color w:val="auto"/>
              </w:rPr>
            </w:pPr>
          </w:p>
        </w:tc>
      </w:tr>
      <w:tr>
        <w:trPr>
          <w:trHeight w:val="155"/>
        </w:trPr>
        <w:tc>
          <w:tcPr>
            <w:tcW w:w="4740" w:type="dxa"/>
            <w:vAlign w:val="bottom"/>
            <w:vMerge w:val="continue"/>
          </w:tcPr>
          <w:p>
            <w:pPr>
              <w:spacing w:after="0"/>
              <w:rPr>
                <w:sz w:val="13"/>
                <w:szCs w:val="13"/>
                <w:color w:val="auto"/>
              </w:rPr>
            </w:pPr>
          </w:p>
        </w:tc>
        <w:tc>
          <w:tcPr>
            <w:tcW w:w="5380" w:type="dxa"/>
            <w:vAlign w:val="bottom"/>
          </w:tcPr>
          <w:p>
            <w:pPr>
              <w:ind w:left="4320"/>
              <w:spacing w:after="0" w:line="155"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w w:val="96"/>
              </w:rPr>
              <w:t xml:space="preserve">SALARY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
        </w:trPr>
        <w:tc>
          <w:tcPr>
            <w:tcW w:w="906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Jasbir Seehra, Ph.D.</w:t>
            </w:r>
          </w:p>
        </w:tc>
        <w:tc>
          <w:tcPr>
            <w:tcW w:w="78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
                <w:szCs w:val="1"/>
                <w:color w:val="auto"/>
              </w:rPr>
              <w:t>485,100</w:t>
            </w: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auto"/>
              <w:right w:val="single" w:sz="8" w:color="CCEEFF"/>
            </w:tcBorders>
            <w:shd w:val="clear" w:color="auto" w:fill="000000"/>
          </w:tcPr>
          <w:p>
            <w:pPr>
              <w:spacing w:after="0" w:line="20" w:lineRule="exact"/>
              <w:rPr>
                <w:sz w:val="1"/>
                <w:szCs w:val="1"/>
                <w:color w:val="auto"/>
              </w:rPr>
            </w:pPr>
          </w:p>
        </w:tc>
      </w:tr>
      <w:tr>
        <w:trPr>
          <w:trHeight w:val="132"/>
        </w:trPr>
        <w:tc>
          <w:tcPr>
            <w:tcW w:w="9060" w:type="dxa"/>
            <w:vAlign w:val="bottom"/>
            <w:gridSpan w:val="2"/>
            <w:shd w:val="clear" w:color="auto" w:fill="CCEEFF"/>
          </w:tcPr>
          <w:p>
            <w:pPr>
              <w:ind w:left="1520"/>
              <w:spacing w:after="0" w:line="132"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r>
      <w:tr>
        <w:trPr>
          <w:trHeight w:val="220"/>
        </w:trPr>
        <w:tc>
          <w:tcPr>
            <w:tcW w:w="9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Chief Executive Officer and Director</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r>
      <w:tr>
        <w:trPr>
          <w:trHeight w:val="159"/>
        </w:trPr>
        <w:tc>
          <w:tcPr>
            <w:tcW w:w="9060" w:type="dxa"/>
            <w:vAlign w:val="bottom"/>
            <w:gridSpan w:val="2"/>
          </w:tcPr>
          <w:p>
            <w:pPr>
              <w:spacing w:after="0" w:line="159" w:lineRule="exact"/>
              <w:rPr>
                <w:sz w:val="20"/>
                <w:szCs w:val="20"/>
                <w:color w:val="auto"/>
              </w:rPr>
            </w:pPr>
            <w:r>
              <w:rPr>
                <w:rFonts w:ascii="Arial" w:cs="Arial" w:eastAsia="Arial" w:hAnsi="Arial"/>
                <w:sz w:val="17"/>
                <w:szCs w:val="17"/>
                <w:color w:val="auto"/>
              </w:rPr>
              <w:t>Jennifer Lachey, Ph.D.</w:t>
            </w:r>
            <w:r>
              <w:rPr>
                <w:rFonts w:ascii="Arial" w:cs="Arial" w:eastAsia="Arial" w:hAnsi="Arial"/>
                <w:sz w:val="14"/>
                <w:szCs w:val="14"/>
                <w:color w:val="auto"/>
              </w:rPr>
              <w:t>(2)</w:t>
            </w:r>
          </w:p>
        </w:tc>
        <w:tc>
          <w:tcPr>
            <w:tcW w:w="1360" w:type="dxa"/>
            <w:vAlign w:val="bottom"/>
            <w:gridSpan w:val="2"/>
          </w:tcPr>
          <w:p>
            <w:pPr>
              <w:jc w:val="right"/>
              <w:ind w:right="580"/>
              <w:spacing w:after="0" w:line="159" w:lineRule="exact"/>
              <w:rPr>
                <w:sz w:val="20"/>
                <w:szCs w:val="20"/>
                <w:color w:val="auto"/>
              </w:rPr>
            </w:pPr>
            <w:r>
              <w:rPr>
                <w:rFonts w:ascii="Arial" w:cs="Arial" w:eastAsia="Arial" w:hAnsi="Arial"/>
                <w:sz w:val="17"/>
                <w:szCs w:val="17"/>
                <w:color w:val="auto"/>
              </w:rPr>
              <w:t>310,000</w:t>
            </w:r>
          </w:p>
        </w:tc>
        <w:tc>
          <w:tcPr>
            <w:tcW w:w="820" w:type="dxa"/>
            <w:vAlign w:val="bottom"/>
          </w:tcPr>
          <w:p>
            <w:pPr>
              <w:spacing w:after="0"/>
              <w:rPr>
                <w:sz w:val="13"/>
                <w:szCs w:val="13"/>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7"/>
                <w:szCs w:val="17"/>
                <w:i w:val="1"/>
                <w:iCs w:val="1"/>
                <w:color w:val="auto"/>
              </w:rPr>
              <w:t>Chief Scientific Officer</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3"/>
        </w:trPr>
        <w:tc>
          <w:tcPr>
            <w:tcW w:w="906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Claudia Ordonez, M.D</w:t>
            </w:r>
            <w:r>
              <w:rPr>
                <w:rFonts w:ascii="Arial" w:cs="Arial" w:eastAsia="Arial" w:hAnsi="Arial"/>
                <w:sz w:val="14"/>
                <w:szCs w:val="14"/>
                <w:color w:val="auto"/>
              </w:rPr>
              <w:t>(3)</w:t>
            </w:r>
          </w:p>
        </w:tc>
        <w:tc>
          <w:tcPr>
            <w:tcW w:w="1360" w:type="dxa"/>
            <w:vAlign w:val="bottom"/>
            <w:gridSpan w:val="2"/>
            <w:shd w:val="clear" w:color="auto" w:fill="CCEEFF"/>
          </w:tcPr>
          <w:p>
            <w:pPr>
              <w:jc w:val="right"/>
              <w:ind w:right="580"/>
              <w:spacing w:after="0" w:line="163" w:lineRule="exact"/>
              <w:rPr>
                <w:sz w:val="20"/>
                <w:szCs w:val="20"/>
                <w:color w:val="auto"/>
              </w:rPr>
            </w:pPr>
            <w:r>
              <w:rPr>
                <w:rFonts w:ascii="Arial" w:cs="Arial" w:eastAsia="Arial" w:hAnsi="Arial"/>
                <w:sz w:val="17"/>
                <w:szCs w:val="17"/>
                <w:color w:val="auto"/>
              </w:rPr>
              <w:t>365,000</w:t>
            </w:r>
          </w:p>
        </w:tc>
        <w:tc>
          <w:tcPr>
            <w:tcW w:w="820" w:type="dxa"/>
            <w:vAlign w:val="bottom"/>
            <w:tcBorders>
              <w:right w:val="single" w:sz="8" w:color="CCEEFF"/>
            </w:tcBorders>
            <w:shd w:val="clear" w:color="auto" w:fill="CCEEFF"/>
          </w:tcPr>
          <w:p>
            <w:pPr>
              <w:spacing w:after="0"/>
              <w:rPr>
                <w:sz w:val="14"/>
                <w:szCs w:val="14"/>
                <w:color w:val="auto"/>
              </w:rPr>
            </w:pPr>
          </w:p>
        </w:tc>
      </w:tr>
      <w:tr>
        <w:trPr>
          <w:trHeight w:val="220"/>
        </w:trPr>
        <w:tc>
          <w:tcPr>
            <w:tcW w:w="9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Chief Medical Officer</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6" w:lineRule="exact"/>
        <w:rPr>
          <w:sz w:val="20"/>
          <w:szCs w:val="20"/>
          <w:color w:val="auto"/>
        </w:rPr>
      </w:pPr>
    </w:p>
    <w:p>
      <w:pPr>
        <w:ind w:left="440" w:hanging="292"/>
        <w:spacing w:after="0"/>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Dr. Seehra’s 2019 base salary was approved by the compensation committee in December 2018.</w:t>
      </w:r>
    </w:p>
    <w:p>
      <w:pPr>
        <w:ind w:left="440" w:hanging="292"/>
        <w:spacing w:after="0" w:line="181" w:lineRule="auto"/>
        <w:tabs>
          <w:tab w:leader="none" w:pos="440" w:val="left"/>
        </w:tabs>
        <w:numPr>
          <w:ilvl w:val="0"/>
          <w:numId w:val="94"/>
        </w:numPr>
        <w:rPr>
          <w:rFonts w:ascii="Arial" w:cs="Arial" w:eastAsia="Arial" w:hAnsi="Arial"/>
          <w:sz w:val="18"/>
          <w:szCs w:val="18"/>
          <w:color w:val="auto"/>
          <w:vertAlign w:val="superscript"/>
        </w:rPr>
      </w:pPr>
      <w:r>
        <w:rPr>
          <w:rFonts w:ascii="Arial" w:cs="Arial" w:eastAsia="Arial" w:hAnsi="Arial"/>
          <w:sz w:val="11"/>
          <w:szCs w:val="11"/>
          <w:color w:val="auto"/>
        </w:rPr>
        <w:t>Dr. Lachey’s base salary was increased from $267,842 to $310,000 in June 2019 by the board of directors in connection with Dr. Lachey’s promotion to Chief Scientific Officer.</w:t>
      </w:r>
    </w:p>
    <w:p>
      <w:pPr>
        <w:ind w:left="440" w:hanging="292"/>
        <w:spacing w:after="0" w:line="184" w:lineRule="auto"/>
        <w:tabs>
          <w:tab w:leader="none" w:pos="440" w:val="left"/>
        </w:tabs>
        <w:numPr>
          <w:ilvl w:val="0"/>
          <w:numId w:val="94"/>
        </w:numPr>
        <w:rPr>
          <w:rFonts w:ascii="Arial" w:cs="Arial" w:eastAsia="Arial" w:hAnsi="Arial"/>
          <w:sz w:val="19"/>
          <w:szCs w:val="19"/>
          <w:color w:val="auto"/>
          <w:vertAlign w:val="superscript"/>
        </w:rPr>
      </w:pPr>
      <w:r>
        <w:rPr>
          <w:rFonts w:ascii="Arial" w:cs="Arial" w:eastAsia="Arial" w:hAnsi="Arial"/>
          <w:sz w:val="12"/>
          <w:szCs w:val="12"/>
          <w:color w:val="auto"/>
        </w:rPr>
        <w:t>Dr. Ordonez’s 2019 base salary was approved by the compensation committee in August 2019 in connection with her commencement of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Non-Equity Incentive Plan Compensation</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We seek to motivate and reward our executives for achievements relative to our corporate goals and expectations for each fiscal year. Each of our named executive officers is eligible to receive an annual performance bonus based on the achievement of company-wide annual performance goals as determined by our board of directors upon recommendation by our compensation committee. For 2019, these goals included research and clinical objectives and corporate objectives. Each officer is assigned a target bonus expressed as a percentage of his or her base salary. The target bonus amounts for Dr. Seehra, Dr. Lachey and Dr. Ordonez for 2019 were set at 40%, 30% and 30%, respectively. In December 2019, the board of directors determined that the 2019 corporate goals were achieved at 100% and, as a result, approved annual performance bonuses for Dr. Seehra, Dr. Lachey and Dr. Ordonez in the amounts of $194,040, $93,000 and $32,100, respectively, as reflected in the “Non-Equity Incentive Plan Compensation” column of the Summary Compensation Table above. Dr. Ordonez’s 2019 annual bonus amount was prorated to reflect her partial year of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Equity-Based Incentive Awards</w:t>
      </w:r>
    </w:p>
    <w:p>
      <w:pPr>
        <w:spacing w:after="0" w:line="82"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Prior to this offering, we have granted stock options to each of our named executive officers pursuant to our 2017 Stock Incentive Plan, as amended, or the 2017 Plan, the terms of which are described below under “—Equity Incentive Plans.”</w:t>
      </w:r>
    </w:p>
    <w:p>
      <w:pPr>
        <w:spacing w:after="0" w:line="14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 June 2019, in connection with Dr. Lachey’s promotion to Chief Scientific Officer, our board of directors granted an option to purchase 105,000 shares to Dr. Lachey. The shares subject to the option have an exercise price per share of $0.22 and vest over a four-year period, with 25% of the shares subject to the option vesting on the first anniversary of the vesting commencement date and 6.25% of the shares subject to the option vesting at the end of each successive three-month period following the first anniversary of the vesting commencement date, subject to Dr. Lachey’s continuous service with us as of each such vesting date.</w:t>
      </w:r>
    </w:p>
    <w:p>
      <w:pPr>
        <w:spacing w:after="0" w:line="142"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Also in June 2019, our board of directors granted options to purchase 106,535 shares to Dr. Seehra and 80,000 shares to Dr. Lachey. The shares subject to each of the options have an exercise price of $0.22 and vest over a four-year period, with 25% of the shares subject to the option vesting on the first anniversary of the vesting commencement date and 6.25% of the shares subject to the option vesting at the end of each successive three-month period following the first anniversary of the vesting commencement date, subject to the executive’s continuous service with us as of each such vesting date.</w:t>
      </w:r>
    </w:p>
    <w:p>
      <w:pPr>
        <w:spacing w:after="0" w:line="126" w:lineRule="exact"/>
        <w:rPr>
          <w:sz w:val="20"/>
          <w:szCs w:val="20"/>
          <w:color w:val="auto"/>
        </w:rPr>
      </w:pPr>
    </w:p>
    <w:p>
      <w:pPr>
        <w:ind w:right="480"/>
        <w:spacing w:after="0" w:line="233" w:lineRule="auto"/>
        <w:rPr>
          <w:sz w:val="20"/>
          <w:szCs w:val="20"/>
          <w:color w:val="auto"/>
        </w:rPr>
      </w:pPr>
      <w:r>
        <w:rPr>
          <w:rFonts w:ascii="Arial" w:cs="Arial" w:eastAsia="Arial" w:hAnsi="Arial"/>
          <w:sz w:val="17"/>
          <w:szCs w:val="17"/>
          <w:color w:val="auto"/>
        </w:rPr>
        <w:t>In September 2019, in connection with Dr. Ordonez’s commencement of employment, our board of directors granted an option to purchase 224,000 shares to Dr. Ordonez. The shares subject to each of the options have an exercise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448" w:right="3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price of $0.22 and vest over a four-year period, with 25% of the shares subject to the option vesting on the first anniversary of the vesting commencement date and 6.25% of the shares subject to the option vesting at the end of each successive three-month period following the first anniversary of the vesting commencement date, subject to Dr. Ordonez’s continuous service with us as of each such vesting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as of December 31, 2019</w:t>
      </w:r>
    </w:p>
    <w:p>
      <w:pPr>
        <w:spacing w:after="0" w:line="96" w:lineRule="exact"/>
        <w:rPr>
          <w:sz w:val="20"/>
          <w:szCs w:val="20"/>
          <w:color w:val="auto"/>
        </w:rPr>
      </w:pPr>
    </w:p>
    <w:p>
      <w:pPr>
        <w:ind w:right="900"/>
        <w:spacing w:after="0" w:line="233" w:lineRule="auto"/>
        <w:rPr>
          <w:sz w:val="20"/>
          <w:szCs w:val="20"/>
          <w:color w:val="auto"/>
        </w:rPr>
      </w:pPr>
      <w:r>
        <w:rPr>
          <w:rFonts w:ascii="Arial" w:cs="Arial" w:eastAsia="Arial" w:hAnsi="Arial"/>
          <w:sz w:val="17"/>
          <w:szCs w:val="17"/>
          <w:color w:val="auto"/>
        </w:rPr>
        <w:t>The following table sets forth certain information about equity awards granted to our named executive officers that remained outstanding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23"/>
                <w:szCs w:val="23"/>
                <w:b w:val="1"/>
                <w:bCs w:val="1"/>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9"/>
              </w:rPr>
              <w:t>NUMBER OF</w:t>
            </w:r>
          </w:p>
        </w:tc>
        <w:tc>
          <w:tcPr>
            <w:tcW w:w="14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9"/>
              </w:rPr>
              <w:t>NUMBER OF</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SECURITIES</w:t>
            </w:r>
          </w:p>
        </w:tc>
        <w:tc>
          <w:tcPr>
            <w:tcW w:w="14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SECURITIES</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UNDERLYING</w:t>
            </w:r>
          </w:p>
        </w:tc>
        <w:tc>
          <w:tcPr>
            <w:tcW w:w="14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UNDERLYING</w:t>
            </w: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VESTING</w:t>
            </w: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4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EXERCISE</w:t>
            </w:r>
          </w:p>
        </w:tc>
        <w:tc>
          <w:tcPr>
            <w:tcW w:w="90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7"/>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30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COMMENCEMENT</w:t>
            </w: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OPTIONS (#)</w:t>
            </w:r>
          </w:p>
        </w:tc>
        <w:tc>
          <w:tcPr>
            <w:tcW w:w="14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OPTIONS (#)</w:t>
            </w: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7"/>
              </w:rPr>
              <w:t>PRICE PER</w:t>
            </w:r>
          </w:p>
        </w:tc>
        <w:tc>
          <w:tcPr>
            <w:tcW w:w="90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EXPIRATION</w:t>
            </w:r>
          </w:p>
        </w:tc>
        <w:tc>
          <w:tcPr>
            <w:tcW w:w="0" w:type="dxa"/>
            <w:vAlign w:val="bottom"/>
          </w:tcPr>
          <w:p>
            <w:pPr>
              <w:spacing w:after="0"/>
              <w:rPr>
                <w:sz w:val="1"/>
                <w:szCs w:val="1"/>
                <w:color w:val="auto"/>
              </w:rPr>
            </w:pPr>
          </w:p>
        </w:tc>
      </w:tr>
      <w:tr>
        <w:trPr>
          <w:trHeight w:val="175"/>
        </w:trPr>
        <w:tc>
          <w:tcPr>
            <w:tcW w:w="42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w w:val="95"/>
              </w:rPr>
              <w:t>GRANT DATE</w:t>
            </w:r>
          </w:p>
        </w:tc>
        <w:tc>
          <w:tcPr>
            <w:tcW w:w="15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DATE</w:t>
            </w:r>
          </w:p>
        </w:tc>
        <w:tc>
          <w:tcPr>
            <w:tcW w:w="12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EXERCISABLE</w:t>
            </w:r>
          </w:p>
        </w:tc>
        <w:tc>
          <w:tcPr>
            <w:tcW w:w="14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UNEXERCISABLE</w:t>
            </w: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9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63"/>
        </w:trPr>
        <w:tc>
          <w:tcPr>
            <w:tcW w:w="34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Jasbir Seehra, Ph.D.</w:t>
            </w: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4/3/2017</w:t>
            </w:r>
          </w:p>
        </w:tc>
        <w:tc>
          <w:tcPr>
            <w:tcW w:w="440" w:type="dxa"/>
            <w:vAlign w:val="bottom"/>
            <w:tcBorders>
              <w:top w:val="single" w:sz="8" w:color="CCEEFF"/>
            </w:tcBorders>
            <w:shd w:val="clear" w:color="auto" w:fill="CCEEFF"/>
          </w:tcPr>
          <w:p>
            <w:pPr>
              <w:jc w:val="right"/>
              <w:ind w:right="210"/>
              <w:spacing w:after="0" w:line="159" w:lineRule="exact"/>
              <w:rPr>
                <w:sz w:val="20"/>
                <w:szCs w:val="20"/>
                <w:color w:val="auto"/>
              </w:rPr>
            </w:pPr>
            <w:r>
              <w:rPr>
                <w:rFonts w:ascii="Arial" w:cs="Arial" w:eastAsia="Arial" w:hAnsi="Arial"/>
                <w:sz w:val="14"/>
                <w:szCs w:val="14"/>
                <w:color w:val="auto"/>
                <w:w w:val="81"/>
              </w:rPr>
              <w:t>(2)</w:t>
            </w:r>
          </w:p>
        </w:tc>
        <w:tc>
          <w:tcPr>
            <w:tcW w:w="12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1/1/2017</w:t>
            </w:r>
          </w:p>
        </w:tc>
        <w:tc>
          <w:tcPr>
            <w:tcW w:w="2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7,500</w:t>
            </w:r>
          </w:p>
        </w:tc>
        <w:tc>
          <w:tcPr>
            <w:tcW w:w="2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7,500</w:t>
            </w:r>
          </w:p>
        </w:tc>
        <w:tc>
          <w:tcPr>
            <w:tcW w:w="2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ind w:left="420"/>
              <w:spacing w:after="0" w:line="163" w:lineRule="exact"/>
              <w:rPr>
                <w:sz w:val="20"/>
                <w:szCs w:val="20"/>
                <w:color w:val="auto"/>
              </w:rPr>
            </w:pPr>
            <w:r>
              <w:rPr>
                <w:rFonts w:ascii="Arial" w:cs="Arial" w:eastAsia="Arial" w:hAnsi="Arial"/>
                <w:sz w:val="17"/>
                <w:szCs w:val="17"/>
                <w:color w:val="auto"/>
                <w:w w:val="90"/>
              </w:rPr>
              <w:t>0.05</w:t>
            </w:r>
          </w:p>
        </w:tc>
        <w:tc>
          <w:tcPr>
            <w:tcW w:w="2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4/2/2027</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10"/>
              <w:spacing w:after="0" w:line="183" w:lineRule="exact"/>
              <w:rPr>
                <w:sz w:val="20"/>
                <w:szCs w:val="20"/>
                <w:color w:val="auto"/>
              </w:rPr>
            </w:pPr>
            <w:r>
              <w:rPr>
                <w:rFonts w:ascii="Arial" w:cs="Arial" w:eastAsia="Arial" w:hAnsi="Arial"/>
                <w:sz w:val="17"/>
                <w:szCs w:val="17"/>
                <w:color w:val="auto"/>
              </w:rPr>
              <w:t>3/26/2018</w:t>
            </w:r>
            <w:r>
              <w:rPr>
                <w:rFonts w:ascii="Arial" w:cs="Arial" w:eastAsia="Arial" w:hAnsi="Arial"/>
                <w:sz w:val="14"/>
                <w:szCs w:val="14"/>
                <w:color w:val="auto"/>
              </w:rPr>
              <w:t>(3)</w:t>
            </w:r>
          </w:p>
        </w:tc>
        <w:tc>
          <w:tcPr>
            <w:tcW w:w="150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12/18/2017</w:t>
            </w:r>
          </w:p>
        </w:tc>
        <w:tc>
          <w:tcPr>
            <w:tcW w:w="12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655,022</w:t>
            </w:r>
          </w:p>
        </w:tc>
        <w:tc>
          <w:tcPr>
            <w:tcW w:w="14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7"/>
                <w:szCs w:val="17"/>
                <w:color w:val="auto"/>
              </w:rPr>
              <w:t>0.14</w:t>
            </w:r>
          </w:p>
        </w:tc>
        <w:tc>
          <w:tcPr>
            <w:tcW w:w="9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3/25/2028</w:t>
            </w:r>
          </w:p>
        </w:tc>
        <w:tc>
          <w:tcPr>
            <w:tcW w:w="0" w:type="dxa"/>
            <w:vAlign w:val="bottom"/>
          </w:tcPr>
          <w:p>
            <w:pPr>
              <w:spacing w:after="0"/>
              <w:rPr>
                <w:sz w:val="1"/>
                <w:szCs w:val="1"/>
                <w:color w:val="auto"/>
              </w:rPr>
            </w:pPr>
          </w:p>
        </w:tc>
      </w:tr>
      <w:tr>
        <w:trPr>
          <w:trHeight w:val="183"/>
        </w:trPr>
        <w:tc>
          <w:tcPr>
            <w:tcW w:w="42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10"/>
              <w:spacing w:after="0" w:line="183" w:lineRule="exact"/>
              <w:rPr>
                <w:sz w:val="20"/>
                <w:szCs w:val="20"/>
                <w:color w:val="auto"/>
              </w:rPr>
            </w:pPr>
            <w:r>
              <w:rPr>
                <w:rFonts w:ascii="Arial" w:cs="Arial" w:eastAsia="Arial" w:hAnsi="Arial"/>
                <w:sz w:val="17"/>
                <w:szCs w:val="17"/>
                <w:color w:val="auto"/>
              </w:rPr>
              <w:t>3/26/2018</w:t>
            </w:r>
            <w:r>
              <w:rPr>
                <w:rFonts w:ascii="Arial" w:cs="Arial" w:eastAsia="Arial" w:hAnsi="Arial"/>
                <w:sz w:val="14"/>
                <w:szCs w:val="14"/>
                <w:color w:val="auto"/>
              </w:rPr>
              <w:t>(2)</w:t>
            </w:r>
          </w:p>
        </w:tc>
        <w:tc>
          <w:tcPr>
            <w:tcW w:w="150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12/18/2017</w:t>
            </w:r>
          </w:p>
        </w:tc>
        <w:tc>
          <w:tcPr>
            <w:tcW w:w="12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60,000</w:t>
            </w:r>
          </w:p>
        </w:tc>
        <w:tc>
          <w:tcPr>
            <w:tcW w:w="14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30,000</w:t>
            </w:r>
          </w:p>
        </w:tc>
        <w:tc>
          <w:tcPr>
            <w:tcW w:w="102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7"/>
                <w:szCs w:val="17"/>
                <w:color w:val="auto"/>
              </w:rPr>
              <w:t>0.14</w:t>
            </w:r>
          </w:p>
        </w:tc>
        <w:tc>
          <w:tcPr>
            <w:tcW w:w="9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3/25/2028</w:t>
            </w:r>
          </w:p>
        </w:tc>
        <w:tc>
          <w:tcPr>
            <w:tcW w:w="0" w:type="dxa"/>
            <w:vAlign w:val="bottom"/>
          </w:tcPr>
          <w:p>
            <w:pPr>
              <w:spacing w:after="0"/>
              <w:rPr>
                <w:sz w:val="1"/>
                <w:szCs w:val="1"/>
                <w:color w:val="auto"/>
              </w:rPr>
            </w:pPr>
          </w:p>
        </w:tc>
      </w:tr>
      <w:tr>
        <w:trPr>
          <w:trHeight w:val="189"/>
        </w:trPr>
        <w:tc>
          <w:tcPr>
            <w:tcW w:w="42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10"/>
              <w:spacing w:after="0" w:line="189" w:lineRule="exact"/>
              <w:rPr>
                <w:sz w:val="20"/>
                <w:szCs w:val="20"/>
                <w:color w:val="auto"/>
              </w:rPr>
            </w:pPr>
            <w:r>
              <w:rPr>
                <w:rFonts w:ascii="Arial" w:cs="Arial" w:eastAsia="Arial" w:hAnsi="Arial"/>
                <w:sz w:val="17"/>
                <w:szCs w:val="17"/>
                <w:color w:val="auto"/>
              </w:rPr>
              <w:t>6/19/2019</w:t>
            </w:r>
            <w:r>
              <w:rPr>
                <w:rFonts w:ascii="Arial" w:cs="Arial" w:eastAsia="Arial" w:hAnsi="Arial"/>
                <w:sz w:val="14"/>
                <w:szCs w:val="14"/>
                <w:color w:val="auto"/>
              </w:rPr>
              <w:t>(4)</w:t>
            </w:r>
          </w:p>
        </w:tc>
        <w:tc>
          <w:tcPr>
            <w:tcW w:w="15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12/1/2018</w:t>
            </w:r>
          </w:p>
        </w:tc>
        <w:tc>
          <w:tcPr>
            <w:tcW w:w="12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26,633</w:t>
            </w:r>
          </w:p>
        </w:tc>
        <w:tc>
          <w:tcPr>
            <w:tcW w:w="14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79,902</w:t>
            </w:r>
          </w:p>
        </w:tc>
        <w:tc>
          <w:tcPr>
            <w:tcW w:w="10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0.22</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6/18/2029</w:t>
            </w:r>
          </w:p>
        </w:tc>
        <w:tc>
          <w:tcPr>
            <w:tcW w:w="0" w:type="dxa"/>
            <w:vAlign w:val="bottom"/>
          </w:tcPr>
          <w:p>
            <w:pPr>
              <w:spacing w:after="0"/>
              <w:rPr>
                <w:sz w:val="1"/>
                <w:szCs w:val="1"/>
                <w:color w:val="auto"/>
              </w:rPr>
            </w:pPr>
          </w:p>
        </w:tc>
      </w:tr>
      <w:tr>
        <w:trPr>
          <w:trHeight w:val="177"/>
        </w:trPr>
        <w:tc>
          <w:tcPr>
            <w:tcW w:w="3480" w:type="dxa"/>
            <w:vAlign w:val="bottom"/>
            <w:gridSpan w:val="2"/>
          </w:tcPr>
          <w:p>
            <w:pPr>
              <w:spacing w:after="0" w:line="177" w:lineRule="exact"/>
              <w:rPr>
                <w:sz w:val="20"/>
                <w:szCs w:val="20"/>
                <w:color w:val="auto"/>
              </w:rPr>
            </w:pPr>
            <w:r>
              <w:rPr>
                <w:rFonts w:ascii="Arial" w:cs="Arial" w:eastAsia="Arial" w:hAnsi="Arial"/>
                <w:sz w:val="17"/>
                <w:szCs w:val="17"/>
                <w:color w:val="auto"/>
              </w:rPr>
              <w:t>Jennifer Lachey, Ph.D.</w:t>
            </w:r>
          </w:p>
        </w:tc>
        <w:tc>
          <w:tcPr>
            <w:tcW w:w="220" w:type="dxa"/>
            <w:vAlign w:val="bottom"/>
          </w:tcPr>
          <w:p>
            <w:pPr>
              <w:spacing w:after="0"/>
              <w:rPr>
                <w:sz w:val="15"/>
                <w:szCs w:val="15"/>
                <w:color w:val="auto"/>
              </w:rPr>
            </w:pPr>
          </w:p>
        </w:tc>
        <w:tc>
          <w:tcPr>
            <w:tcW w:w="1360" w:type="dxa"/>
            <w:vAlign w:val="bottom"/>
            <w:gridSpan w:val="2"/>
          </w:tcPr>
          <w:p>
            <w:pPr>
              <w:jc w:val="right"/>
              <w:ind w:right="210"/>
              <w:spacing w:after="0" w:line="177" w:lineRule="exact"/>
              <w:rPr>
                <w:sz w:val="20"/>
                <w:szCs w:val="20"/>
                <w:color w:val="auto"/>
              </w:rPr>
            </w:pPr>
            <w:r>
              <w:rPr>
                <w:rFonts w:ascii="Arial" w:cs="Arial" w:eastAsia="Arial" w:hAnsi="Arial"/>
                <w:sz w:val="17"/>
                <w:szCs w:val="17"/>
                <w:color w:val="auto"/>
              </w:rPr>
              <w:t>2/6/2017</w:t>
            </w:r>
            <w:r>
              <w:rPr>
                <w:rFonts w:ascii="Arial" w:cs="Arial" w:eastAsia="Arial" w:hAnsi="Arial"/>
                <w:sz w:val="14"/>
                <w:szCs w:val="14"/>
                <w:color w:val="auto"/>
              </w:rPr>
              <w:t>(4)</w:t>
            </w:r>
          </w:p>
        </w:tc>
        <w:tc>
          <w:tcPr>
            <w:tcW w:w="1500" w:type="dxa"/>
            <w:vAlign w:val="bottom"/>
            <w:gridSpan w:val="2"/>
          </w:tcPr>
          <w:p>
            <w:pPr>
              <w:jc w:val="right"/>
              <w:ind w:right="280"/>
              <w:spacing w:after="0" w:line="177" w:lineRule="exact"/>
              <w:rPr>
                <w:sz w:val="20"/>
                <w:szCs w:val="20"/>
                <w:color w:val="auto"/>
              </w:rPr>
            </w:pPr>
            <w:r>
              <w:rPr>
                <w:rFonts w:ascii="Arial" w:cs="Arial" w:eastAsia="Arial" w:hAnsi="Arial"/>
                <w:sz w:val="17"/>
                <w:szCs w:val="17"/>
                <w:color w:val="auto"/>
              </w:rPr>
              <w:t>7/1/2016</w:t>
            </w:r>
          </w:p>
        </w:tc>
        <w:tc>
          <w:tcPr>
            <w:tcW w:w="1280" w:type="dxa"/>
            <w:vAlign w:val="bottom"/>
            <w:gridSpan w:val="2"/>
          </w:tcPr>
          <w:p>
            <w:pPr>
              <w:jc w:val="right"/>
              <w:ind w:right="280"/>
              <w:spacing w:after="0" w:line="177" w:lineRule="exact"/>
              <w:rPr>
                <w:sz w:val="20"/>
                <w:szCs w:val="20"/>
                <w:color w:val="auto"/>
              </w:rPr>
            </w:pPr>
            <w:r>
              <w:rPr>
                <w:rFonts w:ascii="Arial" w:cs="Arial" w:eastAsia="Arial" w:hAnsi="Arial"/>
                <w:sz w:val="17"/>
                <w:szCs w:val="17"/>
                <w:color w:val="auto"/>
              </w:rPr>
              <w:t>65,625</w:t>
            </w:r>
          </w:p>
        </w:tc>
        <w:tc>
          <w:tcPr>
            <w:tcW w:w="1480" w:type="dxa"/>
            <w:vAlign w:val="bottom"/>
            <w:gridSpan w:val="2"/>
          </w:tcPr>
          <w:p>
            <w:pPr>
              <w:jc w:val="right"/>
              <w:ind w:right="280"/>
              <w:spacing w:after="0" w:line="177" w:lineRule="exact"/>
              <w:rPr>
                <w:sz w:val="20"/>
                <w:szCs w:val="20"/>
                <w:color w:val="auto"/>
              </w:rPr>
            </w:pPr>
            <w:r>
              <w:rPr>
                <w:rFonts w:ascii="Arial" w:cs="Arial" w:eastAsia="Arial" w:hAnsi="Arial"/>
                <w:sz w:val="17"/>
                <w:szCs w:val="17"/>
                <w:color w:val="auto"/>
              </w:rPr>
              <w:t>28,125</w:t>
            </w:r>
          </w:p>
        </w:tc>
        <w:tc>
          <w:tcPr>
            <w:tcW w:w="1020" w:type="dxa"/>
            <w:vAlign w:val="bottom"/>
            <w:gridSpan w:val="2"/>
          </w:tcPr>
          <w:p>
            <w:pPr>
              <w:ind w:left="420"/>
              <w:spacing w:after="0" w:line="177" w:lineRule="exact"/>
              <w:rPr>
                <w:sz w:val="20"/>
                <w:szCs w:val="20"/>
                <w:color w:val="auto"/>
              </w:rPr>
            </w:pPr>
            <w:r>
              <w:rPr>
                <w:rFonts w:ascii="Arial" w:cs="Arial" w:eastAsia="Arial" w:hAnsi="Arial"/>
                <w:sz w:val="17"/>
                <w:szCs w:val="17"/>
                <w:color w:val="auto"/>
              </w:rPr>
              <w:t>0.05</w:t>
            </w:r>
          </w:p>
        </w:tc>
        <w:tc>
          <w:tcPr>
            <w:tcW w:w="900" w:type="dxa"/>
            <w:vAlign w:val="bottom"/>
            <w:gridSpan w:val="2"/>
          </w:tcPr>
          <w:p>
            <w:pPr>
              <w:jc w:val="right"/>
              <w:ind w:right="40"/>
              <w:spacing w:after="0" w:line="177" w:lineRule="exact"/>
              <w:rPr>
                <w:sz w:val="20"/>
                <w:szCs w:val="20"/>
                <w:color w:val="auto"/>
              </w:rPr>
            </w:pPr>
            <w:r>
              <w:rPr>
                <w:rFonts w:ascii="Arial" w:cs="Arial" w:eastAsia="Arial" w:hAnsi="Arial"/>
                <w:sz w:val="17"/>
                <w:szCs w:val="17"/>
                <w:color w:val="auto"/>
              </w:rPr>
              <w:t>2/5/2027</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3"/>
          </w:tcPr>
          <w:p>
            <w:pPr>
              <w:jc w:val="right"/>
              <w:ind w:right="210"/>
              <w:spacing w:after="0" w:line="183" w:lineRule="exact"/>
              <w:rPr>
                <w:sz w:val="20"/>
                <w:szCs w:val="20"/>
                <w:color w:val="auto"/>
              </w:rPr>
            </w:pPr>
            <w:r>
              <w:rPr>
                <w:rFonts w:ascii="Arial" w:cs="Arial" w:eastAsia="Arial" w:hAnsi="Arial"/>
                <w:sz w:val="17"/>
                <w:szCs w:val="17"/>
                <w:color w:val="auto"/>
              </w:rPr>
              <w:t>4/3/2017</w:t>
            </w:r>
            <w:r>
              <w:rPr>
                <w:rFonts w:ascii="Arial" w:cs="Arial" w:eastAsia="Arial" w:hAnsi="Arial"/>
                <w:sz w:val="14"/>
                <w:szCs w:val="14"/>
                <w:color w:val="auto"/>
              </w:rPr>
              <w:t>(2)</w:t>
            </w:r>
          </w:p>
        </w:tc>
        <w:tc>
          <w:tcPr>
            <w:tcW w:w="150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1/1/2017</w:t>
            </w:r>
          </w:p>
        </w:tc>
        <w:tc>
          <w:tcPr>
            <w:tcW w:w="12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12,000</w:t>
            </w:r>
          </w:p>
        </w:tc>
        <w:tc>
          <w:tcPr>
            <w:tcW w:w="14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1,500</w:t>
            </w:r>
          </w:p>
        </w:tc>
        <w:tc>
          <w:tcPr>
            <w:tcW w:w="10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0.05</w:t>
            </w:r>
          </w:p>
        </w:tc>
        <w:tc>
          <w:tcPr>
            <w:tcW w:w="9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4/2/2027</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3"/>
          </w:tcPr>
          <w:p>
            <w:pPr>
              <w:jc w:val="right"/>
              <w:ind w:right="210"/>
              <w:spacing w:after="0" w:line="183" w:lineRule="exact"/>
              <w:rPr>
                <w:sz w:val="20"/>
                <w:szCs w:val="20"/>
                <w:color w:val="auto"/>
              </w:rPr>
            </w:pPr>
            <w:r>
              <w:rPr>
                <w:rFonts w:ascii="Arial" w:cs="Arial" w:eastAsia="Arial" w:hAnsi="Arial"/>
                <w:sz w:val="17"/>
                <w:szCs w:val="17"/>
                <w:color w:val="auto"/>
              </w:rPr>
              <w:t>3/26/2018</w:t>
            </w:r>
            <w:r>
              <w:rPr>
                <w:rFonts w:ascii="Arial" w:cs="Arial" w:eastAsia="Arial" w:hAnsi="Arial"/>
                <w:sz w:val="14"/>
                <w:szCs w:val="14"/>
                <w:color w:val="auto"/>
              </w:rPr>
              <w:t>(3)</w:t>
            </w:r>
          </w:p>
        </w:tc>
        <w:tc>
          <w:tcPr>
            <w:tcW w:w="150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12/18/2017</w:t>
            </w:r>
          </w:p>
        </w:tc>
        <w:tc>
          <w:tcPr>
            <w:tcW w:w="12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327,511</w:t>
            </w:r>
          </w:p>
        </w:tc>
        <w:tc>
          <w:tcPr>
            <w:tcW w:w="14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10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0.14</w:t>
            </w:r>
          </w:p>
        </w:tc>
        <w:tc>
          <w:tcPr>
            <w:tcW w:w="9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3/25/2028</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3"/>
          </w:tcPr>
          <w:p>
            <w:pPr>
              <w:jc w:val="right"/>
              <w:ind w:right="210"/>
              <w:spacing w:after="0" w:line="183" w:lineRule="exact"/>
              <w:rPr>
                <w:sz w:val="20"/>
                <w:szCs w:val="20"/>
                <w:color w:val="auto"/>
              </w:rPr>
            </w:pPr>
            <w:r>
              <w:rPr>
                <w:rFonts w:ascii="Arial" w:cs="Arial" w:eastAsia="Arial" w:hAnsi="Arial"/>
                <w:sz w:val="17"/>
                <w:szCs w:val="17"/>
                <w:color w:val="auto"/>
              </w:rPr>
              <w:t>3/26/2018</w:t>
            </w:r>
            <w:r>
              <w:rPr>
                <w:rFonts w:ascii="Arial" w:cs="Arial" w:eastAsia="Arial" w:hAnsi="Arial"/>
                <w:sz w:val="14"/>
                <w:szCs w:val="14"/>
                <w:color w:val="auto"/>
              </w:rPr>
              <w:t>(2)</w:t>
            </w:r>
          </w:p>
        </w:tc>
        <w:tc>
          <w:tcPr>
            <w:tcW w:w="150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12/18/2017</w:t>
            </w:r>
          </w:p>
        </w:tc>
        <w:tc>
          <w:tcPr>
            <w:tcW w:w="12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12,000</w:t>
            </w:r>
          </w:p>
        </w:tc>
        <w:tc>
          <w:tcPr>
            <w:tcW w:w="14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6,000</w:t>
            </w:r>
          </w:p>
        </w:tc>
        <w:tc>
          <w:tcPr>
            <w:tcW w:w="10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0.14</w:t>
            </w:r>
          </w:p>
        </w:tc>
        <w:tc>
          <w:tcPr>
            <w:tcW w:w="9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3/25/2028</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3"/>
          </w:tcPr>
          <w:p>
            <w:pPr>
              <w:jc w:val="right"/>
              <w:ind w:right="210"/>
              <w:spacing w:after="0" w:line="183" w:lineRule="exact"/>
              <w:rPr>
                <w:sz w:val="20"/>
                <w:szCs w:val="20"/>
                <w:color w:val="auto"/>
              </w:rPr>
            </w:pPr>
            <w:r>
              <w:rPr>
                <w:rFonts w:ascii="Arial" w:cs="Arial" w:eastAsia="Arial" w:hAnsi="Arial"/>
                <w:sz w:val="17"/>
                <w:szCs w:val="17"/>
                <w:color w:val="auto"/>
              </w:rPr>
              <w:t>6/12/2019</w:t>
            </w:r>
            <w:r>
              <w:rPr>
                <w:rFonts w:ascii="Arial" w:cs="Arial" w:eastAsia="Arial" w:hAnsi="Arial"/>
                <w:sz w:val="14"/>
                <w:szCs w:val="14"/>
                <w:color w:val="auto"/>
              </w:rPr>
              <w:t>(4)</w:t>
            </w:r>
          </w:p>
        </w:tc>
        <w:tc>
          <w:tcPr>
            <w:tcW w:w="150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5/13/2019</w:t>
            </w:r>
          </w:p>
        </w:tc>
        <w:tc>
          <w:tcPr>
            <w:tcW w:w="12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105,000</w:t>
            </w:r>
          </w:p>
        </w:tc>
        <w:tc>
          <w:tcPr>
            <w:tcW w:w="10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0.22</w:t>
            </w:r>
          </w:p>
        </w:tc>
        <w:tc>
          <w:tcPr>
            <w:tcW w:w="9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6/11/2029</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gridSpan w:val="3"/>
          </w:tcPr>
          <w:p>
            <w:pPr>
              <w:jc w:val="right"/>
              <w:ind w:right="210"/>
              <w:spacing w:after="0" w:line="189" w:lineRule="exact"/>
              <w:rPr>
                <w:sz w:val="20"/>
                <w:szCs w:val="20"/>
                <w:color w:val="auto"/>
              </w:rPr>
            </w:pPr>
            <w:r>
              <w:rPr>
                <w:rFonts w:ascii="Arial" w:cs="Arial" w:eastAsia="Arial" w:hAnsi="Arial"/>
                <w:sz w:val="17"/>
                <w:szCs w:val="17"/>
                <w:color w:val="auto"/>
              </w:rPr>
              <w:t>6/19/2019</w:t>
            </w:r>
            <w:r>
              <w:rPr>
                <w:rFonts w:ascii="Arial" w:cs="Arial" w:eastAsia="Arial" w:hAnsi="Arial"/>
                <w:sz w:val="14"/>
                <w:szCs w:val="14"/>
                <w:color w:val="auto"/>
              </w:rPr>
              <w:t>(4)</w:t>
            </w:r>
          </w:p>
        </w:tc>
        <w:tc>
          <w:tcPr>
            <w:tcW w:w="15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12/1/2018</w:t>
            </w:r>
          </w:p>
        </w:tc>
        <w:tc>
          <w:tcPr>
            <w:tcW w:w="12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20,000</w:t>
            </w:r>
          </w:p>
        </w:tc>
        <w:tc>
          <w:tcPr>
            <w:tcW w:w="14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60,000</w:t>
            </w:r>
          </w:p>
        </w:tc>
        <w:tc>
          <w:tcPr>
            <w:tcW w:w="102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0.22</w:t>
            </w: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6/18/2029</w:t>
            </w:r>
          </w:p>
        </w:tc>
        <w:tc>
          <w:tcPr>
            <w:tcW w:w="0" w:type="dxa"/>
            <w:vAlign w:val="bottom"/>
          </w:tcPr>
          <w:p>
            <w:pPr>
              <w:spacing w:after="0"/>
              <w:rPr>
                <w:sz w:val="1"/>
                <w:szCs w:val="1"/>
                <w:color w:val="auto"/>
              </w:rPr>
            </w:pPr>
          </w:p>
        </w:tc>
      </w:tr>
      <w:tr>
        <w:trPr>
          <w:trHeight w:val="183"/>
        </w:trPr>
        <w:tc>
          <w:tcPr>
            <w:tcW w:w="34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Claudia Ordonez, M.D.</w:t>
            </w:r>
          </w:p>
        </w:tc>
        <w:tc>
          <w:tcPr>
            <w:tcW w:w="1580" w:type="dxa"/>
            <w:vAlign w:val="bottom"/>
            <w:gridSpan w:val="3"/>
            <w:shd w:val="clear" w:color="auto" w:fill="CCEEFF"/>
          </w:tcPr>
          <w:p>
            <w:pPr>
              <w:jc w:val="right"/>
              <w:ind w:right="210"/>
              <w:spacing w:after="0" w:line="183" w:lineRule="exact"/>
              <w:rPr>
                <w:sz w:val="20"/>
                <w:szCs w:val="20"/>
                <w:color w:val="auto"/>
              </w:rPr>
            </w:pPr>
            <w:r>
              <w:rPr>
                <w:rFonts w:ascii="Arial" w:cs="Arial" w:eastAsia="Arial" w:hAnsi="Arial"/>
                <w:sz w:val="17"/>
                <w:szCs w:val="17"/>
                <w:color w:val="auto"/>
              </w:rPr>
              <w:t>9/19/2019</w:t>
            </w:r>
            <w:r>
              <w:rPr>
                <w:rFonts w:ascii="Arial" w:cs="Arial" w:eastAsia="Arial" w:hAnsi="Arial"/>
                <w:sz w:val="14"/>
                <w:szCs w:val="14"/>
                <w:color w:val="auto"/>
              </w:rPr>
              <w:t>(4)</w:t>
            </w:r>
          </w:p>
        </w:tc>
        <w:tc>
          <w:tcPr>
            <w:tcW w:w="150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9/16/2019</w:t>
            </w:r>
          </w:p>
        </w:tc>
        <w:tc>
          <w:tcPr>
            <w:tcW w:w="12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224,000</w:t>
            </w:r>
          </w:p>
        </w:tc>
        <w:tc>
          <w:tcPr>
            <w:tcW w:w="102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7"/>
                <w:szCs w:val="17"/>
                <w:color w:val="auto"/>
              </w:rPr>
              <w:t>0.22</w:t>
            </w:r>
          </w:p>
        </w:tc>
        <w:tc>
          <w:tcPr>
            <w:tcW w:w="9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9/18/2029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6" w:lineRule="exact"/>
        <w:rPr>
          <w:sz w:val="20"/>
          <w:szCs w:val="20"/>
          <w:color w:val="auto"/>
        </w:rPr>
      </w:pPr>
    </w:p>
    <w:p>
      <w:pPr>
        <w:ind w:left="440" w:hanging="292"/>
        <w:spacing w:after="0"/>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All of the option awards were granted under the 2017 Plan, the terms of which are described below under “—Equity Incentive Plans.”</w:t>
      </w:r>
    </w:p>
    <w:p>
      <w:pPr>
        <w:ind w:left="440" w:right="140" w:hanging="292"/>
        <w:spacing w:after="0" w:line="181"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3"/>
          <w:szCs w:val="13"/>
          <w:color w:val="auto"/>
        </w:rPr>
        <w:t>Each option award vests as follows: 8.33% of the shares subject to the option vest at the end of each successive three (3) month period following the vesting commencement date until the third anniversary of the vesting commencement date.</w:t>
      </w:r>
    </w:p>
    <w:p>
      <w:pPr>
        <w:spacing w:after="0" w:line="1" w:lineRule="exact"/>
        <w:rPr>
          <w:rFonts w:ascii="Arial" w:cs="Arial" w:eastAsia="Arial" w:hAnsi="Arial"/>
          <w:sz w:val="23"/>
          <w:szCs w:val="23"/>
          <w:color w:val="auto"/>
          <w:vertAlign w:val="superscript"/>
        </w:rPr>
      </w:pPr>
    </w:p>
    <w:p>
      <w:pPr>
        <w:ind w:left="440" w:right="180" w:hanging="292"/>
        <w:spacing w:after="0" w:line="181"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3"/>
          <w:szCs w:val="13"/>
          <w:color w:val="auto"/>
        </w:rPr>
        <w:t>Each option award vests as follows: 50% of the shares subject to the option are fully vested and 6.25% of the shares subject to the option vest at the end of each successive three (3) month period following the vesting commencement date until the second anniversary of the vesting commencement date.</w:t>
      </w:r>
    </w:p>
    <w:p>
      <w:pPr>
        <w:spacing w:after="0" w:line="1" w:lineRule="exact"/>
        <w:rPr>
          <w:rFonts w:ascii="Arial" w:cs="Arial" w:eastAsia="Arial" w:hAnsi="Arial"/>
          <w:sz w:val="23"/>
          <w:szCs w:val="23"/>
          <w:color w:val="auto"/>
          <w:vertAlign w:val="superscript"/>
        </w:rPr>
      </w:pPr>
    </w:p>
    <w:p>
      <w:pPr>
        <w:jc w:val="both"/>
        <w:ind w:left="440" w:right="40" w:hanging="292"/>
        <w:spacing w:after="0" w:line="19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Each option award vests as follows: 25% of the shares subject to the option vest on the first anniversary of the vesting commencement date and 6.25% of the shares subject to the option vest at the end of each successive three (3) month period following the first anniversary of the vesting commencement date until the fourth anniversary of the vesting commencement date.</w:t>
      </w:r>
    </w:p>
    <w:p>
      <w:pPr>
        <w:spacing w:after="0" w:line="135"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In September 2019, Dr. Seehra exercised a portion of his April 2017 option and acquired 75,000 shares. We did not make any material modifications to options held by our named executive officers in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Our Named Executive Officers</w:t>
      </w:r>
    </w:p>
    <w:p>
      <w:pPr>
        <w:spacing w:after="0" w:line="8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We have employment agreements or offer letters with each of our named executive officers. The material terms of each of these agreements are described below. These agreements provide for base salaries and incentive compensation, and each component reflects the scope of each named executive officer’s anticipated responsibilities and the individual experience they bring to our company. The employment of each of our named executive officers is “at will” and may be terminated at any time. In addition, each of our named executive officers has executed a form of our standard proprietary information and inventions agreement.</w:t>
      </w:r>
    </w:p>
    <w:p>
      <w:pPr>
        <w:spacing w:after="0" w:line="124"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i w:val="1"/>
          <w:iCs w:val="1"/>
          <w:color w:val="auto"/>
        </w:rPr>
        <w:t xml:space="preserve">Jasbir Seehra, Ph.D. </w:t>
      </w:r>
      <w:r>
        <w:rPr>
          <w:rFonts w:ascii="Arial" w:cs="Arial" w:eastAsia="Arial" w:hAnsi="Arial"/>
          <w:sz w:val="17"/>
          <w:szCs w:val="17"/>
          <w:color w:val="auto"/>
        </w:rPr>
        <w:t>We entered into an offer letter agreement with Dr. Seehra in December 2015, which governs the current terms of his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us. Pursuant to the agreement, Dr. Seehra was entitled to an initial annual base salary of $410,000 (most recently increased to $485,100 effective January 2019). Dr. Seehra is eligible to participate in the employee benefit plans generally available to our employees, and is subject to customary confidentiality covenants, as well as a non-competition and non-solicitation covenant for a period of twelve months following termination of his employment. Dr. Seehra’s employment is at will.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0"/>
          </w:cols>
          <w:pgMar w:left="320" w:top="448" w:right="3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 xml:space="preserve">Jennifer Lachey, Ph.D. </w:t>
      </w:r>
      <w:r>
        <w:rPr>
          <w:rFonts w:ascii="Arial" w:cs="Arial" w:eastAsia="Arial" w:hAnsi="Arial"/>
          <w:sz w:val="17"/>
          <w:szCs w:val="17"/>
          <w:color w:val="auto"/>
        </w:rPr>
        <w:t>We entered into an offer letter agreement with Dr. Lachey in April 2016, which governs the current terms of her employment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us. Pursuant to the agreement, Dr. Lachey was entitled to an initial annual base salary of $230,000 (most recently increased to $310,000 in June 2019 in connection with Dr. Lachey’s promotion to Chief Scientific Officer) and was eligible to receive a stock option to purchase up to 150,000 shares of our common stock, which was granted to Dr. Lachey in February 2017. Dr. Lachey is eligible to participate in the employee benefit plans generally available to our employees, and is subject to customary confidentiality covenants, as well as a non-competition and non-solicitation covenant for a period of 12 months following her termination of employment. Dr. Lachey’s employment is at will.</w:t>
      </w:r>
    </w:p>
    <w:p>
      <w:pPr>
        <w:spacing w:after="0" w:line="124"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 xml:space="preserve">Claudia Ordonez, M.D. </w:t>
      </w:r>
      <w:r>
        <w:rPr>
          <w:rFonts w:ascii="Arial" w:cs="Arial" w:eastAsia="Arial" w:hAnsi="Arial"/>
          <w:sz w:val="17"/>
          <w:szCs w:val="17"/>
          <w:color w:val="auto"/>
        </w:rPr>
        <w:t>We entered into an offer letter agreement with Dr. Ordonez in August 2019, which governs the current terms of her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us. Pursuant to the agreement, Dr. Ordonez was entitled to an initial annual base salary of $365,000, a one-time signing bonus of $30,000 and an annual incentive bonus based on a target amount of 30% of her base salary. In addition, Dr. Ordonez was eligible to receive a stock option to purchase up to 224,000 shares of our common stock, which was granted to Dr. Ordonez in September 2019. Dr. Ordonez is eligible to participate in the employee benefit plans generally available to our employees, and is subject to customary confidentiality covenants, as well as a non-solicitation covenant for a period of 12 months following her termination of employment. Dr. Ordonez’s employment is at will.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96"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Regardless of the manner in which a named executive officer’s service terminates, each named executive officer is entitled to receive amounts earned during his or her term of service, including unpaid salary and unused vacation. Our named executive officers are not currently entitled to any severance or change in control payments under existing agreements. Each of our named executive officers’ stock options are subject to the terms of the 2017 Plan; a description of the termination and change in control provisions in the 2017 Plan and stock options granted thereunder is provided below under “—Equity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82"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Equity Incentive Plan</w:t>
      </w:r>
    </w:p>
    <w:p>
      <w:pPr>
        <w:spacing w:after="0" w:line="46"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We expect that, prior to the effectiveness of the registration statement for this offering, our board of directors will adopt and our stockholders will approve our 2020 Equity Incentive Plan, or 2020 Plan. The 2020 Plan will become effective immediately upon the execution of the underwriting agreement for this offering, at which point no further grants will be made under our 2017 Plan, as described in”—2017 Stock Incentive Plan.” No awards have been granted and no shares of our common stock have been issued under our 2020 Plan. Our 2020 Plan will provide for the grant of stock options qualifying as incentive stock options, or ISOs, within the meaning of Section 422 of the Internal Revenue Code of 1986, as amended, or the Code, to our employees and for the grant of nonstatutory stock options, or NSOs, restricted stock awards, restricted stock unit awards, stock appreciation rights, performance stock awards and other forms of stock compensation to our employees, consultants and directors. Our 2020 Plan will also provide for the grant of performance cash awards to our employees, consultants and directors.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i w:val="1"/>
          <w:iCs w:val="1"/>
          <w:color w:val="auto"/>
        </w:rPr>
        <w:t xml:space="preserve">Authorized Shares. </w:t>
      </w:r>
      <w:r>
        <w:rPr>
          <w:rFonts w:ascii="Arial" w:cs="Arial" w:eastAsia="Arial" w:hAnsi="Arial"/>
          <w:sz w:val="15"/>
          <w:szCs w:val="15"/>
          <w:color w:val="auto"/>
        </w:rPr>
        <w:t>The number of shares of our common stock initially reserved for issuance under our 2020 Plan is the sum of (i) shares of our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(ii) the number of shares remaining available for issuance under our 2017 Plan when the 2020 Plan becomes effective and (iii) the number of shares of our common stock subject to outstanding awards under our 2017 Plan when the 2020 Plan becomes effective that thereafter expire or are forfeited, canceled, withheld to satisfy tax withholding or to purchase or exercise an award, repurchased by us or are otherwise terminated. The number of shares of our common stock reserved for issuance under our 2020 Plan will automatically increase on January 1 of each year, for a period of ten years,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from January 1, 2021 continuing through January 1, 2030, by % of the total number of shares of our common stock outstanding on December 31 of the preceding calendar year, or a lesser number of shares as may be determined by our board of directors. The maximum number of shares that may be</w:t>
      </w:r>
    </w:p>
    <w:p>
      <w:pPr>
        <w:spacing w:after="0"/>
        <w:tabs>
          <w:tab w:leader="none" w:pos="5300" w:val="left"/>
        </w:tabs>
        <w:rPr>
          <w:sz w:val="20"/>
          <w:szCs w:val="20"/>
          <w:color w:val="auto"/>
        </w:rPr>
      </w:pPr>
      <w:r>
        <w:rPr>
          <w:rFonts w:ascii="Arial" w:cs="Arial" w:eastAsia="Arial" w:hAnsi="Arial"/>
          <w:sz w:val="17"/>
          <w:szCs w:val="17"/>
          <w:color w:val="auto"/>
        </w:rPr>
        <w:t>issued pursuant to the exercise of ISOs under the 2020 Plan is</w:t>
      </w:r>
      <w:r>
        <w:rPr>
          <w:sz w:val="20"/>
          <w:szCs w:val="20"/>
          <w:color w:val="auto"/>
        </w:rPr>
        <w:tab/>
      </w:r>
      <w:r>
        <w:rPr>
          <w:rFonts w:ascii="Arial" w:cs="Arial" w:eastAsia="Arial" w:hAnsi="Arial"/>
          <w:sz w:val="14"/>
          <w:szCs w:val="14"/>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48" w:right="3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Shares issued under our 2020 Plan may be authorized but unissued or reacquired shares of our common stock. Shares subject to stock awards granted under our 2020 Plan that expire or terminate without being exercised in full, or that are paid out in cash rather than in shares, will not reduce the number of shares available for issuance under our 2020 Plan. Additionally, shares issued pursuant to stock awards under our 2020 Plan that we repurchase or that are forfeited, as well as shares reacquired by us as consideration for the exercise or purchase price of a stock award or to satisfy tax withholding obligations related to a stock award, will become available for future grant under our 2020 Plan.</w:t>
      </w:r>
    </w:p>
    <w:p>
      <w:pPr>
        <w:spacing w:after="0" w:line="12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thereof, has the authority to administer our 2020 Plan. Our board of directors has</w:t>
      </w:r>
      <w:r>
        <w:rPr>
          <w:rFonts w:ascii="Arial" w:cs="Arial" w:eastAsia="Arial" w:hAnsi="Arial"/>
          <w:sz w:val="17"/>
          <w:szCs w:val="17"/>
          <w:i w:val="1"/>
          <w:iCs w:val="1"/>
          <w:color w:val="auto"/>
        </w:rPr>
        <w:t xml:space="preserve"> </w:t>
      </w:r>
      <w:r>
        <w:rPr>
          <w:rFonts w:ascii="Arial" w:cs="Arial" w:eastAsia="Arial" w:hAnsi="Arial"/>
          <w:sz w:val="17"/>
          <w:szCs w:val="17"/>
          <w:color w:val="auto"/>
        </w:rPr>
        <w:t>delegated its authority to administer our 2020 Plan to our compensation committee under the terms of the compensation committee’s charter. Our board of directors may also delegate to one or more of our officers the authority to (i) designate employees other than officers to receive specified stock awards and (ii) determine the number of shares of our common stock to be subject to such stock awards. Subject to the terms of our 2020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2020 Plan.</w:t>
      </w:r>
    </w:p>
    <w:p>
      <w:pPr>
        <w:spacing w:after="0" w:line="1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administrator has the power to modify outstanding awards under our 2020 Plan. Subject to the terms of our 2020 Plan, the administrator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adversely affected participant.</w:t>
      </w:r>
    </w:p>
    <w:p>
      <w:pPr>
        <w:spacing w:after="0" w:line="127" w:lineRule="exact"/>
        <w:rPr>
          <w:sz w:val="20"/>
          <w:szCs w:val="20"/>
          <w:color w:val="auto"/>
        </w:rPr>
      </w:pPr>
    </w:p>
    <w:p>
      <w:pPr>
        <w:spacing w:after="0" w:line="266" w:lineRule="auto"/>
        <w:rPr>
          <w:sz w:val="20"/>
          <w:szCs w:val="20"/>
          <w:color w:val="auto"/>
        </w:rPr>
      </w:pPr>
      <w:r>
        <w:rPr>
          <w:rFonts w:ascii="Arial" w:cs="Arial" w:eastAsia="Arial" w:hAnsi="Arial"/>
          <w:sz w:val="15"/>
          <w:szCs w:val="15"/>
          <w:i w:val="1"/>
          <w:iCs w:val="1"/>
          <w:color w:val="auto"/>
        </w:rPr>
        <w:t xml:space="preserve">Limitation on Grants to Non-Employee Directors. </w:t>
      </w:r>
      <w:r>
        <w:rPr>
          <w:rFonts w:ascii="Arial" w:cs="Arial" w:eastAsia="Arial" w:hAnsi="Arial"/>
          <w:sz w:val="15"/>
          <w:szCs w:val="15"/>
          <w:color w:val="auto"/>
        </w:rPr>
        <w:t>The maximum number of shares of our common stock subject to awards granted under our 2020 Plan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during a single calendar year to any of our non-employee directors, taken together with any cash fees paid by us to such non-employee director</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during the calendar year for serving on our board, will not exceed $ in total value (the value of any such stock awards to be based on their grant date fair market value for financial reporting purposes), or, with respect to the calendar year in which a non-employee director is first appointed or elected</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to our board, $</w:t>
      </w:r>
      <w:r>
        <w:rPr>
          <w:sz w:val="20"/>
          <w:szCs w:val="20"/>
          <w:color w:val="auto"/>
        </w:rPr>
        <w:tab/>
      </w:r>
      <w:r>
        <w:rPr>
          <w:rFonts w:ascii="Arial" w:cs="Arial" w:eastAsia="Arial" w:hAnsi="Arial"/>
          <w:sz w:val="17"/>
          <w:szCs w:val="17"/>
          <w:color w:val="auto"/>
        </w:rPr>
        <w:t>.</w:t>
      </w:r>
    </w:p>
    <w:p>
      <w:pPr>
        <w:spacing w:after="0" w:line="12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Our 2020 Plan provides that in the event of a specified corporate transaction, including without limitation a consolidation,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or similar transaction involving our company, the sale or other disposition of all or substantially all of the assets of our company or the consolidated assets of our company and our subsidiaries, or a sale or disposition of more than 50% of the outstanding capital stock of our company, the administrator will determine how to treat each outstanding stock award. The administrator may:</w:t>
      </w:r>
    </w:p>
    <w:p>
      <w:pPr>
        <w:spacing w:after="0" w:line="182" w:lineRule="exact"/>
        <w:rPr>
          <w:sz w:val="20"/>
          <w:szCs w:val="20"/>
          <w:color w:val="auto"/>
        </w:rPr>
      </w:pPr>
    </w:p>
    <w:p>
      <w:pPr>
        <w:ind w:left="880" w:hanging="432"/>
        <w:spacing w:after="0"/>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arrange for the assumption, continuation or substitution of a stock award by a successor corporation;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arrange for the assignment of any reacquisition or repurchase rights held by us to a successor corporation;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accelerate the vesting of the stock award and provide for its termination prior to the effective time of the corporate transaction;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arrange for the lapse, in whole or in part, of any reacquisition or repurchase right held by us;</w:t>
      </w:r>
    </w:p>
    <w:p>
      <w:pPr>
        <w:spacing w:after="0" w:line="26" w:lineRule="exact"/>
        <w:rPr>
          <w:rFonts w:ascii="MS PGothic" w:cs="MS PGothic" w:eastAsia="MS PGothic" w:hAnsi="MS PGothic"/>
          <w:sz w:val="12"/>
          <w:szCs w:val="12"/>
          <w:color w:val="auto"/>
        </w:rPr>
      </w:pPr>
    </w:p>
    <w:p>
      <w:pPr>
        <w:ind w:left="880" w:right="740" w:hanging="432"/>
        <w:spacing w:after="0" w:line="233" w:lineRule="auto"/>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cancel the stock award prior to the transaction in exchange for such cash consideration, if any, that the administrator in its discretion determines to be appropriate; or</w:t>
      </w:r>
    </w:p>
    <w:p>
      <w:pPr>
        <w:spacing w:after="0" w:line="25" w:lineRule="exact"/>
        <w:rPr>
          <w:rFonts w:ascii="MS PGothic" w:cs="MS PGothic" w:eastAsia="MS PGothic" w:hAnsi="MS PGothic"/>
          <w:sz w:val="12"/>
          <w:szCs w:val="12"/>
          <w:color w:val="auto"/>
        </w:rPr>
      </w:pPr>
    </w:p>
    <w:p>
      <w:pPr>
        <w:ind w:left="880" w:right="260" w:hanging="432"/>
        <w:spacing w:after="0" w:line="230" w:lineRule="auto"/>
        <w:tabs>
          <w:tab w:leader="none" w:pos="88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make a payment in a form determined by the administrator equal to the excess of the value of the property the participant would have received upon exercise of the stock award immediately prior to the transaction over the exercise price payable in connection with the stock award.</w:t>
      </w:r>
    </w:p>
    <w:p>
      <w:pPr>
        <w:spacing w:after="0" w:line="143"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25"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The administrator may provide, in an individual award agreement or in any other written agreement between us and the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stock award will be subject to additional acceleration of vesting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448" w:right="3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and exercisability in the event of a change in control (as defined in the 2020 Plan). In the absence of such a provision, no such acceleration of the stock award will occur.</w:t>
      </w:r>
    </w:p>
    <w:p>
      <w:pPr>
        <w:spacing w:after="0" w:line="12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i w:val="1"/>
          <w:iCs w:val="1"/>
          <w:color w:val="auto"/>
        </w:rPr>
        <w:t xml:space="preserve">Amendment or Termination. </w:t>
      </w:r>
      <w:r>
        <w:rPr>
          <w:rFonts w:ascii="Arial" w:cs="Arial" w:eastAsia="Arial" w:hAnsi="Arial"/>
          <w:sz w:val="17"/>
          <w:szCs w:val="17"/>
          <w:color w:val="auto"/>
        </w:rPr>
        <w:t>Our board has the authority to amend, suspend, or terminate our 2020 Plan, provided that such action does not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impair the existing rights of any participant without such participant’s written consent. No ISOs may be granted after the tenth anniversary of the date our board of directors adopts our 2020 Plan.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Stock Incentive Plan</w:t>
      </w:r>
    </w:p>
    <w:p>
      <w:pPr>
        <w:spacing w:after="0" w:line="86"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Our board of directors adopted the 2017 Plan in February 2017, and our stockholders approved the 2017 Plan in March 2017. The 2017 Plan was most recently amended in March 2019. As of December 31, 2019, there were 138,806 shares remaining available for the future grant of stock awards under the 2017 Plan. As of December 31, 2019, there were outstanding stock options covering a total of 2,526,538 shares of our common stock that were granted under the 2017 Plan. We expect that any shares remaining available for issuance under the 2017 Plan will become available for issuance under the 2020 Plan in connection with this offering.</w:t>
      </w:r>
    </w:p>
    <w:p>
      <w:pPr>
        <w:spacing w:after="0" w:line="124" w:lineRule="exact"/>
        <w:rPr>
          <w:sz w:val="20"/>
          <w:szCs w:val="20"/>
          <w:color w:val="auto"/>
        </w:rPr>
      </w:pPr>
    </w:p>
    <w:p>
      <w:pPr>
        <w:spacing w:after="0" w:line="234"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The 2017 Plan provides for the grant of ISOs within the meaning of Section 422 of the Code to our employees, including employees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or subsidiary, and for the grant of NSOs, restricted stock, restricted stock units and other forms of stock-based awards to our employees, officers, directors, consultants and advisors, including employees, officers, directors, consultants and advisors of any parent or subsidiary. To date, we have only granted stock options under the 2017 Plan.</w:t>
      </w:r>
    </w:p>
    <w:p>
      <w:pPr>
        <w:spacing w:after="0" w:line="125"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Subject to certain capitalization adjustments, the aggregate number of shares of our common stock that may be issued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awards under the 2017 Plan will not exceed 2,956,143 shares.</w:t>
      </w:r>
    </w:p>
    <w:p>
      <w:pPr>
        <w:spacing w:after="0" w:line="135"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If any stock award granted under the 2017 Plan (1) expires or is terminated, surrendered or cancelled without being exercised in full, (2) is forfeited in whole or in part (including as the result of shares of our common stock subject to such stock award being repurchased pursuant to a contractual repurchase right) or (3) results in shares of our common stock not being issued, the unused shares subject to such stock award will revert to and again become available for the grant of stock awards under the 2017 Plan. Additionally, shares tendered to us by a participant to exercise a stock award will be added to the number of shares available for the grant of stock awards under the 2017 Plan. As described below, in connection with a “reorganization event,” the plan administrator may grant stock awards under the 2017 Plan in substitution for any stock-based awards granted by an acquiring or succeeding corporation; such awards will not count against the overall share limit set forth above, unless required by the Code.</w:t>
      </w:r>
    </w:p>
    <w:p>
      <w:pPr>
        <w:spacing w:after="0" w:line="129"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of directors to which the board delegates its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will administer the 2017 Plan and is referred to as the “plan administrator” herein. The plan administrator may also delegate to one or more of our officers the authority to grant stock awards to employees or officers (other than any “executive officer,” as defined by Rule 3b-7 under the Exchange Act, or to any “officer,” as defined by Rule 16a-1 under the Exchange Act) and to exercise such other powers under the 2017 Plan as the plan administrator may determine; provided, however, that the plan administrator will fix (1) the terms of the stock awards to be granted by such officers and (2) the maximum number of shares subject to such stock awards.</w:t>
      </w:r>
    </w:p>
    <w:p>
      <w:pPr>
        <w:spacing w:after="0" w:line="142"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color w:val="auto"/>
        </w:rPr>
        <w:t>Under the 2017 Plan, the plan administrator has the authority to, among other things, (1) grant awards, (2) construe and interpret the terms of the 2017 Plan and any stock award agreements entered into under it, (3) adopt, amend and repeal administrative rules, guidelines and practices relating to the 2017 Plan, (4) correct any defect, supply any omission or reconcile any inconsistency in the 2017 Plan or any stock award and (5) accelerate stock awards in full or in part.</w:t>
      </w:r>
    </w:p>
    <w:p>
      <w:pPr>
        <w:spacing w:after="0" w:line="145"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The plan administrator also has the authority to amend, modify or terminate any outstanding stock award, including but not limited to, substituting another stock award of the same or a different type, changing the date of exercise or realization, and converting an ISO into an NSO. The participant’s consent to such action is required unless (1) the plan administrator determines that the action would not materially and adversely affect the participant’s rights under the 2017 Plan, (2) the change is permitted under the terms of the 2017 Plan governing changes in our capital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00"/>
          </w:cols>
          <w:pgMar w:left="320" w:top="448" w:right="3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structure and reorganization events or (3) the change is to ensure that a stock option intended to qualify as an ISO qualifies as such. Additionally, the plan administrator has the authority to, without stockholder approval, (1) amend any outstanding stock award granted under the 2017 Plan to provide an exercise price per share that is lower than the then-current exercise price per share of such outstanding stock award and (2) cancel any outstanding stock award and grant in substitution new stock awards under the 2017 Plan covering the same or a different number of shares of our common stock and having an exercise price per share that is lower than the then-current exercise price per share of the cancelled award.</w:t>
      </w:r>
    </w:p>
    <w:p>
      <w:pPr>
        <w:spacing w:after="0" w:line="124"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generally granted under stock option agreements adopted by the plan administrator.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number of shares covered by each stock option and the applicable exercise price, within the terms and conditions of the 2017 Plan, provided that the exercise price of an NSO (for California residents) or an ISO (except as described below) generally cannot be less than 85% or 100%, respectively, of the fair market value of our common stock on the date of grant. Subject to the provisions of the 2017 Plan, stock options granted under the 2017 Plan are exercisable at such times and subject to such terms and conditions as the plan administrator may specify in the applicable stock option agreement.</w:t>
      </w:r>
    </w:p>
    <w:p>
      <w:pPr>
        <w:spacing w:after="0" w:line="142"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The plan administrator determines the term of stock options granted under the 2017 Plan, which is generally a maximum of ten years. If an optionholder’s service relationship with us (or any parent or subsidiary) ceases for any reason other than death, disability or cause, the optionholder may generally exercise any exercisable options for a period of up to three months following the cessation of service. If an optionholder’s service relationship with us (or any parent or subsidiary) ceases due to death or disability, the optionholder or an authorized transferee, in the event of death, may generally exercise any exercisable options for a period of up to one year following the date of death or disability. In the event of a termination for cause, options generally terminate upon the termination date. In no event may an option be exercised beyond the expiration of its term.</w:t>
      </w:r>
    </w:p>
    <w:p>
      <w:pPr>
        <w:spacing w:after="0" w:line="144"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Acceptable consideration for the purchase of our common stock issued upon the exercise of a stock option will be determined by the plan administrator and may include: (1) cash or check payable to us; (2) a broker-assisted cashless exercise; (3) the tender of shares of our common stock previously owned by the optionholder; (4) delivery of a promissory note of the optionholder to us on terms determined by the plan administrator; (5) payment of other lawful consideration as the plan administrator may determine; or (6) any combination of the foregoing permitted forms of payment.</w:t>
      </w:r>
    </w:p>
    <w:p>
      <w:pPr>
        <w:spacing w:after="0" w:line="108" w:lineRule="exact"/>
        <w:rPr>
          <w:sz w:val="20"/>
          <w:szCs w:val="20"/>
          <w:color w:val="auto"/>
        </w:rPr>
      </w:pPr>
    </w:p>
    <w:p>
      <w:pPr>
        <w:ind w:right="340"/>
        <w:spacing w:after="0" w:line="23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the plan administrator provides otherwise, stock options granted under the 2017 Plan generally may not be sold,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pledged or otherwise encumbered by the optionholder to whom they are granted, except by will or the laws of descent and distribution or, other than in the case of an ISO, pursuant to a qualified domestic relations order. During the lifetime of the optionholder, stock options are exercisable only by the optionholder.</w:t>
      </w:r>
    </w:p>
    <w:p>
      <w:pPr>
        <w:spacing w:after="0" w:line="12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common stock with respect to ISOs that are 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first time by an optionholder during any calendar year under all of our stock plans may not exceed $100,000. Stock options or portions thereof that exceed such limit will be treated as NSOs. No ISO may be granted to any person who, at the time of the grant, owns or is deemed to own stock possessing more than 10% of our total combined voting power or that of any of our parent or subsidiary corporations unless (1) the exercise price is at least 110% of the fair market value of the stock subject to the option on the date of grant, and (2) the term of the ISO does not exceed five years from the date of grant.</w:t>
      </w:r>
    </w:p>
    <w:p>
      <w:pPr>
        <w:spacing w:after="0" w:line="12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of any stock split, reverse stock split, stock dividend, recapitalization, combination of shares, reclassification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spin-off or other similar change in capitalization or event, or any dividend or distribution to holders of our common stock other than an ordinary cash dividend, the plan administrator, in its discretion, will make equitable adjustments to (1) the number and class of securities available under the 2017 Plan and (2) the number and class of securities and exercise price per share of each outstanding stock option.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448" w:right="3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i w:val="1"/>
          <w:iCs w:val="1"/>
          <w:color w:val="auto"/>
        </w:rPr>
        <w:t>Reorganization Events</w:t>
      </w:r>
      <w:r>
        <w:rPr>
          <w:rFonts w:ascii="Arial" w:cs="Arial" w:eastAsia="Arial" w:hAnsi="Arial"/>
          <w:sz w:val="17"/>
          <w:szCs w:val="17"/>
          <w:color w:val="auto"/>
        </w:rPr>
        <w:t>. The 2017 Plan provides that, in the event of a “reorganization event,” the plan administrator may take any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actions as to all or any outstanding stock options on such terms as the plan administrator determines:</w:t>
      </w:r>
    </w:p>
    <w:p>
      <w:pPr>
        <w:spacing w:after="0" w:line="174" w:lineRule="exact"/>
        <w:rPr>
          <w:sz w:val="20"/>
          <w:szCs w:val="20"/>
          <w:color w:val="auto"/>
        </w:rPr>
      </w:pPr>
    </w:p>
    <w:p>
      <w:pPr>
        <w:ind w:left="880" w:hanging="432"/>
        <w:spacing w:after="0"/>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provide for the assumption or substitution of a stock option by an acquiring or succeeding corporation (or any affiliate thereof);</w:t>
      </w:r>
    </w:p>
    <w:p>
      <w:pPr>
        <w:spacing w:after="0" w:line="26" w:lineRule="exact"/>
        <w:rPr>
          <w:rFonts w:ascii="MS PGothic" w:cs="MS PGothic" w:eastAsia="MS PGothic" w:hAnsi="MS PGothic"/>
          <w:sz w:val="12"/>
          <w:szCs w:val="12"/>
          <w:color w:val="auto"/>
        </w:rPr>
      </w:pPr>
    </w:p>
    <w:p>
      <w:pPr>
        <w:ind w:left="880" w:right="300" w:hanging="432"/>
        <w:spacing w:after="0" w:line="269" w:lineRule="auto"/>
        <w:tabs>
          <w:tab w:leader="none" w:pos="880" w:val="left"/>
        </w:tabs>
        <w:numPr>
          <w:ilvl w:val="0"/>
          <w:numId w:val="97"/>
        </w:numPr>
        <w:rPr>
          <w:rFonts w:ascii="MS PGothic" w:cs="MS PGothic" w:eastAsia="MS PGothic" w:hAnsi="MS PGothic"/>
          <w:sz w:val="11"/>
          <w:szCs w:val="11"/>
          <w:color w:val="auto"/>
        </w:rPr>
      </w:pPr>
      <w:r>
        <w:rPr>
          <w:rFonts w:ascii="Arial" w:cs="Arial" w:eastAsia="Arial" w:hAnsi="Arial"/>
          <w:sz w:val="15"/>
          <w:szCs w:val="15"/>
          <w:color w:val="auto"/>
        </w:rPr>
        <w:t>upon written notice to the participant, provide that a participant’s unexercised stock options will terminate immediately prior to the consummation of such reorganization event unless exercised by the participant within a specified period following the date of such notice;</w:t>
      </w:r>
    </w:p>
    <w:p>
      <w:pPr>
        <w:spacing w:after="0" w:line="18" w:lineRule="exact"/>
        <w:rPr>
          <w:rFonts w:ascii="MS PGothic" w:cs="MS PGothic" w:eastAsia="MS PGothic" w:hAnsi="MS PGothic"/>
          <w:sz w:val="11"/>
          <w:szCs w:val="11"/>
          <w:color w:val="auto"/>
        </w:rPr>
      </w:pPr>
    </w:p>
    <w:p>
      <w:pPr>
        <w:ind w:left="880" w:right="240" w:hanging="432"/>
        <w:spacing w:after="0" w:line="233" w:lineRule="auto"/>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provide that outstanding stock options will become exercisable, realizable or deliverable, as applicable, or restrictions applicable to a stock option will lapse, in whole or in part, prior to or upon such reorganization event;</w:t>
      </w:r>
    </w:p>
    <w:p>
      <w:pPr>
        <w:spacing w:after="0" w:line="25" w:lineRule="exact"/>
        <w:rPr>
          <w:rFonts w:ascii="MS PGothic" w:cs="MS PGothic" w:eastAsia="MS PGothic" w:hAnsi="MS PGothic"/>
          <w:sz w:val="12"/>
          <w:szCs w:val="12"/>
          <w:color w:val="auto"/>
        </w:rPr>
      </w:pPr>
    </w:p>
    <w:p>
      <w:pPr>
        <w:ind w:left="880" w:right="220" w:hanging="432"/>
        <w:spacing w:after="0" w:line="228" w:lineRule="auto"/>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in the event of a reorganization event under the terms of which holders of our common stock will receive a cash payment for each share surrendered in the reorganization event upon its consummation (the “acquisition price”), make or provide for a cash payment equal to the excess, if any, of (A) the acquisition price times the number of shares of our common stock subject to the participant’s stock options (to the extent the exercise price does not exceed the acquisition price) over (B) the aggregate exercise price of all such outstanding stock options and any applicable tax withholdings, in exchange for the termination of such stock options;</w:t>
      </w:r>
    </w:p>
    <w:p>
      <w:pPr>
        <w:spacing w:after="0" w:line="24" w:lineRule="exact"/>
        <w:rPr>
          <w:rFonts w:ascii="MS PGothic" w:cs="MS PGothic" w:eastAsia="MS PGothic" w:hAnsi="MS PGothic"/>
          <w:sz w:val="12"/>
          <w:szCs w:val="12"/>
          <w:color w:val="auto"/>
        </w:rPr>
      </w:pPr>
    </w:p>
    <w:p>
      <w:pPr>
        <w:ind w:left="880" w:hanging="432"/>
        <w:spacing w:after="0"/>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provide that, in connection with our liquidation or dissolution, stock options will convert into the right to receive liquidation proceeds; 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7"/>
        </w:numPr>
        <w:rPr>
          <w:rFonts w:ascii="MS PGothic" w:cs="MS PGothic" w:eastAsia="MS PGothic" w:hAnsi="MS PGothic"/>
          <w:sz w:val="12"/>
          <w:szCs w:val="12"/>
          <w:color w:val="auto"/>
        </w:rPr>
      </w:pPr>
      <w:r>
        <w:rPr>
          <w:rFonts w:ascii="Arial" w:cs="Arial" w:eastAsia="Arial" w:hAnsi="Arial"/>
          <w:sz w:val="17"/>
          <w:szCs w:val="17"/>
          <w:color w:val="auto"/>
        </w:rPr>
        <w:t>any combination of the foregoing.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plan administrator is not obligated to treat all stock options or all stock options held by a participant.</w:t>
      </w:r>
    </w:p>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Under the 2017 Plan, a “reorganization event” is generally defined as: (1) our merger or consolidation with or into another entity, resulting in all of our common stock being (i) converted into or exchanged for the right to receive cash, securities or other property or (ii) cancelled; (2) any exchange of all of our common stock for cash, securities or other property pursuant to a share exchange transaction; or (3) our liquidation or dissolution.</w:t>
      </w:r>
    </w:p>
    <w:p>
      <w:pPr>
        <w:spacing w:after="0" w:line="103"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The plan administrator has the authority to amend, suspend or terminate the 2017 Plan or any portion of it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 that any such amendment does not materially and adversely affect the rights of participants under the 2017 Plan and (ii) that if at any time the approval of our stockholders is required as to any modification or amendment under Section 422 of the Code with respect to ISOs, our plan administrator may not effect such modification or amendment without such approval. Unless terminated sooner, the 2017 Plan will automatically terminate on February 5, 2027. No stock awards may be granted under the 2017 Plan after it is terminated.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86"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We expect that our board of directors will adopt and our stockholders will approve prior to the closing of this offering our 2020 Employee Stock Purchase Plan, or ESPP. The ESPP will become effective immediately upon the execution of the underwriting agreement for this offering. The purpose of the ESPP is to secure the services of new employees, to retain the services of existing employees and to provide incentives for such individuals to exert maximum efforts toward our success. The ESPP is intended to qualify as an “employee stock purchase plan” within the meaning of Section 423 of the Code.</w:t>
      </w:r>
    </w:p>
    <w:p>
      <w:pPr>
        <w:spacing w:after="0" w:line="108"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i w:val="1"/>
          <w:iCs w:val="1"/>
          <w:color w:val="auto"/>
        </w:rPr>
        <w:t>Share Reserve</w:t>
      </w:r>
      <w:r>
        <w:rPr>
          <w:rFonts w:ascii="Arial" w:cs="Arial" w:eastAsia="Arial" w:hAnsi="Arial"/>
          <w:sz w:val="15"/>
          <w:szCs w:val="15"/>
          <w:color w:val="auto"/>
        </w:rPr>
        <w:t>. Following this offering, the ESPP will authorize the issuance of shares of our common stock pursuant to purchase rights granted to our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or to employees of any of our designated affiliates. The 2020 ESPP will initially provide participating employees with the opportunity to</w:t>
      </w:r>
    </w:p>
    <w:p>
      <w:pPr>
        <w:spacing w:after="0" w:line="1"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color w:val="auto"/>
        </w:rPr>
        <w:t>purchase up to an aggregate of shares of our common stock. The number of shares of our common stock reserved for issuance will automatically increase on January 1 of each calendar year, from January 1, 2021 through January 1, 2030, by the lesser of (i) % of the total number of shares of our common stock outstanding on December 31 of the preceding calendar year, and (ii) shares; provided, that prior to the date of any</w:t>
      </w:r>
    </w:p>
    <w:p>
      <w:pPr>
        <w:spacing w:after="0" w:line="1"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such increase, our board of directors may determine that such increase will be less than the amount set forth in clauses (i) and (ii). If purchase rights granted under the ESPP</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00"/>
          </w:cols>
          <w:pgMar w:left="320" w:top="448" w:right="37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terminate without having been exercised, the shares of our common stock not purchased under such purchase rights will again become available for issuance under the ESPP.</w:t>
      </w:r>
    </w:p>
    <w:p>
      <w:pPr>
        <w:spacing w:after="0" w:line="125"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intends to delegate concurrent authority to administer the ESPP to our compensation committee. The ESPP is</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26"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 participate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(i) 85% of the fair market value of a share of our common stock on the first trading date of an offering or (ii) 85% of the fair market value of a share of our common stock on the date of purchase.</w:t>
      </w:r>
    </w:p>
    <w:p>
      <w:pPr>
        <w:spacing w:after="0" w:line="126"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2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our capital structure through such actions as a stock split, merger, consolidation,</w:t>
      </w:r>
      <w:r>
        <w:rPr>
          <w:rFonts w:ascii="Arial" w:cs="Arial" w:eastAsia="Arial" w:hAnsi="Arial"/>
          <w:sz w:val="17"/>
          <w:szCs w:val="17"/>
          <w:i w:val="1"/>
          <w:iCs w:val="1"/>
          <w:color w:val="auto"/>
        </w:rPr>
        <w:t xml:space="preserve"> </w:t>
      </w:r>
      <w:r>
        <w:rPr>
          <w:rFonts w:ascii="Arial" w:cs="Arial" w:eastAsia="Arial" w:hAnsi="Arial"/>
          <w:sz w:val="17"/>
          <w:szCs w:val="17"/>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applicable to all outstanding offerings and purchase rights and (iv) the number of shares that are subject to purchase limits under ongoing offerings.</w:t>
      </w:r>
    </w:p>
    <w:p>
      <w:pPr>
        <w:spacing w:after="0" w:line="124" w:lineRule="exact"/>
        <w:rPr>
          <w:sz w:val="20"/>
          <w:szCs w:val="20"/>
          <w:color w:val="auto"/>
        </w:rPr>
      </w:pPr>
    </w:p>
    <w:p>
      <w:pPr>
        <w:spacing w:after="0" w:line="229"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(i) a sale of all or substantially all of our assets, (ii)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more than 50% of our outstanding securities, (iii) the consummation of a merger or consolidation where we do not survive the transactions and (iv)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27" w:lineRule="exact"/>
        <w:rPr>
          <w:sz w:val="20"/>
          <w:szCs w:val="20"/>
          <w:color w:val="auto"/>
        </w:rPr>
      </w:pPr>
    </w:p>
    <w:p>
      <w:pPr>
        <w:ind w:right="380"/>
        <w:spacing w:after="0" w:line="237" w:lineRule="auto"/>
        <w:rPr>
          <w:sz w:val="20"/>
          <w:szCs w:val="20"/>
          <w:color w:val="auto"/>
        </w:rPr>
      </w:pPr>
      <w:r>
        <w:rPr>
          <w:rFonts w:ascii="Arial" w:cs="Arial" w:eastAsia="Arial" w:hAnsi="Arial"/>
          <w:sz w:val="17"/>
          <w:szCs w:val="17"/>
          <w:i w:val="1"/>
          <w:iCs w:val="1"/>
          <w:color w:val="auto"/>
        </w:rPr>
        <w:t>Amendments or Termination</w:t>
      </w:r>
      <w:r>
        <w:rPr>
          <w:rFonts w:ascii="Arial" w:cs="Arial" w:eastAsia="Arial" w:hAnsi="Arial"/>
          <w:sz w:val="17"/>
          <w:szCs w:val="17"/>
          <w:color w:val="auto"/>
        </w:rPr>
        <w:t>. Our board of directors has the authority to amend or terminate our ESPP, provided that except in certain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amendment or termination may not materially impair any outstanding purchase rights without the holder’s consent. We will obtain stockholder approval of any amendment to our ESPP, as required by applicable law or listing requirements.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20"/>
          </w:cols>
          <w:pgMar w:left="320" w:top="448" w:right="3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9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maintain a 401(k) plan intended to qualify as a tax-qualified plan under Section 401 of the Code, with the 401(k) plan’s related trust intended to be tax exempt under Section 501(a) of the Code. The 401(k) plan provides that each participant may contribute up to the lesser of 100% of his or her compensation or the statutory limit, which is $19,000 for calendar year 2019. We have the ability to make discretionary contributions to the 401(k) plan but have not done so to date. Employees’ pre-tax contributions are allocated to each participant’s individual account and are then invested in selected investment alternatives according to the participant’s directions. Employees are immediately and fully vested in their contributions. As a tax-qualified retirement plan, contributions to the 401(k) plan and earnings on those contributions are not taxable to the employees until distributed from the 401(k) plan.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8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is also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82"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2" w:lineRule="exact"/>
        <w:rPr>
          <w:sz w:val="20"/>
          <w:szCs w:val="20"/>
          <w:color w:val="auto"/>
        </w:rPr>
      </w:pPr>
    </w:p>
    <w:p>
      <w:pPr>
        <w:ind w:left="880" w:hanging="432"/>
        <w:spacing w:after="0"/>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any breach of the director’s duty of loyalty to the corporation or its stockholders;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6" w:lineRule="exact"/>
        <w:rPr>
          <w:rFonts w:ascii="MS PGothic" w:cs="MS PGothic" w:eastAsia="MS PGothic" w:hAnsi="MS PGothic"/>
          <w:sz w:val="12"/>
          <w:szCs w:val="12"/>
          <w:color w:val="auto"/>
        </w:rPr>
      </w:pPr>
    </w:p>
    <w:p>
      <w:pPr>
        <w:ind w:left="880" w:right="860" w:hanging="432"/>
        <w:spacing w:after="0" w:line="233" w:lineRule="auto"/>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98"/>
        </w:numPr>
        <w:rPr>
          <w:rFonts w:ascii="MS PGothic" w:cs="MS PGothic" w:eastAsia="MS PGothic" w:hAnsi="MS PGothic"/>
          <w:sz w:val="12"/>
          <w:szCs w:val="12"/>
          <w:color w:val="auto"/>
        </w:rPr>
      </w:pPr>
      <w:r>
        <w:rPr>
          <w:rFonts w:ascii="Arial" w:cs="Arial" w:eastAsia="Arial" w:hAnsi="Arial"/>
          <w:sz w:val="17"/>
          <w:szCs w:val="17"/>
          <w:color w:val="auto"/>
        </w:rPr>
        <w:t>any transaction from which the director derived an improper personal benefit.</w:t>
      </w:r>
    </w:p>
    <w:p>
      <w:pPr>
        <w:spacing w:after="0" w:line="144"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These limitations of liability do not apply to liabilities arising under federal securities laws and do not affect the availability of equitable remedies, such as injunctive relief or rescission.</w:t>
      </w:r>
    </w:p>
    <w:p>
      <w:pPr>
        <w:spacing w:after="0" w:line="143"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We plan to enter into separate indemnification agreements with our directors and officers in connection with this offering and in addition to the indemnification provided for in our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143"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limitation of liability and indemnification provisions that will be contained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40"/>
          </w:cols>
          <w:pgMar w:left="320" w:top="448" w:right="3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80"/>
          </w:cols>
          <w:pgMar w:left="320" w:top="448" w:right="39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330"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Other than compensation arrangements, we describe below transactions and series of similar transactions, since January 1, 2017, to which we were a party or will be a party, in which:</w:t>
      </w:r>
    </w:p>
    <w:p>
      <w:pPr>
        <w:spacing w:after="0" w:line="182" w:lineRule="exact"/>
        <w:rPr>
          <w:sz w:val="20"/>
          <w:szCs w:val="20"/>
          <w:color w:val="auto"/>
        </w:rPr>
      </w:pPr>
    </w:p>
    <w:p>
      <w:pPr>
        <w:ind w:left="880" w:hanging="432"/>
        <w:spacing w:after="0" w:line="233" w:lineRule="auto"/>
        <w:tabs>
          <w:tab w:leader="none" w:pos="880" w:val="left"/>
        </w:tabs>
        <w:numPr>
          <w:ilvl w:val="0"/>
          <w:numId w:val="99"/>
        </w:numPr>
        <w:rPr>
          <w:rFonts w:ascii="MS PGothic" w:cs="MS PGothic" w:eastAsia="MS PGothic" w:hAnsi="MS PGothic"/>
          <w:sz w:val="12"/>
          <w:szCs w:val="12"/>
          <w:color w:val="auto"/>
        </w:rPr>
      </w:pPr>
      <w:r>
        <w:rPr>
          <w:rFonts w:ascii="Arial" w:cs="Arial" w:eastAsia="Arial" w:hAnsi="Arial"/>
          <w:sz w:val="17"/>
          <w:szCs w:val="17"/>
          <w:color w:val="auto"/>
        </w:rPr>
        <w:t>the amount involved exceeded or will exceed the lesser of $120,000 and one percent of the average of our total assets at year-end for the last two completed fiscal years; and</w:t>
      </w:r>
    </w:p>
    <w:p>
      <w:pPr>
        <w:spacing w:after="0" w:line="25" w:lineRule="exact"/>
        <w:rPr>
          <w:rFonts w:ascii="MS PGothic" w:cs="MS PGothic" w:eastAsia="MS PGothic" w:hAnsi="MS PGothic"/>
          <w:sz w:val="12"/>
          <w:szCs w:val="12"/>
          <w:color w:val="auto"/>
        </w:rPr>
      </w:pPr>
    </w:p>
    <w:p>
      <w:pPr>
        <w:ind w:left="880" w:right="20" w:hanging="432"/>
        <w:spacing w:after="0" w:line="230" w:lineRule="auto"/>
        <w:tabs>
          <w:tab w:leader="none" w:pos="880" w:val="left"/>
        </w:tabs>
        <w:numPr>
          <w:ilvl w:val="0"/>
          <w:numId w:val="99"/>
        </w:numPr>
        <w:rPr>
          <w:rFonts w:ascii="MS PGothic" w:cs="MS PGothic" w:eastAsia="MS PGothic" w:hAnsi="MS PGothic"/>
          <w:sz w:val="12"/>
          <w:szCs w:val="12"/>
          <w:color w:val="auto"/>
        </w:rPr>
      </w:pPr>
      <w:r>
        <w:rPr>
          <w:rFonts w:ascii="Arial" w:cs="Arial" w:eastAsia="Arial" w:hAnsi="Arial"/>
          <w:sz w:val="17"/>
          <w:szCs w:val="17"/>
          <w:color w:val="auto"/>
        </w:rPr>
        <w:t>any of our directors, executive officers or holders of more than 5% of any class of our capital stock at the time of such transaction, or any member of the immediate family of the foregoing persons, which we refer to as our related parties, had or will have a direct or indirect material interest.</w:t>
      </w:r>
    </w:p>
    <w:p>
      <w:pPr>
        <w:spacing w:after="0" w:line="143" w:lineRule="exact"/>
        <w:rPr>
          <w:sz w:val="20"/>
          <w:szCs w:val="20"/>
          <w:color w:val="auto"/>
        </w:rPr>
      </w:pPr>
    </w:p>
    <w:p>
      <w:pPr>
        <w:jc w:val="both"/>
        <w:ind w:right="340"/>
        <w:spacing w:after="0" w:line="230"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benefits. For a description of these agreements and arrangements, see the sections titled “Management” and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Massachusetts General Hospital Exclusive Patent License Agreement</w:t>
      </w:r>
    </w:p>
    <w:p>
      <w:pPr>
        <w:spacing w:after="0" w:line="96"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April 2016, we entered into an exclusive patent license agreement with The General Hospital Corporation, or MGH, as subsequently amended in May 2017 and February 2018, or the MGH Agreement, pursuant to which we obtained an exclusive, worldwide license of certain intellectual property owned by MGH. MGH is an affiliate of Partners Innovation Fund, LLC, a 5% holder of our capital stock. For a more detailed description of the MGH Agreement, see “Business—Collaborations and License Agreements—2016 Exclusive Patent License Agreement with The General Hospital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Placements of Securities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Stock Financing</w:t>
      </w:r>
    </w:p>
    <w:p>
      <w:pPr>
        <w:spacing w:after="0" w:line="46"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In April 2016, April 2017 and November 2017, we sold an aggregate of 10,000,000 shares of our Series A preferred stock in multiple closings at a purchase price of $1.00 per share for an aggregate amount of $10.0 million. The following table summarizes purchases of our Series A preferred stock by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RELATED PARTY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Entities affiliated with Pontifax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244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 xml:space="preserve">Arkin Bio Ventures Limited Partnership </w:t>
      </w: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Entities affiliated with Partners Innovation Fund </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6765" cy="1162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765" cy="1162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142875</wp:posOffset>
            </wp:positionV>
            <wp:extent cx="71367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auto"/>
              </w:rPr>
              <w:t>TOTAL</w:t>
            </w:r>
          </w:p>
        </w:tc>
      </w:tr>
      <w:tr>
        <w:trPr>
          <w:trHeight w:val="157"/>
        </w:trPr>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PURCHASE</w:t>
            </w:r>
          </w:p>
        </w:tc>
      </w:tr>
      <w:tr>
        <w:trPr>
          <w:trHeight w:val="168"/>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r>
      <w:tr>
        <w:trPr>
          <w:trHeight w:val="170"/>
        </w:trPr>
        <w:tc>
          <w:tcPr>
            <w:tcW w:w="1020" w:type="dxa"/>
            <w:vAlign w:val="bottom"/>
            <w:tcBorders>
              <w:top w:val="single" w:sz="8" w:color="auto"/>
            </w:tcBorders>
          </w:tcPr>
          <w:p>
            <w:pPr>
              <w:ind w:left="280"/>
              <w:spacing w:after="0" w:line="170" w:lineRule="exact"/>
              <w:rPr>
                <w:sz w:val="20"/>
                <w:szCs w:val="20"/>
                <w:color w:val="auto"/>
              </w:rPr>
            </w:pPr>
            <w:r>
              <w:rPr>
                <w:rFonts w:ascii="Arial" w:cs="Arial" w:eastAsia="Arial" w:hAnsi="Arial"/>
                <w:sz w:val="17"/>
                <w:szCs w:val="17"/>
                <w:color w:val="auto"/>
                <w:w w:val="95"/>
              </w:rPr>
              <w:t>6,000,000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ind w:left="180"/>
              <w:spacing w:after="0" w:line="170" w:lineRule="exact"/>
              <w:rPr>
                <w:sz w:val="20"/>
                <w:szCs w:val="20"/>
                <w:color w:val="auto"/>
              </w:rPr>
            </w:pPr>
            <w:r>
              <w:rPr>
                <w:rFonts w:ascii="Arial" w:cs="Arial" w:eastAsia="Arial" w:hAnsi="Arial"/>
                <w:sz w:val="17"/>
                <w:szCs w:val="17"/>
                <w:color w:val="auto"/>
                <w:w w:val="95"/>
              </w:rPr>
              <w:t>6,000,000</w:t>
            </w:r>
          </w:p>
        </w:tc>
        <w:tc>
          <w:tcPr>
            <w:tcW w:w="20" w:type="dxa"/>
            <w:vAlign w:val="bottom"/>
          </w:tcPr>
          <w:p>
            <w:pPr>
              <w:spacing w:after="0"/>
              <w:rPr>
                <w:sz w:val="14"/>
                <w:szCs w:val="14"/>
                <w:color w:val="auto"/>
              </w:rPr>
            </w:pPr>
          </w:p>
        </w:tc>
      </w:tr>
      <w:tr>
        <w:trPr>
          <w:trHeight w:val="183"/>
        </w:trPr>
        <w:tc>
          <w:tcPr>
            <w:tcW w:w="1160" w:type="dxa"/>
            <w:vAlign w:val="bottom"/>
            <w:gridSpan w:val="2"/>
          </w:tcPr>
          <w:p>
            <w:pPr>
              <w:ind w:left="280"/>
              <w:spacing w:after="0" w:line="183" w:lineRule="exact"/>
              <w:rPr>
                <w:sz w:val="20"/>
                <w:szCs w:val="20"/>
                <w:color w:val="auto"/>
              </w:rPr>
            </w:pPr>
            <w:r>
              <w:rPr>
                <w:rFonts w:ascii="Arial" w:cs="Arial" w:eastAsia="Arial" w:hAnsi="Arial"/>
                <w:sz w:val="17"/>
                <w:szCs w:val="17"/>
                <w:color w:val="auto"/>
              </w:rPr>
              <w:t>3,000,000</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gridSpan w:val="2"/>
          </w:tcPr>
          <w:p>
            <w:pPr>
              <w:ind w:left="180"/>
              <w:spacing w:after="0" w:line="183" w:lineRule="exact"/>
              <w:rPr>
                <w:sz w:val="20"/>
                <w:szCs w:val="20"/>
                <w:color w:val="auto"/>
              </w:rPr>
            </w:pPr>
            <w:r>
              <w:rPr>
                <w:rFonts w:ascii="Arial" w:cs="Arial" w:eastAsia="Arial" w:hAnsi="Arial"/>
                <w:sz w:val="17"/>
                <w:szCs w:val="17"/>
                <w:color w:val="auto"/>
                <w:w w:val="97"/>
              </w:rPr>
              <w:t>3,000,000</w:t>
            </w:r>
          </w:p>
        </w:tc>
      </w:tr>
      <w:tr>
        <w:trPr>
          <w:trHeight w:val="198"/>
        </w:trPr>
        <w:tc>
          <w:tcPr>
            <w:tcW w:w="1160" w:type="dxa"/>
            <w:vAlign w:val="bottom"/>
            <w:gridSpan w:val="2"/>
          </w:tcPr>
          <w:p>
            <w:pPr>
              <w:ind w:left="280"/>
              <w:spacing w:after="0"/>
              <w:rPr>
                <w:sz w:val="20"/>
                <w:szCs w:val="20"/>
                <w:color w:val="auto"/>
              </w:rPr>
            </w:pPr>
            <w:r>
              <w:rPr>
                <w:rFonts w:ascii="Arial" w:cs="Arial" w:eastAsia="Arial" w:hAnsi="Arial"/>
                <w:sz w:val="17"/>
                <w:szCs w:val="17"/>
                <w:color w:val="auto"/>
              </w:rPr>
              <w:t>1,000,000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180"/>
              <w:spacing w:after="0"/>
              <w:rPr>
                <w:sz w:val="20"/>
                <w:szCs w:val="20"/>
                <w:color w:val="auto"/>
              </w:rPr>
            </w:pPr>
            <w:r>
              <w:rPr>
                <w:rFonts w:ascii="Arial" w:cs="Arial" w:eastAsia="Arial" w:hAnsi="Arial"/>
                <w:sz w:val="17"/>
                <w:szCs w:val="17"/>
                <w:color w:val="auto"/>
                <w:w w:val="97"/>
              </w:rPr>
              <w:t>1,000,000</w:t>
            </w:r>
          </w:p>
        </w:tc>
      </w:tr>
    </w:tbl>
    <w:p>
      <w:pPr>
        <w:spacing w:after="0" w:line="200" w:lineRule="exact"/>
        <w:rPr>
          <w:sz w:val="20"/>
          <w:szCs w:val="20"/>
          <w:color w:val="auto"/>
        </w:rPr>
      </w:pPr>
    </w:p>
    <w:p>
      <w:pPr>
        <w:sectPr>
          <w:pgSz w:w="11900" w:h="16838" w:orient="portrait"/>
          <w:cols w:equalWidth="0" w:num="2">
            <w:col w:w="8140" w:space="720"/>
            <w:col w:w="2380"/>
          </w:cols>
          <w:pgMar w:left="320" w:top="448" w:right="339" w:bottom="1440" w:gutter="0" w:footer="0" w:header="0"/>
          <w:type w:val="continuous"/>
        </w:sectPr>
      </w:pPr>
    </w:p>
    <w:p>
      <w:pPr>
        <w:spacing w:after="0" w:line="57" w:lineRule="exact"/>
        <w:rPr>
          <w:sz w:val="20"/>
          <w:szCs w:val="20"/>
          <w:color w:val="auto"/>
        </w:rPr>
      </w:pPr>
    </w:p>
    <w:p>
      <w:pPr>
        <w:ind w:left="440" w:right="120" w:hanging="292"/>
        <w:spacing w:after="0" w:line="208" w:lineRule="auto"/>
        <w:tabs>
          <w:tab w:leader="none" w:pos="4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Represents (i) 2,959,296 shares of Series A preferred stock purchased by Pontifax (Israel) IV, L.P., or Pontifax Israel, (ii) 1,440,702 shares of Series A preferred stock purchased by Pontifax (Cayman) IV, L.P., or Pontifax Cayman, and (iii) 1,600,002 shares of Series A preferred stock purchased by Pontifax (China) IV, L.P., or Pontifax China. Pontifax Israel, Pontifax Cayman and Pontifax China are collectively referred to as the Pontifax IV Funds. Tomer Kariv and Ran Nussbaum, both members of our board of directors, are the Managing Partners of Pontifax Management 4 G.P. (2015) Ltd., or Pontifax Management, the general partner of each of the Pontifax IV Funds, and, as a result, may be deemed to share voting and investment power with respect to the shares held by each of the Pontifax IV Funds. The Pontifax Entities (as defined below) collectively hold more than 5% of our capital stock prior to this offering.</w:t>
      </w:r>
    </w:p>
    <w:p>
      <w:pPr>
        <w:spacing w:after="0" w:line="3" w:lineRule="exact"/>
        <w:rPr>
          <w:rFonts w:ascii="Arial" w:cs="Arial" w:eastAsia="Arial" w:hAnsi="Arial"/>
          <w:sz w:val="24"/>
          <w:szCs w:val="24"/>
          <w:color w:val="auto"/>
          <w:vertAlign w:val="superscript"/>
        </w:rPr>
      </w:pPr>
    </w:p>
    <w:p>
      <w:pPr>
        <w:ind w:left="440" w:right="100" w:hanging="292"/>
        <w:spacing w:after="0" w:line="188" w:lineRule="auto"/>
        <w:tabs>
          <w:tab w:leader="none" w:pos="4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Alon Lazarus, Ph.D., a member of our board of directors, is the Biotech Investment Manager of Arkin Holdings Ltd., or Arkin Holdings, the ultimate general partner of Arkin Bio Ventures Limited Partnership, and, as a result, may be deemed to share voting and investment power with respect to the shares held by Arkin Bio Ventures Limited Partnership. Arkin Bio Ventures Limited Partnership is a holder of more than 5% our capital stock prior to this offering.</w:t>
      </w:r>
    </w:p>
    <w:p>
      <w:pPr>
        <w:spacing w:after="0" w:line="1" w:lineRule="exact"/>
        <w:rPr>
          <w:rFonts w:ascii="Arial" w:cs="Arial" w:eastAsia="Arial" w:hAnsi="Arial"/>
          <w:sz w:val="24"/>
          <w:szCs w:val="24"/>
          <w:color w:val="auto"/>
          <w:vertAlign w:val="superscript"/>
        </w:rPr>
      </w:pPr>
    </w:p>
    <w:p>
      <w:pPr>
        <w:ind w:left="440" w:right="40" w:hanging="292"/>
        <w:spacing w:after="0" w:line="207" w:lineRule="auto"/>
        <w:tabs>
          <w:tab w:leader="none" w:pos="4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Represents (i) 600,000 shares of Series A preferred stock purchased by Partners Innovation Fund, LLC, or PIF I, and (ii) 400,000 shares of Series A preferred stock purchased by Partners Innovation Fund II, L.P., or PIF II. PIF I and PIF II are collectively referred to as the Partners Entities. Julius Knowles, a member of our board of directors, is a partner of each of Partners Innovation Fund, LLC, or Partners GP I, the ultimate general partner of PIF I, and Partners Innovation Fund II, LLC, or Partners GP II, the ultimate general partner of PIF II, and, as a result, may be deemed to share voting and investment power with respect to the shares held by each of the Partners Entities. The Partners Entities collectively hold more than 5% of our capital stock prior to this offering.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40"/>
          </w:cols>
          <w:pgMar w:left="320" w:top="448" w:right="339" w:bottom="1440" w:gutter="0" w:footer="0" w:header="0"/>
          <w:type w:val="continuous"/>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B-1 and Series B-2 Preferred Stock Financing</w:t>
      </w:r>
    </w:p>
    <w:p>
      <w:pPr>
        <w:spacing w:after="0" w:line="46" w:lineRule="exact"/>
        <w:rPr>
          <w:sz w:val="20"/>
          <w:szCs w:val="20"/>
          <w:color w:val="auto"/>
        </w:rPr>
      </w:pPr>
    </w:p>
    <w:p>
      <w:pPr>
        <w:ind w:right="620"/>
        <w:spacing w:after="0" w:line="289" w:lineRule="auto"/>
        <w:rPr>
          <w:sz w:val="20"/>
          <w:szCs w:val="20"/>
          <w:color w:val="auto"/>
        </w:rPr>
      </w:pPr>
      <w:r>
        <w:rPr>
          <w:rFonts w:ascii="Arial" w:cs="Arial" w:eastAsia="Arial" w:hAnsi="Arial"/>
          <w:sz w:val="15"/>
          <w:szCs w:val="15"/>
          <w:color w:val="auto"/>
        </w:rPr>
        <w:t>In November 2018, we sold an aggregate of 3,427,004 shares of our Series B-1 preferred stock at a purchase price of $3.3557 per share for an aggregate amount of approximately $11.5 million. The following table summarizes purchases of our Series B-1 preferred stock by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1367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00"/>
          </w:cols>
          <w:pgMar w:left="320" w:top="4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RELATED PARTY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Entities affiliated with Pontifax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244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 xml:space="preserve">Arkin Bio Ventures Limited Partnership </w:t>
      </w:r>
      <w:r>
        <w:rPr>
          <w:rFonts w:ascii="Arial" w:cs="Arial" w:eastAsia="Arial" w:hAnsi="Arial"/>
          <w:sz w:val="14"/>
          <w:szCs w:val="14"/>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Entities affiliated with Partners Innovation Fund </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6765" cy="1162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765" cy="1162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142875</wp:posOffset>
            </wp:positionV>
            <wp:extent cx="71367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2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SERIES B-1</w:t>
            </w:r>
          </w:p>
        </w:tc>
        <w:tc>
          <w:tcPr>
            <w:tcW w:w="140" w:type="dxa"/>
            <w:vAlign w:val="bottom"/>
          </w:tcPr>
          <w:p>
            <w:pPr>
              <w:spacing w:after="0"/>
              <w:rPr>
                <w:sz w:val="13"/>
                <w:szCs w:val="13"/>
                <w:color w:val="auto"/>
              </w:rPr>
            </w:pPr>
          </w:p>
        </w:tc>
        <w:tc>
          <w:tcPr>
            <w:tcW w:w="8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4"/>
              </w:rPr>
              <w:t>TOTAL</w:t>
            </w:r>
          </w:p>
        </w:tc>
      </w:tr>
      <w:tr>
        <w:trPr>
          <w:trHeight w:val="157"/>
        </w:trPr>
        <w:tc>
          <w:tcPr>
            <w:tcW w:w="12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9"/>
              </w:rPr>
              <w:t>PREFERRED</w:t>
            </w:r>
          </w:p>
        </w:tc>
        <w:tc>
          <w:tcPr>
            <w:tcW w:w="94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9"/>
              </w:rPr>
              <w:t>PURCHASE</w:t>
            </w:r>
          </w:p>
        </w:tc>
      </w:tr>
      <w:tr>
        <w:trPr>
          <w:trHeight w:val="168"/>
        </w:trPr>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r>
      <w:tr>
        <w:trPr>
          <w:trHeight w:val="170"/>
        </w:trPr>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894,001</w:t>
            </w:r>
          </w:p>
        </w:tc>
        <w:tc>
          <w:tcPr>
            <w:tcW w:w="380" w:type="dxa"/>
            <w:vAlign w:val="bottom"/>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3,000,000</w:t>
            </w:r>
          </w:p>
        </w:tc>
        <w:tc>
          <w:tcPr>
            <w:tcW w:w="20" w:type="dxa"/>
            <w:vAlign w:val="bottom"/>
          </w:tcPr>
          <w:p>
            <w:pPr>
              <w:spacing w:after="0"/>
              <w:rPr>
                <w:sz w:val="14"/>
                <w:szCs w:val="14"/>
                <w:color w:val="auto"/>
              </w:rPr>
            </w:pPr>
          </w:p>
        </w:tc>
      </w:tr>
      <w:tr>
        <w:trPr>
          <w:trHeight w:val="183"/>
        </w:trPr>
        <w:tc>
          <w:tcPr>
            <w:tcW w:w="128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745,001</w:t>
            </w:r>
          </w:p>
        </w:tc>
        <w:tc>
          <w:tcPr>
            <w:tcW w:w="14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2,500,000</w:t>
            </w:r>
          </w:p>
        </w:tc>
      </w:tr>
      <w:tr>
        <w:trPr>
          <w:trHeight w:val="198"/>
        </w:trPr>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745,001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2,500,000</w:t>
            </w:r>
          </w:p>
        </w:tc>
      </w:tr>
    </w:tbl>
    <w:p>
      <w:pPr>
        <w:spacing w:after="0" w:line="200" w:lineRule="exact"/>
        <w:rPr>
          <w:sz w:val="20"/>
          <w:szCs w:val="20"/>
          <w:color w:val="auto"/>
        </w:rPr>
      </w:pPr>
    </w:p>
    <w:p>
      <w:pPr>
        <w:sectPr>
          <w:pgSz w:w="11900" w:h="16838" w:orient="portrait"/>
          <w:cols w:equalWidth="0" w:num="2">
            <w:col w:w="8260" w:space="720"/>
            <w:col w:w="2220"/>
          </w:cols>
          <w:pgMar w:left="320" w:top="448" w:right="379" w:bottom="1440" w:gutter="0" w:footer="0" w:header="0"/>
          <w:type w:val="continuous"/>
        </w:sectPr>
      </w:pPr>
    </w:p>
    <w:p>
      <w:pPr>
        <w:spacing w:after="0" w:line="44" w:lineRule="exact"/>
        <w:rPr>
          <w:sz w:val="20"/>
          <w:szCs w:val="20"/>
          <w:color w:val="auto"/>
        </w:rPr>
      </w:pPr>
    </w:p>
    <w:p>
      <w:pPr>
        <w:ind w:left="440" w:hanging="292"/>
        <w:spacing w:after="0" w:line="216" w:lineRule="auto"/>
        <w:tabs>
          <w:tab w:leader="none" w:pos="44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Represents (i) 367,447 shares of Series B-1 preferred stock purchased by Pontifax Israel, (ii) 178,887 shares of Series B-1 preferred stock purchased by Pontifax Cayman, (iii) 198,667 shares of Series B-1 preferred stock purchased by Pontifax China and (iv) 149,000 shares of Series B-1 preferred stock purchased by Pontifax Late Stage Fund L.P., or Pontifax Late Stage. The Pontifax IV Funds and Pontifax Late Stage are collectively referred to as the Pontifax Entities. Tomer Kariv and Ran Nussbaum, both members of our board of directors, are the Managing Partners of Pontifax Management, the general partner of each of the Pontifax IV Funds, and, as a result, may be deemed to share voting and investment power with respect to the shares held by each of the Pontifax IV Funds. Pursuant to Strategic Alliance Agreement, dated August 9, 2018, between Pontifax Late Stage and the Pontifax IV Funds, Pontifax Late Stage invests side-by-side with the Pontifax IV Funds. By virtue of the strategic relationship, each of Pontifax Management, Mr. Kariv and Mr. Nussbaum may be deemed to share voting and dispositive power with respect to the shares held by Pontifax Late Stage in a manner similar to the voting and investment power with respect to the shares held by each of the Pontifax IV Funds. The Pontifax Entities collectively hold more than 5% of our capital stock prior to this offering.</w:t>
      </w:r>
    </w:p>
    <w:p>
      <w:pPr>
        <w:spacing w:after="0" w:line="2" w:lineRule="exact"/>
        <w:rPr>
          <w:rFonts w:ascii="Arial" w:cs="Arial" w:eastAsia="Arial" w:hAnsi="Arial"/>
          <w:sz w:val="24"/>
          <w:szCs w:val="24"/>
          <w:color w:val="auto"/>
          <w:vertAlign w:val="superscript"/>
        </w:rPr>
      </w:pPr>
    </w:p>
    <w:p>
      <w:pPr>
        <w:jc w:val="both"/>
        <w:ind w:left="440" w:right="400" w:hanging="292"/>
        <w:spacing w:after="0" w:line="188" w:lineRule="auto"/>
        <w:tabs>
          <w:tab w:leader="none" w:pos="44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Alon Lazarus, Ph.D., a member of our board of directors, is the Biotech Investment Manager of Arkin Holdings, the ultimate general partner of Arkin Bio Ventures Limited Partnership, and, as a result, may be deemed to share voting and investment power with respect to the shares held by Arkin Bio Ventures Limited Partnership. Arkin Bio Ventures Limited Partnership is a holder of more than 5% our capital stock prior to this offering.</w:t>
      </w:r>
    </w:p>
    <w:p>
      <w:pPr>
        <w:spacing w:after="0" w:line="1" w:lineRule="exact"/>
        <w:rPr>
          <w:rFonts w:ascii="Arial" w:cs="Arial" w:eastAsia="Arial" w:hAnsi="Arial"/>
          <w:sz w:val="24"/>
          <w:szCs w:val="24"/>
          <w:color w:val="auto"/>
          <w:vertAlign w:val="superscript"/>
        </w:rPr>
      </w:pPr>
    </w:p>
    <w:p>
      <w:pPr>
        <w:ind w:left="440" w:hanging="292"/>
        <w:spacing w:after="0" w:line="201" w:lineRule="auto"/>
        <w:tabs>
          <w:tab w:leader="none" w:pos="44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Represents (i) 447,001 shares of Series B-1 preferred stock purchased by PIF I and (ii) 298,000 shares of Series B-1 preferred stock purchased by PIF II. Julius Knowles, a member of our board of directors, is a partner of each of Partners GP I, the ultimate general partner of PIF I, and Partners GP II, the ultimate general partner of PIF II, and, as a result, may be deemed to share voting and investment power with respect to the shares held by each of the Partners Entities. The Partners Entities collectively hold more than 5% of our capital stock prior to this offering.</w:t>
      </w:r>
    </w:p>
    <w:p>
      <w:pPr>
        <w:spacing w:after="0" w:line="137"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In addition to our Series B-1 preferred stock financing described above, certain investors have committed to purchase shares of Series B-2 preferred stock in a separate closing. In the Series B-2 preferred stock financing, we may sell up to 3,062,891 shares of Series B-2 preferred stock at a purchase price of $3.7546 per share for an aggregate amount of approximately $11.5 million. The Series B-2 preferred stock financing will be funded upon the achievement of a specified clinical development milestone. The holders of the Series B-1 preferred stock may also elect to fund the Series B-2 preferred stock financing in their discretion in advance of us achieving the milestones.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HepatoChem, Inc.</w:t>
      </w:r>
    </w:p>
    <w:p>
      <w:pPr>
        <w:spacing w:after="0" w:line="96" w:lineRule="exact"/>
        <w:rPr>
          <w:sz w:val="20"/>
          <w:szCs w:val="20"/>
          <w:color w:val="auto"/>
        </w:rPr>
      </w:pPr>
    </w:p>
    <w:p>
      <w:pPr>
        <w:ind w:right="400"/>
        <w:spacing w:after="0" w:line="228" w:lineRule="auto"/>
        <w:rPr>
          <w:sz w:val="20"/>
          <w:szCs w:val="20"/>
          <w:color w:val="auto"/>
        </w:rPr>
      </w:pPr>
      <w:r>
        <w:rPr>
          <w:rFonts w:ascii="Arial" w:cs="Arial" w:eastAsia="Arial" w:hAnsi="Arial"/>
          <w:sz w:val="17"/>
          <w:szCs w:val="17"/>
          <w:color w:val="auto"/>
        </w:rPr>
        <w:t>We have, from time to time, purchased goods and services from HepatoChem, Inc., or HepatoChem, a contract research organization providing bioanalytical support and drug metabolite identification and characterization. Approximately 70% of the capital stock of HepatoChem is held by Marc Bazin, the husband of our Chief Scientific Officer, Jennifer Lachey, Ph.D. The aggregate amount of all goods and services we have purchased from HepatoChem since January 1, 2017 is approximately $170,000.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Voting and Stockholders Agreements</w:t>
      </w:r>
    </w:p>
    <w:p>
      <w:pPr>
        <w:spacing w:after="0" w:line="8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connection with our convertible preferred stock financings, we entered into investors’ rights, voting and stockholder agreements containing registration rights, information rights, voting rights and rights of first refusal, among other things, with certain holders of our convertible preferred stock and certain holders of our common stock including the Pontifax Entities, Arkin Bio Ventures Limited Partnership and the Partners Entities. These stockholder agreements will terminate upon the closing of this offering, except for the registration rights granted under our amended and restated investors’ rights agreement, as more fully described in the section of this prospectus titled “Description of Capital Stock—Registration Rights.”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00"/>
          </w:cols>
          <w:pgMar w:left="320" w:top="448" w:right="379" w:bottom="1440" w:gutter="0" w:footer="0" w:header="0"/>
          <w:type w:val="continuous"/>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96"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We have entered into employment agreements or offer letter agreements with certain of our executive officers. For more information regarding these agreements with our named executive officers, see “Executive Compensation—Agreements with our Named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We plan to enter into indemnification agreements with each of our directors and executive officers in connection with this offering.</w:t>
      </w:r>
    </w:p>
    <w:p>
      <w:pPr>
        <w:ind w:right="120"/>
        <w:spacing w:after="0" w:line="230" w:lineRule="auto"/>
        <w:rPr>
          <w:sz w:val="20"/>
          <w:szCs w:val="20"/>
          <w:color w:val="auto"/>
        </w:rPr>
      </w:pPr>
      <w:r>
        <w:rPr>
          <w:rFonts w:ascii="Arial" w:cs="Arial" w:eastAsia="Arial" w:hAnsi="Arial"/>
          <w:sz w:val="17"/>
          <w:szCs w:val="17"/>
          <w:color w:val="auto"/>
        </w:rPr>
        <w:t>The indemnification agreements and our amended and restated bylaws, each to be in effect upon the closing of this offering, require us to indemnify our directors and executive officers to the fullest extent permitted by Delaware law. For more information regarding these agreements, see “Executive Compensation—Limitations on Liability and Indemnification Matters.”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and Director Compensation</w:t>
      </w:r>
    </w:p>
    <w:p>
      <w:pPr>
        <w:spacing w:after="0" w:line="82"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We have granted stock options to certain of our executive officers and directors. See the section titled “Executive Compensation” for a description of these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Prior to this offering, we have not had a formal policy regarding approval of transactions with related parties. Prior to the closing of this offering, we expect to adopt a written related party transaction policy that sets forth our procedures for the identification, review, consideration and approval or ratification of related party transactions. The policy will become effective immediately upon the execution of the underwriting agreement for this offering. For purposes of our policy only, a related party transaction is a transaction, arrangement or relationship, or any series of similar transactions, arrangements or relationships, in which we and any related party are, were or will be participants and in which the amount involved exceeds the lesser of $120,000 and one percent of the average of our total assets at year-end for the last two completed fiscal years. Transactions involving compensation for services provided to us as an employee or director are not covered by this policy. A related party is any executive officer, director or beneficial owner of more than 5% of any class of our voting securities, including any of their immediate family members and any entity owned or controlled by such persons.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our management must present information regarding the related party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w:t>
      </w:r>
    </w:p>
    <w:p>
      <w:pPr>
        <w:spacing w:after="0" w:line="130" w:lineRule="exact"/>
        <w:rPr>
          <w:sz w:val="20"/>
          <w:szCs w:val="20"/>
          <w:color w:val="auto"/>
        </w:rPr>
      </w:pPr>
    </w:p>
    <w:p>
      <w:pPr>
        <w:ind w:right="560"/>
        <w:spacing w:after="0" w:line="233" w:lineRule="auto"/>
        <w:rPr>
          <w:sz w:val="20"/>
          <w:szCs w:val="20"/>
          <w:color w:val="auto"/>
        </w:rPr>
      </w:pPr>
      <w:r>
        <w:rPr>
          <w:rFonts w:ascii="Arial" w:cs="Arial" w:eastAsia="Arial" w:hAnsi="Arial"/>
          <w:sz w:val="17"/>
          <w:szCs w:val="17"/>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43"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In considering related party transactions, our audit committee, or other independent body of our board of directors, will take into account the relevant available facts and circumstances including, but not limited to:</w:t>
      </w:r>
    </w:p>
    <w:p>
      <w:pPr>
        <w:spacing w:after="0" w:line="182" w:lineRule="exact"/>
        <w:rPr>
          <w:sz w:val="20"/>
          <w:szCs w:val="20"/>
          <w:color w:val="auto"/>
        </w:rPr>
      </w:pPr>
    </w:p>
    <w:p>
      <w:pPr>
        <w:ind w:left="880" w:hanging="432"/>
        <w:spacing w:after="0"/>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the risks, costs and benefits to us;</w:t>
      </w:r>
    </w:p>
    <w:p>
      <w:pPr>
        <w:spacing w:after="0" w:line="26" w:lineRule="exact"/>
        <w:rPr>
          <w:rFonts w:ascii="MS PGothic" w:cs="MS PGothic" w:eastAsia="MS PGothic" w:hAnsi="MS PGothic"/>
          <w:sz w:val="12"/>
          <w:szCs w:val="12"/>
          <w:color w:val="auto"/>
        </w:rPr>
      </w:pPr>
    </w:p>
    <w:p>
      <w:pPr>
        <w:ind w:left="880" w:right="280" w:hanging="432"/>
        <w:spacing w:after="0" w:line="233" w:lineRule="auto"/>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the impact on a director’s independence in the event that the related party is a director, immediate family member of a director or an entity with which a director is affiliated;</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the availability of other sources for comparable services or products;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00"/>
          </w:cols>
          <w:pgMar w:left="320" w:top="448" w:right="3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policy requires that, in determining whether to approve, ratify or reject a related party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45"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All of the transactions described above were entered into prior to the adoption of the written policy, but all were approved by our board of directors considering similar factors to those described above.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00"/>
          </w:cols>
          <w:pgMar w:left="320" w:top="448" w:right="4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330"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The following table sets forth the beneficial ownership of our common stock as of December 31, 2019, as adjusted to reflect the sale of common stock offered by us in this offering, for:</w:t>
      </w:r>
    </w:p>
    <w:p>
      <w:pPr>
        <w:spacing w:after="0" w:line="182" w:lineRule="exact"/>
        <w:rPr>
          <w:sz w:val="20"/>
          <w:szCs w:val="20"/>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each of our named executive officers;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each of our directors;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all of our executive officers and directors as a group.</w:t>
      </w:r>
    </w:p>
    <w:p>
      <w:pPr>
        <w:spacing w:after="0" w:line="144" w:lineRule="exact"/>
        <w:rPr>
          <w:sz w:val="20"/>
          <w:szCs w:val="20"/>
          <w:color w:val="auto"/>
        </w:rPr>
      </w:pPr>
    </w:p>
    <w:p>
      <w:pPr>
        <w:jc w:val="both"/>
        <w:ind w:right="240"/>
        <w:spacing w:after="0" w:line="271" w:lineRule="auto"/>
        <w:rPr>
          <w:sz w:val="20"/>
          <w:szCs w:val="20"/>
          <w:color w:val="auto"/>
        </w:rPr>
      </w:pPr>
      <w:r>
        <w:rPr>
          <w:rFonts w:ascii="Arial" w:cs="Arial" w:eastAsia="Arial" w:hAnsi="Arial"/>
          <w:sz w:val="15"/>
          <w:szCs w:val="15"/>
          <w:color w:val="auto"/>
        </w:rPr>
        <w:t>The percentage ownership information shown in the table prior to this offering is based on 19,575,235 shares of common stock (which includes 75,000 shares of restricted common stock subject to repurchase) outstanding as of December 31, 2019, after giving effect to the automatic conversion of all of our outstanding shares of preferred stock into an aggregate of 14,227,004 shares of our common stock upon the closing of this offering.</w:t>
      </w:r>
    </w:p>
    <w:p>
      <w:pPr>
        <w:spacing w:after="0" w:line="121" w:lineRule="exact"/>
        <w:rPr>
          <w:sz w:val="20"/>
          <w:szCs w:val="20"/>
          <w:color w:val="auto"/>
        </w:rPr>
      </w:pPr>
    </w:p>
    <w:p>
      <w:pPr>
        <w:jc w:val="both"/>
        <w:ind w:right="1220"/>
        <w:spacing w:after="0" w:line="233" w:lineRule="auto"/>
        <w:rPr>
          <w:sz w:val="20"/>
          <w:szCs w:val="20"/>
          <w:color w:val="auto"/>
        </w:rPr>
      </w:pPr>
      <w:r>
        <w:rPr>
          <w:rFonts w:ascii="Arial" w:cs="Arial" w:eastAsia="Arial" w:hAnsi="Arial"/>
          <w:sz w:val="17"/>
          <w:szCs w:val="17"/>
          <w:color w:val="auto"/>
        </w:rPr>
        <w:t>The percentage ownership information shown in the table after this offering is based on shares outstanding, assuming the sale of shares of our common stock by us in this offering and no exercise of the underwriters’ option to purchase additional shares.</w:t>
      </w:r>
    </w:p>
    <w:p>
      <w:pPr>
        <w:spacing w:after="0" w:line="143"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exercisable on or before February 29, 2020, which is 60 days after December 31, 2019.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47"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Except as otherwise noted below, the address for persons listed in the table is c/o Keros Therapeutics, Inc., 99 Hayden Avenue, Suite 120, Building E, Lexington, Massachusetts 02421.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NUMBER OF</w:t>
            </w:r>
          </w:p>
        </w:tc>
        <w:tc>
          <w:tcPr>
            <w:tcW w:w="2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PERCENTAGE OF SHARES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SHARES</w:t>
            </w:r>
          </w:p>
        </w:tc>
        <w:tc>
          <w:tcPr>
            <w:tcW w:w="2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BENEFICIALLY OWNED</w:t>
            </w:r>
          </w:p>
        </w:tc>
        <w:tc>
          <w:tcPr>
            <w:tcW w:w="0" w:type="dxa"/>
            <w:vAlign w:val="bottom"/>
          </w:tcPr>
          <w:p>
            <w:pPr>
              <w:spacing w:after="0"/>
              <w:rPr>
                <w:sz w:val="1"/>
                <w:szCs w:val="1"/>
                <w:color w:val="auto"/>
              </w:rPr>
            </w:pPr>
          </w:p>
        </w:tc>
      </w:tr>
      <w:tr>
        <w:trPr>
          <w:trHeight w:val="138"/>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OF BENEFICIAL OWNER</w:t>
            </w:r>
          </w:p>
        </w:tc>
        <w:tc>
          <w:tcPr>
            <w:tcW w:w="5320" w:type="dxa"/>
            <w:vAlign w:val="bottom"/>
            <w:vMerge w:val="restart"/>
          </w:tcPr>
          <w:p>
            <w:pPr>
              <w:spacing w:after="0"/>
              <w:rPr>
                <w:sz w:val="12"/>
                <w:szCs w:val="12"/>
                <w:color w:val="auto"/>
              </w:rPr>
            </w:pPr>
          </w:p>
        </w:tc>
        <w:tc>
          <w:tcPr>
            <w:tcW w:w="146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w w:val="98"/>
              </w:rPr>
              <w:t>BENEFICIALLY</w:t>
            </w:r>
          </w:p>
        </w:tc>
        <w:tc>
          <w:tcPr>
            <w:tcW w:w="1380" w:type="dxa"/>
            <w:vAlign w:val="bottom"/>
            <w:tcBorders>
              <w:top w:val="single" w:sz="8" w:color="auto"/>
            </w:tcBorders>
            <w:gridSpan w:val="2"/>
          </w:tcPr>
          <w:p>
            <w:pPr>
              <w:jc w:val="right"/>
              <w:ind w:right="700"/>
              <w:spacing w:after="0" w:line="139" w:lineRule="exact"/>
              <w:rPr>
                <w:sz w:val="20"/>
                <w:szCs w:val="20"/>
                <w:color w:val="auto"/>
              </w:rPr>
            </w:pPr>
            <w:r>
              <w:rPr>
                <w:rFonts w:ascii="Arial" w:cs="Arial" w:eastAsia="Arial" w:hAnsi="Arial"/>
                <w:sz w:val="14"/>
                <w:szCs w:val="14"/>
                <w:b w:val="1"/>
                <w:bCs w:val="1"/>
                <w:color w:val="auto"/>
              </w:rPr>
              <w:t>BEFORE</w:t>
            </w: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4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6"/>
              </w:rPr>
              <w:t>OWNED</w:t>
            </w:r>
          </w:p>
        </w:tc>
        <w:tc>
          <w:tcPr>
            <w:tcW w:w="13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w w:val="99"/>
              </w:rPr>
              <w:t>OFFERING</w:t>
            </w:r>
          </w:p>
        </w:tc>
        <w:tc>
          <w:tcPr>
            <w:tcW w:w="9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56"/>
        </w:trPr>
        <w:tc>
          <w:tcPr>
            <w:tcW w:w="74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7"/>
                <w:szCs w:val="17"/>
                <w:i w:val="1"/>
                <w:iCs w:val="1"/>
                <w:color w:val="auto"/>
              </w:rPr>
              <w:t>5% or greater stockholders:</w:t>
            </w:r>
          </w:p>
        </w:tc>
        <w:tc>
          <w:tcPr>
            <w:tcW w:w="10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color w:val="auto"/>
              </w:rPr>
              <w:t xml:space="preserve">Entities affiliated with Pontifax </w:t>
            </w:r>
            <w:r>
              <w:rPr>
                <w:rFonts w:ascii="Arial" w:cs="Arial" w:eastAsia="Arial" w:hAnsi="Arial"/>
                <w:sz w:val="14"/>
                <w:szCs w:val="14"/>
                <w:color w:val="auto"/>
              </w:rPr>
              <w:t>(1)</w:t>
            </w:r>
          </w:p>
        </w:tc>
        <w:tc>
          <w:tcPr>
            <w:tcW w:w="146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8,525,868</w:t>
            </w:r>
          </w:p>
        </w:tc>
        <w:tc>
          <w:tcPr>
            <w:tcW w:w="138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43.6%</w:t>
            </w:r>
          </w:p>
        </w:tc>
        <w:tc>
          <w:tcPr>
            <w:tcW w:w="98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xml:space="preserve">Arkin Bio Ventures Limited Partnership </w:t>
            </w:r>
            <w:r>
              <w:rPr>
                <w:rFonts w:ascii="Arial" w:cs="Arial" w:eastAsia="Arial" w:hAnsi="Arial"/>
                <w:sz w:val="14"/>
                <w:szCs w:val="14"/>
                <w:color w:val="auto"/>
              </w:rPr>
              <w:t>(2)</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3,745,001</w:t>
            </w:r>
          </w:p>
        </w:tc>
        <w:tc>
          <w:tcPr>
            <w:tcW w:w="1380" w:type="dxa"/>
            <w:vAlign w:val="bottom"/>
            <w:gridSpan w:val="2"/>
            <w:shd w:val="clear" w:color="auto" w:fill="CCEEFF"/>
          </w:tcPr>
          <w:p>
            <w:pPr>
              <w:jc w:val="right"/>
              <w:ind w:right="600"/>
              <w:spacing w:after="0" w:line="183" w:lineRule="exact"/>
              <w:rPr>
                <w:sz w:val="20"/>
                <w:szCs w:val="20"/>
                <w:color w:val="auto"/>
              </w:rPr>
            </w:pPr>
            <w:r>
              <w:rPr>
                <w:rFonts w:ascii="Arial" w:cs="Arial" w:eastAsia="Arial" w:hAnsi="Arial"/>
                <w:sz w:val="17"/>
                <w:szCs w:val="17"/>
                <w:color w:val="auto"/>
              </w:rPr>
              <w:t>19.1</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color w:val="auto"/>
              </w:rPr>
              <w:t xml:space="preserve">Entities affiliated with Partners Innovation Fund </w:t>
            </w:r>
            <w:r>
              <w:rPr>
                <w:rFonts w:ascii="Arial" w:cs="Arial" w:eastAsia="Arial" w:hAnsi="Arial"/>
                <w:sz w:val="14"/>
                <w:szCs w:val="14"/>
                <w:color w:val="auto"/>
              </w:rPr>
              <w:t>(3)</w:t>
            </w:r>
          </w:p>
        </w:tc>
        <w:tc>
          <w:tcPr>
            <w:tcW w:w="146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2,245,001</w:t>
            </w:r>
          </w:p>
        </w:tc>
        <w:tc>
          <w:tcPr>
            <w:tcW w:w="1380" w:type="dxa"/>
            <w:vAlign w:val="bottom"/>
            <w:gridSpan w:val="2"/>
          </w:tcPr>
          <w:p>
            <w:pPr>
              <w:jc w:val="right"/>
              <w:ind w:right="600"/>
              <w:spacing w:after="0" w:line="183" w:lineRule="exact"/>
              <w:rPr>
                <w:sz w:val="20"/>
                <w:szCs w:val="20"/>
                <w:color w:val="auto"/>
              </w:rPr>
            </w:pPr>
            <w:r>
              <w:rPr>
                <w:rFonts w:ascii="Arial" w:cs="Arial" w:eastAsia="Arial" w:hAnsi="Arial"/>
                <w:sz w:val="17"/>
                <w:szCs w:val="17"/>
                <w:color w:val="auto"/>
              </w:rPr>
              <w:t>11.5</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xml:space="preserve">Jasbir Seehra, Ph.D. </w:t>
            </w:r>
            <w:r>
              <w:rPr>
                <w:rFonts w:ascii="Arial" w:cs="Arial" w:eastAsia="Arial" w:hAnsi="Arial"/>
                <w:sz w:val="14"/>
                <w:szCs w:val="14"/>
                <w:color w:val="auto"/>
              </w:rPr>
              <w:t>(4)</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1,143,255</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5.6</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i w:val="1"/>
                <w:iCs w:val="1"/>
                <w:color w:val="auto"/>
              </w:rPr>
              <w:t>Named executive officers and directors:</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xml:space="preserve">Jennifer Lachey, Ph.D. </w:t>
            </w:r>
            <w:r>
              <w:rPr>
                <w:rFonts w:ascii="Arial" w:cs="Arial" w:eastAsia="Arial" w:hAnsi="Arial"/>
                <w:sz w:val="14"/>
                <w:szCs w:val="14"/>
                <w:color w:val="auto"/>
              </w:rPr>
              <w:t>(5)</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508,761</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w:t>
            </w: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color w:val="auto"/>
              </w:rPr>
              <w:t>Claudia Ordonez, M.D.</w:t>
            </w:r>
          </w:p>
        </w:tc>
        <w:tc>
          <w:tcPr>
            <w:tcW w:w="146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0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Zafrira Avnur, Ph.D.</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600"/>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color w:val="auto"/>
              </w:rPr>
              <w:t xml:space="preserve">Tomer Kariv </w:t>
            </w:r>
            <w:r>
              <w:rPr>
                <w:rFonts w:ascii="Arial" w:cs="Arial" w:eastAsia="Arial" w:hAnsi="Arial"/>
                <w:sz w:val="14"/>
                <w:szCs w:val="14"/>
                <w:color w:val="auto"/>
              </w:rPr>
              <w:t>(1)</w:t>
            </w:r>
          </w:p>
        </w:tc>
        <w:tc>
          <w:tcPr>
            <w:tcW w:w="146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8,525,868</w:t>
            </w:r>
          </w:p>
        </w:tc>
        <w:tc>
          <w:tcPr>
            <w:tcW w:w="1380" w:type="dxa"/>
            <w:vAlign w:val="bottom"/>
            <w:gridSpan w:val="2"/>
          </w:tcPr>
          <w:p>
            <w:pPr>
              <w:jc w:val="right"/>
              <w:ind w:right="600"/>
              <w:spacing w:after="0" w:line="183" w:lineRule="exact"/>
              <w:rPr>
                <w:sz w:val="20"/>
                <w:szCs w:val="20"/>
                <w:color w:val="auto"/>
              </w:rPr>
            </w:pPr>
            <w:r>
              <w:rPr>
                <w:rFonts w:ascii="Arial" w:cs="Arial" w:eastAsia="Arial" w:hAnsi="Arial"/>
                <w:sz w:val="17"/>
                <w:szCs w:val="17"/>
                <w:color w:val="auto"/>
              </w:rPr>
              <w:t>43.6</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xml:space="preserve">Julius Knowles </w:t>
            </w:r>
            <w:r>
              <w:rPr>
                <w:rFonts w:ascii="Arial" w:cs="Arial" w:eastAsia="Arial" w:hAnsi="Arial"/>
                <w:sz w:val="14"/>
                <w:szCs w:val="14"/>
                <w:color w:val="auto"/>
              </w:rPr>
              <w:t>(3)</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2,245,001</w:t>
            </w:r>
          </w:p>
        </w:tc>
        <w:tc>
          <w:tcPr>
            <w:tcW w:w="1380" w:type="dxa"/>
            <w:vAlign w:val="bottom"/>
            <w:gridSpan w:val="2"/>
            <w:shd w:val="clear" w:color="auto" w:fill="CCEEFF"/>
          </w:tcPr>
          <w:p>
            <w:pPr>
              <w:jc w:val="right"/>
              <w:ind w:right="600"/>
              <w:spacing w:after="0" w:line="183" w:lineRule="exact"/>
              <w:rPr>
                <w:sz w:val="20"/>
                <w:szCs w:val="20"/>
                <w:color w:val="auto"/>
              </w:rPr>
            </w:pPr>
            <w:r>
              <w:rPr>
                <w:rFonts w:ascii="Arial" w:cs="Arial" w:eastAsia="Arial" w:hAnsi="Arial"/>
                <w:sz w:val="17"/>
                <w:szCs w:val="17"/>
                <w:color w:val="auto"/>
              </w:rPr>
              <w:t>11.5</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tcPr>
          <w:p>
            <w:pPr>
              <w:spacing w:after="0" w:line="183" w:lineRule="exact"/>
              <w:rPr>
                <w:sz w:val="20"/>
                <w:szCs w:val="20"/>
                <w:color w:val="auto"/>
              </w:rPr>
            </w:pPr>
            <w:r>
              <w:rPr>
                <w:rFonts w:ascii="Arial" w:cs="Arial" w:eastAsia="Arial" w:hAnsi="Arial"/>
                <w:sz w:val="17"/>
                <w:szCs w:val="17"/>
                <w:color w:val="auto"/>
              </w:rPr>
              <w:t xml:space="preserve">Alon Lazarus, Ph.D. </w:t>
            </w:r>
            <w:r>
              <w:rPr>
                <w:rFonts w:ascii="Arial" w:cs="Arial" w:eastAsia="Arial" w:hAnsi="Arial"/>
                <w:sz w:val="14"/>
                <w:szCs w:val="14"/>
                <w:color w:val="auto"/>
              </w:rPr>
              <w:t>(6)</w:t>
            </w:r>
          </w:p>
        </w:tc>
        <w:tc>
          <w:tcPr>
            <w:tcW w:w="1460" w:type="dxa"/>
            <w:vAlign w:val="bottom"/>
            <w:gridSpan w:val="2"/>
          </w:tcPr>
          <w:p>
            <w:pPr>
              <w:jc w:val="right"/>
              <w:ind w:right="460"/>
              <w:spacing w:after="0" w:line="183" w:lineRule="exact"/>
              <w:rPr>
                <w:sz w:val="20"/>
                <w:szCs w:val="20"/>
                <w:color w:val="auto"/>
              </w:rPr>
            </w:pPr>
            <w:r>
              <w:rPr>
                <w:rFonts w:ascii="Arial" w:cs="Arial" w:eastAsia="Arial" w:hAnsi="Arial"/>
                <w:sz w:val="17"/>
                <w:szCs w:val="17"/>
                <w:color w:val="auto"/>
              </w:rPr>
              <w:t>3,795,001</w:t>
            </w:r>
          </w:p>
        </w:tc>
        <w:tc>
          <w:tcPr>
            <w:tcW w:w="1380" w:type="dxa"/>
            <w:vAlign w:val="bottom"/>
            <w:gridSpan w:val="2"/>
          </w:tcPr>
          <w:p>
            <w:pPr>
              <w:jc w:val="right"/>
              <w:ind w:right="600"/>
              <w:spacing w:after="0" w:line="183" w:lineRule="exact"/>
              <w:rPr>
                <w:sz w:val="20"/>
                <w:szCs w:val="20"/>
                <w:color w:val="auto"/>
              </w:rPr>
            </w:pPr>
            <w:r>
              <w:rPr>
                <w:rFonts w:ascii="Arial" w:cs="Arial" w:eastAsia="Arial" w:hAnsi="Arial"/>
                <w:sz w:val="17"/>
                <w:szCs w:val="17"/>
                <w:color w:val="auto"/>
              </w:rPr>
              <w:t>19.4</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 xml:space="preserve">Ran Nussbaum </w:t>
            </w:r>
            <w:r>
              <w:rPr>
                <w:rFonts w:ascii="Arial" w:cs="Arial" w:eastAsia="Arial" w:hAnsi="Arial"/>
                <w:sz w:val="14"/>
                <w:szCs w:val="14"/>
                <w:color w:val="auto"/>
              </w:rPr>
              <w:t>(1)</w:t>
            </w:r>
          </w:p>
        </w:tc>
        <w:tc>
          <w:tcPr>
            <w:tcW w:w="1460" w:type="dxa"/>
            <w:vAlign w:val="bottom"/>
            <w:gridSpan w:val="2"/>
            <w:shd w:val="clear" w:color="auto" w:fill="CCEEFF"/>
          </w:tcPr>
          <w:p>
            <w:pPr>
              <w:jc w:val="right"/>
              <w:ind w:right="460"/>
              <w:spacing w:after="0" w:line="183" w:lineRule="exact"/>
              <w:rPr>
                <w:sz w:val="20"/>
                <w:szCs w:val="20"/>
                <w:color w:val="auto"/>
              </w:rPr>
            </w:pPr>
            <w:r>
              <w:rPr>
                <w:rFonts w:ascii="Arial" w:cs="Arial" w:eastAsia="Arial" w:hAnsi="Arial"/>
                <w:sz w:val="17"/>
                <w:szCs w:val="17"/>
                <w:color w:val="auto"/>
              </w:rPr>
              <w:t>8,525,868</w:t>
            </w:r>
          </w:p>
        </w:tc>
        <w:tc>
          <w:tcPr>
            <w:tcW w:w="1380" w:type="dxa"/>
            <w:vAlign w:val="bottom"/>
            <w:gridSpan w:val="2"/>
            <w:shd w:val="clear" w:color="auto" w:fill="CCEEFF"/>
          </w:tcPr>
          <w:p>
            <w:pPr>
              <w:jc w:val="right"/>
              <w:ind w:right="600"/>
              <w:spacing w:after="0" w:line="183" w:lineRule="exact"/>
              <w:rPr>
                <w:sz w:val="20"/>
                <w:szCs w:val="20"/>
                <w:color w:val="auto"/>
              </w:rPr>
            </w:pPr>
            <w:r>
              <w:rPr>
                <w:rFonts w:ascii="Arial" w:cs="Arial" w:eastAsia="Arial" w:hAnsi="Arial"/>
                <w:sz w:val="17"/>
                <w:szCs w:val="17"/>
                <w:color w:val="auto"/>
              </w:rPr>
              <w:t>43.6</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420" w:type="dxa"/>
            <w:vAlign w:val="bottom"/>
            <w:gridSpan w:val="2"/>
          </w:tcPr>
          <w:p>
            <w:pPr>
              <w:spacing w:after="0"/>
              <w:rPr>
                <w:sz w:val="20"/>
                <w:szCs w:val="20"/>
                <w:color w:val="auto"/>
              </w:rPr>
            </w:pPr>
            <w:r>
              <w:rPr>
                <w:rFonts w:ascii="Arial" w:cs="Arial" w:eastAsia="Arial" w:hAnsi="Arial"/>
                <w:sz w:val="17"/>
                <w:szCs w:val="17"/>
                <w:color w:val="auto"/>
              </w:rPr>
              <w:t>All current executive officers and directors as a group (8 persons)</w:t>
            </w:r>
            <w:r>
              <w:rPr>
                <w:rFonts w:ascii="Arial" w:cs="Arial" w:eastAsia="Arial" w:hAnsi="Arial"/>
                <w:sz w:val="14"/>
                <w:szCs w:val="14"/>
                <w:color w:val="auto"/>
              </w:rPr>
              <w:t>(1)(2)(3)7)</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16,217,886</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78.0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31" w:lineRule="exact"/>
        <w:rPr>
          <w:sz w:val="20"/>
          <w:szCs w:val="20"/>
          <w:color w:val="auto"/>
        </w:rPr>
      </w:pPr>
    </w:p>
    <w:p>
      <w:pPr>
        <w:ind w:left="440" w:right="80" w:hanging="292"/>
        <w:spacing w:after="0" w:line="188" w:lineRule="auto"/>
        <w:tabs>
          <w:tab w:leader="none" w:pos="440" w:val="left"/>
        </w:tabs>
        <w:numPr>
          <w:ilvl w:val="0"/>
          <w:numId w:val="104"/>
        </w:numPr>
        <w:rPr>
          <w:rFonts w:ascii="Arial" w:cs="Arial" w:eastAsia="Arial" w:hAnsi="Arial"/>
          <w:sz w:val="23"/>
          <w:szCs w:val="23"/>
          <w:color w:val="auto"/>
          <w:vertAlign w:val="superscript"/>
        </w:rPr>
      </w:pPr>
      <w:r>
        <w:rPr>
          <w:rFonts w:ascii="Arial" w:cs="Arial" w:eastAsia="Arial" w:hAnsi="Arial"/>
          <w:sz w:val="13"/>
          <w:szCs w:val="13"/>
          <w:color w:val="auto"/>
        </w:rPr>
        <w:t>Consists of (a)(i) 804,863 shares of common stock, (ii) 2,959,296 shares of common stock issuable upon the conversion of Series A preferred stock and (iii) 367,447 shares of common stock issuable upon the conversion of Series B-1 preferred stock held by Pontifax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448" w:right="3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(Israel) IV L.P., or Pontifax Israel, (b)(i) 391,839 shares of common stock, (ii) 1,440,702 shares of common stock issuable upon the conversion of Series A preferred stock and</w:t>
      </w:r>
    </w:p>
    <w:p>
      <w:pPr>
        <w:ind w:left="440" w:firstLine="8"/>
        <w:spacing w:after="0" w:line="233" w:lineRule="auto"/>
        <w:tabs>
          <w:tab w:leader="none" w:pos="664" w:val="left"/>
        </w:tabs>
        <w:numPr>
          <w:ilvl w:val="2"/>
          <w:numId w:val="105"/>
        </w:numPr>
        <w:rPr>
          <w:rFonts w:ascii="Arial" w:cs="Arial" w:eastAsia="Arial" w:hAnsi="Arial"/>
          <w:sz w:val="14"/>
          <w:szCs w:val="14"/>
          <w:color w:val="auto"/>
        </w:rPr>
      </w:pPr>
      <w:r>
        <w:rPr>
          <w:rFonts w:ascii="Arial" w:cs="Arial" w:eastAsia="Arial" w:hAnsi="Arial"/>
          <w:sz w:val="14"/>
          <w:szCs w:val="14"/>
          <w:color w:val="auto"/>
        </w:rPr>
        <w:t>178,887 shares of common stock issuable upon the conversion of Series B-1 preferred stock held by Pontifax (Cayman) IV L.P., or Pontifax Cayman, (c)(i) 435,165 shares of common stock, (ii) 1,600,002 shares of common stock issuable upon the conversion of Series A preferred stock and (iii) 198,667 shares of common stock issuable upon the conversion of Series B-1 preferred stock held by Pontifax (China) IV L.P., or Pontifax China and (d) 149,000 shares of common stock issuable upon the conversion of Series B-1 preferred stock held by Pontifax Late Stage Fund, L.P., or Pontifax Late Stage. Pontifax Israel, Pontifax Cayman and Pontifax China are collectively referred to as the Pontifax IV Funds, and together with Pontifax Late Stage are collectively referred to as the Pontifax Entities. Pontifax Management 4 G.P. (2015) Ltd., or Pontifax Management, is the ultimate general partner of each of the Pontifax IV Funds. Ran Nussbaum and Tomer Kariv, both members of our board of directors, are the Managing Partners of Pontifax Management and, as a result, may be deemed to share voting and investment power with respect to the shares held by each of the Pontifax IV Funds. Pontifax Late Stage GP Ltd., or Pontifax Late Stage GP, is the general partner of Pontifax Late Stage and the sole shareholder of Pontifax Late Stage GP is Mr. Shlomo Karako. Pursuant to Strategic Alliance Agreement, dated August 9, 2018, between Pontifax Late Stage and the Pontifax IV Funds, Pontifax Late Stage invests side-by-side with the Pontifax IV Funds. By virtue of the strategic relationship, each of Pontifax Management, Mr. Kariv and Mr. Nussbaum may be deemed to share voting and dispositive power with respect to the shares held by Pontifax Late Stage in a manner similar to the voting and investment power with respect to the shares held by each of the Pontifax IV Funds. The address of each of the Pontifax Entities is c/o The Pontifax Group, 14 Shenkar Street, Beit Ofek, Herzliya Pituach, 46140 Israel.</w:t>
      </w:r>
    </w:p>
    <w:p>
      <w:pPr>
        <w:spacing w:after="0" w:line="4" w:lineRule="exact"/>
        <w:rPr>
          <w:rFonts w:ascii="Arial" w:cs="Arial" w:eastAsia="Arial" w:hAnsi="Arial"/>
          <w:sz w:val="14"/>
          <w:szCs w:val="14"/>
          <w:color w:val="auto"/>
        </w:rPr>
      </w:pPr>
    </w:p>
    <w:p>
      <w:pPr>
        <w:ind w:left="440" w:hanging="292"/>
        <w:spacing w:after="0" w:line="208"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(a) 3,000,000 shares of common stock issuable upon the conversion of Series A preferred stock and (b) 745,001 shares of common stock issuable upon the conversion of Series B-1 preferred stock held by Arkin Bio Ventures Limited Partnership. Arkin Holdings Ltd., or Arkin Holdings, is the ultimate general partner of Arkin Bio Ventures Limited Partnership and the sole shareholder and chairman of the board of Arkin Holdings is Moshe Arkin. As a result, Mr. Arkin may be deemed to share voting and investment power with respect to the shares held by Arkin Bio Ventures Limited Partnership. Alon Lazarus, Ph.D., a member of our board of directors, is the Biotech Investment Manager of Arkin Holdings and, as a result, may be deemed to share voting and investment power with respect to the shares held by Arkin Bio Ventures Limited Partnership. The address of Arkin Bio Ventures Limited Partnership is 6 Ha’Choshlim Street, Building C, Herzliya, 46724 Israel.</w:t>
      </w:r>
    </w:p>
    <w:p>
      <w:pPr>
        <w:spacing w:after="0" w:line="3" w:lineRule="exact"/>
        <w:rPr>
          <w:rFonts w:ascii="Arial" w:cs="Arial" w:eastAsia="Arial" w:hAnsi="Arial"/>
          <w:sz w:val="24"/>
          <w:szCs w:val="24"/>
          <w:color w:val="auto"/>
          <w:vertAlign w:val="superscript"/>
        </w:rPr>
      </w:pPr>
    </w:p>
    <w:p>
      <w:pPr>
        <w:ind w:left="440" w:right="80" w:hanging="292"/>
        <w:spacing w:after="0" w:line="204"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(a)(i) 300,000 shares of common stock, (ii) 600,000 shares of common stock issuable upon the conversion of Series A preferred stock and (iii) 447,001 shares of common stock issuable upon the conversion of Series B-1 preferred stock held by Partners Innovation Fund, LLC, or PIF I and (b)(i) 200,000 shares of common stock, (ii) 400,000 shares of common stock issuable upon the conversion of Series A preferred stock and (iii) 298,000 shares of common stock issuable upon the conversion of Series B-1 preferred stock held by Partners Innovation Fund II, L.P., or PIF II. PIF I and PIF II are collectively referred to as the Partners Entities. Partners Innovation Fund, LLC, or Partners GP I, is the ultimate general partner of PIF I, and Partners Innovation Fund II, LLC, or Partners GP II, is the ultimate general partner of PIF II. Julius Knowles,</w:t>
      </w:r>
    </w:p>
    <w:p>
      <w:pPr>
        <w:spacing w:after="0" w:line="1" w:lineRule="exact"/>
        <w:rPr>
          <w:rFonts w:ascii="Arial" w:cs="Arial" w:eastAsia="Arial" w:hAnsi="Arial"/>
          <w:sz w:val="24"/>
          <w:szCs w:val="24"/>
          <w:color w:val="auto"/>
          <w:vertAlign w:val="superscript"/>
        </w:rPr>
      </w:pPr>
    </w:p>
    <w:p>
      <w:pPr>
        <w:ind w:left="440"/>
        <w:spacing w:after="0" w:line="233" w:lineRule="auto"/>
        <w:rPr>
          <w:rFonts w:ascii="Arial" w:cs="Arial" w:eastAsia="Arial" w:hAnsi="Arial"/>
          <w:sz w:val="24"/>
          <w:szCs w:val="24"/>
          <w:color w:val="auto"/>
          <w:vertAlign w:val="superscript"/>
        </w:rPr>
      </w:pPr>
      <w:r>
        <w:rPr>
          <w:rFonts w:ascii="Arial" w:cs="Arial" w:eastAsia="Arial" w:hAnsi="Arial"/>
          <w:sz w:val="14"/>
          <w:szCs w:val="14"/>
          <w:color w:val="auto"/>
        </w:rPr>
        <w:t>a member of our board of directors, is a partner of each of Partners GP and Partners GP II, and, as a result, may be deemed to share voting and investment power with respect to the shares held by each of the Partners Entities. The address of each of the Partners Entities is 215 First Street, Suite 500, Cambridge, Massachusetts 02142.</w:t>
      </w:r>
    </w:p>
    <w:p>
      <w:pPr>
        <w:ind w:left="440" w:right="180" w:hanging="292"/>
        <w:spacing w:after="0" w:line="181" w:lineRule="auto"/>
        <w:tabs>
          <w:tab w:leader="none" w:pos="440" w:val="left"/>
        </w:tabs>
        <w:numPr>
          <w:ilvl w:val="0"/>
          <w:numId w:val="106"/>
        </w:numPr>
        <w:rPr>
          <w:rFonts w:ascii="Arial" w:cs="Arial" w:eastAsia="Arial" w:hAnsi="Arial"/>
          <w:sz w:val="23"/>
          <w:szCs w:val="23"/>
          <w:color w:val="auto"/>
          <w:vertAlign w:val="superscript"/>
        </w:rPr>
      </w:pPr>
      <w:r>
        <w:rPr>
          <w:rFonts w:ascii="Arial" w:cs="Arial" w:eastAsia="Arial" w:hAnsi="Arial"/>
          <w:sz w:val="13"/>
          <w:szCs w:val="13"/>
          <w:color w:val="auto"/>
        </w:rPr>
        <w:t>Consists of (a) 386,600 shares of common stock held by Dr. Seehra and (b) 756,655 shares issuable upon the exercise of options granted to Dr. Seehra that are exercisable within 60 days of December 31, 2019.</w:t>
      </w:r>
    </w:p>
    <w:p>
      <w:pPr>
        <w:spacing w:after="0" w:line="1" w:lineRule="exact"/>
        <w:rPr>
          <w:rFonts w:ascii="Arial" w:cs="Arial" w:eastAsia="Arial" w:hAnsi="Arial"/>
          <w:sz w:val="23"/>
          <w:szCs w:val="23"/>
          <w:color w:val="auto"/>
          <w:vertAlign w:val="superscript"/>
        </w:rPr>
      </w:pPr>
    </w:p>
    <w:p>
      <w:pPr>
        <w:ind w:left="440" w:right="260" w:hanging="292"/>
        <w:spacing w:after="0" w:line="181" w:lineRule="auto"/>
        <w:tabs>
          <w:tab w:leader="none" w:pos="440" w:val="left"/>
        </w:tabs>
        <w:numPr>
          <w:ilvl w:val="0"/>
          <w:numId w:val="106"/>
        </w:numPr>
        <w:rPr>
          <w:rFonts w:ascii="Arial" w:cs="Arial" w:eastAsia="Arial" w:hAnsi="Arial"/>
          <w:sz w:val="23"/>
          <w:szCs w:val="23"/>
          <w:color w:val="auto"/>
          <w:vertAlign w:val="superscript"/>
        </w:rPr>
      </w:pPr>
      <w:r>
        <w:rPr>
          <w:rFonts w:ascii="Arial" w:cs="Arial" w:eastAsia="Arial" w:hAnsi="Arial"/>
          <w:sz w:val="13"/>
          <w:szCs w:val="13"/>
          <w:color w:val="auto"/>
        </w:rPr>
        <w:t>Consists of (a) 60,750 shares of common stock held by Dr. Lachey and (b) 448,011 shares issuable upon the exercise of options granted to Dr. Lachey that are exercisable within 60 days of December 31, 2019.</w:t>
      </w:r>
    </w:p>
    <w:p>
      <w:pPr>
        <w:spacing w:after="0" w:line="1" w:lineRule="exact"/>
        <w:rPr>
          <w:rFonts w:ascii="Arial" w:cs="Arial" w:eastAsia="Arial" w:hAnsi="Arial"/>
          <w:sz w:val="23"/>
          <w:szCs w:val="23"/>
          <w:color w:val="auto"/>
          <w:vertAlign w:val="superscript"/>
        </w:rPr>
      </w:pPr>
    </w:p>
    <w:p>
      <w:pPr>
        <w:ind w:left="440" w:right="20" w:hanging="292"/>
        <w:spacing w:after="0" w:line="188"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(a) 50,000 shares of common stock held by Dr. Lazarus and (b) 3,745,001 shares of common stock held by Arkin Bio Ventures Limited Partnership referred to in footnote (2) above. Dr. Lazarus is the Biotech Investment Manager of Arkin Holdings and, as a result, may be deemed to share voting and investment power with respect to the shares held by Arkin Bio Ventures Limited Partnership.</w:t>
      </w:r>
    </w:p>
    <w:p>
      <w:pPr>
        <w:spacing w:after="0" w:line="1" w:lineRule="exact"/>
        <w:rPr>
          <w:rFonts w:ascii="Arial" w:cs="Arial" w:eastAsia="Arial" w:hAnsi="Arial"/>
          <w:sz w:val="24"/>
          <w:szCs w:val="24"/>
          <w:color w:val="auto"/>
          <w:vertAlign w:val="superscript"/>
        </w:rPr>
      </w:pPr>
    </w:p>
    <w:p>
      <w:pPr>
        <w:ind w:left="440" w:right="40" w:hanging="253"/>
        <w:spacing w:after="0" w:line="207" w:lineRule="auto"/>
        <w:tabs>
          <w:tab w:leader="none" w:pos="440" w:val="left"/>
        </w:tabs>
        <w:numPr>
          <w:ilvl w:val="1"/>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(a) 2,629,217 shares of common stock, (b) 10,000,000 shares of common stock issuable upon the conversion of Series A preferred stock, (c) 2,384,003 shares of common stock issuable upon the conversion of Series B-1 preferred stock and (d) 1,204,667 shares issuable upon the exercise of options granted to our executive officers that are exercisable within 60 days of December 31, 2019. The shares held by the Pontifax Entities referred to in footnote (1) above of which Mr. Kariv and Mr. Nussbaum may be deemed to share voting and investment power with respect to have been counted once for purposes of calculating the number of shares beneficially owned by all current executive officers and directors as a group.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20"/>
          </w:cols>
          <w:pgMar w:left="320" w:top="448" w:right="3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CAPITAL STOCK</w:t>
      </w:r>
    </w:p>
    <w:p>
      <w:pPr>
        <w:spacing w:after="0" w:line="330"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following description of our capital stock, certain provisions of our amended and restated certificate of incorporation and amended and restated bylaws, as each will be in effect upon the closing of this offering, and certain provisions of Delaware law are summaries. You should also refer to the amended and restated certificate of incorporation and the amended and restated bylaws, which are filed as exhibits to the registration statement of which this prospectus is part. We refer in this section to our amended and restated certificate of incorporation and amended and restated bylaws that we intend to adopt in connection with this offering as our certificate of incorporation and bylaws,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6"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Upon the closing of this offering, our certificate of incorporation will authorize us to issue up to shares of common stock, $0.0001 par value per share, and shares of preferred stock, $0.001 par value per share, all of which shares of preferred stock will be undesignated. Our board of directors may establish the rights and preferences of the preferred stock from time to time.</w:t>
      </w:r>
    </w:p>
    <w:p>
      <w:pPr>
        <w:spacing w:after="0" w:line="143" w:lineRule="exact"/>
        <w:rPr>
          <w:sz w:val="20"/>
          <w:szCs w:val="20"/>
          <w:color w:val="auto"/>
        </w:rPr>
      </w:pPr>
    </w:p>
    <w:p>
      <w:pPr>
        <w:ind w:right="640"/>
        <w:spacing w:after="0" w:line="230" w:lineRule="auto"/>
        <w:rPr>
          <w:sz w:val="20"/>
          <w:szCs w:val="20"/>
          <w:color w:val="auto"/>
        </w:rPr>
      </w:pPr>
      <w:r>
        <w:rPr>
          <w:rFonts w:ascii="Arial" w:cs="Arial" w:eastAsia="Arial" w:hAnsi="Arial"/>
          <w:sz w:val="17"/>
          <w:szCs w:val="17"/>
          <w:color w:val="auto"/>
        </w:rPr>
        <w:t>As of December 31, 2019, after giving effect to the automatic conversion of all of our outstanding shares of preferred stock into an aggregate of 14,227,004 shares of our common stock upon the closing of this offering, there would have been 19,575,235 shares of common stock issued and outstanding (which includes 75,000 shares of restricted common stock subject to repurchase), held of record by 28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46" w:lineRule="exact"/>
        <w:rPr>
          <w:sz w:val="20"/>
          <w:szCs w:val="20"/>
          <w:color w:val="auto"/>
        </w:rPr>
      </w:pPr>
    </w:p>
    <w:p>
      <w:pPr>
        <w:ind w:right="340"/>
        <w:spacing w:after="0" w:line="228"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Under our certificate of incorporation and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46" w:lineRule="exact"/>
        <w:rPr>
          <w:sz w:val="20"/>
          <w:szCs w:val="20"/>
          <w:color w:val="auto"/>
        </w:rPr>
      </w:pPr>
    </w:p>
    <w:p>
      <w:pPr>
        <w:ind w:right="420"/>
        <w:spacing w:after="0" w:line="233"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6"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6" w:lineRule="exact"/>
        <w:rPr>
          <w:sz w:val="20"/>
          <w:szCs w:val="20"/>
          <w:color w:val="auto"/>
        </w:rPr>
      </w:pPr>
    </w:p>
    <w:p>
      <w:pPr>
        <w:jc w:val="both"/>
        <w:ind w:right="120"/>
        <w:spacing w:after="0" w:line="230"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82"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As of December 31, 2019, there were 14,227,004 shares of preferred stock outstanding, which will convert, immediately prior to the closing of this offering, into 14,227,004 shares of our common stock. All series of our convertible preferred stock will convert at a ratio of one share of common stock for each share of convertible preferred stock. All shares of common stock (including fractions thereof) issuable upon conversion of convertible preferred stock by a holder thereof shall be aggregated for purposes of determining whether the conversion would result in the issuance of any fractional share. If, after such aggregation, the conversion results in the issuance of any fractional share, we will, in lieu of issuing any fractional share, pay cash equal to the product of such fraction multiplied by the initial public offering price.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448" w:right="3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of this offering, our board of directors may, without further action by our stockholders, fix the rights, preferences, privileges and</w:t>
      </w:r>
    </w:p>
    <w:p>
      <w:pPr>
        <w:ind w:right="40"/>
        <w:spacing w:after="0" w:line="226" w:lineRule="auto"/>
        <w:rPr>
          <w:sz w:val="20"/>
          <w:szCs w:val="20"/>
          <w:color w:val="auto"/>
        </w:rPr>
      </w:pPr>
      <w:r>
        <w:rPr>
          <w:rFonts w:ascii="Arial" w:cs="Arial" w:eastAsia="Arial" w:hAnsi="Arial"/>
          <w:sz w:val="17"/>
          <w:szCs w:val="17"/>
          <w:color w:val="auto"/>
        </w:rPr>
        <w:t>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96"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As of December 31, 2019, options to purchase an aggregate of 2,526,538 shares of common stock were outstanding under our 2017 Stock Incentive Plan, as amended, or the 2017 Plan, at a weighted average exercise price of $0.16 per share. See “Executive Compensation—Equity Incentive Plans” for additional information regarding the terms of our 2017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82"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Upon the closing of this offering, certain holders of shares of our common stock, including those shares of our common stock that will be issued upon conversion of our convertible preferred stock upon the closing of this offering, will be entitled to certain rights with respect to registration of such shares under the Securities Act pursuant to the terms of an amended and restated investor rights agreement by and among us and certain of our stockholders. These shares are collectively referred to herein as registrable securities.</w:t>
      </w:r>
    </w:p>
    <w:p>
      <w:pPr>
        <w:spacing w:after="0" w:line="145"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amended and restated investor rights agreement provides the holders of registrable securities with demand, piggyback and S-3 registration rights as described more fully below. As of December 31, 2019, holders of an aggregate of 16,358,871 registrable securities were entitled to these demand, piggyback and S-3 registration rights. Under the terms of the investor rights agreement, holders of registrable securities will have equivalent registration rights with respect to any additional shares of our common stock acquired by these holders.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6"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6"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4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If we are eligible to file a registration statement on Form S-3, the holders of at least a majority of our registrable securities then outstanding have the right to demand that we file registration statements on Form S-3, provided that the aggregate amount of securities to be sold under the registration statement is at least $1.0 million, net of underwriting discounts and commissions and specified expenses. We are not obligated to effect a demand for registration on Form S-3 by holders of our registrable securities more than two times during any 12-month period. The right to have such shares registered on Form S-3 is further subject to other specified conditions and limitations.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6" w:lineRule="exact"/>
        <w:rPr>
          <w:sz w:val="20"/>
          <w:szCs w:val="20"/>
          <w:color w:val="auto"/>
        </w:rPr>
      </w:pPr>
    </w:p>
    <w:p>
      <w:pPr>
        <w:ind w:right="420"/>
        <w:spacing w:after="0" w:line="233" w:lineRule="auto"/>
        <w:rPr>
          <w:sz w:val="20"/>
          <w:szCs w:val="20"/>
          <w:color w:val="auto"/>
        </w:rPr>
      </w:pPr>
      <w:r>
        <w:rPr>
          <w:rFonts w:ascii="Arial" w:cs="Arial" w:eastAsia="Arial" w:hAnsi="Arial"/>
          <w:sz w:val="17"/>
          <w:szCs w:val="17"/>
          <w:color w:val="auto"/>
        </w:rPr>
        <w:t>We will pay all expenses relating to any demand, piggyback or Form S-3 registration, other than underwriting discounts and commissions, subject to specified conditions and limitations.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448" w:right="3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demand, piggyback and Form S-3 registration rights described above will terminate on the earliest to occur of (1) the closing of a deemed liquidation event, as defined in our certificate of incorporation, (2) the five-year anniversary of the closing of this offering and (3) with respect to each stockholder, at such time as Rule 144 under the Securities Act or another similar exemption is available for the sale of all of such holder’s shares without limitation during a three-month period without registration.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Statute</w:t>
      </w:r>
    </w:p>
    <w:p>
      <w:pPr>
        <w:spacing w:after="0" w:line="46"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82" w:lineRule="exact"/>
        <w:rPr>
          <w:sz w:val="20"/>
          <w:szCs w:val="20"/>
          <w:color w:val="auto"/>
        </w:rPr>
      </w:pPr>
    </w:p>
    <w:p>
      <w:pPr>
        <w:ind w:left="880" w:right="280" w:hanging="432"/>
        <w:spacing w:after="0" w:line="233" w:lineRule="auto"/>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5" w:lineRule="exact"/>
        <w:rPr>
          <w:rFonts w:ascii="MS PGothic" w:cs="MS PGothic" w:eastAsia="MS PGothic" w:hAnsi="MS PGothic"/>
          <w:sz w:val="12"/>
          <w:szCs w:val="12"/>
          <w:color w:val="auto"/>
        </w:rPr>
      </w:pPr>
    </w:p>
    <w:p>
      <w:pPr>
        <w:ind w:left="880" w:right="140" w:hanging="432"/>
        <w:spacing w:after="0" w:line="228" w:lineRule="auto"/>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24" w:lineRule="exact"/>
        <w:rPr>
          <w:rFonts w:ascii="MS PGothic" w:cs="MS PGothic" w:eastAsia="MS PGothic" w:hAnsi="MS PGothic"/>
          <w:sz w:val="12"/>
          <w:szCs w:val="12"/>
          <w:color w:val="auto"/>
        </w:rPr>
      </w:pPr>
    </w:p>
    <w:p>
      <w:pPr>
        <w:jc w:val="both"/>
        <w:ind w:left="880" w:right="180" w:hanging="432"/>
        <w:spacing w:after="0" w:line="230" w:lineRule="auto"/>
        <w:tabs>
          <w:tab w:leader="none" w:pos="880" w:val="left"/>
        </w:tabs>
        <w:numPr>
          <w:ilvl w:val="0"/>
          <w:numId w:val="107"/>
        </w:numPr>
        <w:rPr>
          <w:rFonts w:ascii="MS PGothic" w:cs="MS PGothic" w:eastAsia="MS PGothic" w:hAnsi="MS PGothic"/>
          <w:sz w:val="12"/>
          <w:szCs w:val="12"/>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183" w:lineRule="exact"/>
        <w:rPr>
          <w:sz w:val="20"/>
          <w:szCs w:val="20"/>
          <w:color w:val="auto"/>
        </w:rPr>
      </w:pPr>
    </w:p>
    <w:p>
      <w:pPr>
        <w:ind w:left="880" w:hanging="432"/>
        <w:spacing w:after="0"/>
        <w:tabs>
          <w:tab w:leader="none" w:pos="880" w:val="left"/>
        </w:tabs>
        <w:numPr>
          <w:ilvl w:val="0"/>
          <w:numId w:val="108"/>
        </w:numPr>
        <w:rPr>
          <w:rFonts w:ascii="MS PGothic" w:cs="MS PGothic" w:eastAsia="MS PGothic" w:hAnsi="MS PGothic"/>
          <w:sz w:val="12"/>
          <w:szCs w:val="12"/>
          <w:color w:val="auto"/>
        </w:rPr>
      </w:pPr>
      <w:r>
        <w:rPr>
          <w:rFonts w:ascii="Arial" w:cs="Arial" w:eastAsia="Arial" w:hAnsi="Arial"/>
          <w:sz w:val="17"/>
          <w:szCs w:val="17"/>
          <w:color w:val="auto"/>
        </w:rPr>
        <w:t>any merger or consolidation involving the corporation and the interested stockholder;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08"/>
        </w:numPr>
        <w:rPr>
          <w:rFonts w:ascii="MS PGothic" w:cs="MS PGothic" w:eastAsia="MS PGothic" w:hAnsi="MS PGothic"/>
          <w:sz w:val="12"/>
          <w:szCs w:val="12"/>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6" w:lineRule="exact"/>
        <w:rPr>
          <w:rFonts w:ascii="MS PGothic" w:cs="MS PGothic" w:eastAsia="MS PGothic" w:hAnsi="MS PGothic"/>
          <w:sz w:val="12"/>
          <w:szCs w:val="12"/>
          <w:color w:val="auto"/>
        </w:rPr>
      </w:pPr>
    </w:p>
    <w:p>
      <w:pPr>
        <w:ind w:left="880" w:right="140" w:hanging="432"/>
        <w:spacing w:after="0" w:line="233" w:lineRule="auto"/>
        <w:tabs>
          <w:tab w:leader="none" w:pos="880" w:val="left"/>
        </w:tabs>
        <w:numPr>
          <w:ilvl w:val="0"/>
          <w:numId w:val="108"/>
        </w:numPr>
        <w:rPr>
          <w:rFonts w:ascii="MS PGothic" w:cs="MS PGothic" w:eastAsia="MS PGothic" w:hAnsi="MS PGothic"/>
          <w:sz w:val="12"/>
          <w:szCs w:val="12"/>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25" w:lineRule="exact"/>
        <w:rPr>
          <w:rFonts w:ascii="MS PGothic" w:cs="MS PGothic" w:eastAsia="MS PGothic" w:hAnsi="MS PGothic"/>
          <w:sz w:val="12"/>
          <w:szCs w:val="12"/>
          <w:color w:val="auto"/>
        </w:rPr>
      </w:pPr>
    </w:p>
    <w:p>
      <w:pPr>
        <w:ind w:left="880" w:right="320" w:hanging="432"/>
        <w:spacing w:after="0" w:line="233" w:lineRule="auto"/>
        <w:tabs>
          <w:tab w:leader="none" w:pos="880" w:val="left"/>
        </w:tabs>
        <w:numPr>
          <w:ilvl w:val="0"/>
          <w:numId w:val="108"/>
        </w:numPr>
        <w:rPr>
          <w:rFonts w:ascii="MS PGothic" w:cs="MS PGothic" w:eastAsia="MS PGothic" w:hAnsi="MS PGothic"/>
          <w:sz w:val="12"/>
          <w:szCs w:val="12"/>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25" w:lineRule="exact"/>
        <w:rPr>
          <w:rFonts w:ascii="MS PGothic" w:cs="MS PGothic" w:eastAsia="MS PGothic" w:hAnsi="MS PGothic"/>
          <w:sz w:val="12"/>
          <w:szCs w:val="12"/>
          <w:color w:val="auto"/>
        </w:rPr>
      </w:pPr>
    </w:p>
    <w:p>
      <w:pPr>
        <w:ind w:left="880" w:right="160" w:hanging="432"/>
        <w:spacing w:after="0" w:line="233" w:lineRule="auto"/>
        <w:tabs>
          <w:tab w:leader="none" w:pos="880" w:val="left"/>
        </w:tabs>
        <w:numPr>
          <w:ilvl w:val="0"/>
          <w:numId w:val="108"/>
        </w:numPr>
        <w:rPr>
          <w:rFonts w:ascii="MS PGothic" w:cs="MS PGothic" w:eastAsia="MS PGothic" w:hAnsi="MS PGothic"/>
          <w:sz w:val="12"/>
          <w:szCs w:val="12"/>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43"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Effects of Certain Provisions of our Certificate of Incorporation and Bylaws to be in Effect upon the Closing of this Offering</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Our certificate of incorporation to be in effect upon the closing of this offering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66 2/3%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320" w:top="448" w:right="3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on the board, even though less than a quorum. Our certificate of incorporation and bylaws will provide that all stockholder actions must be effected at a duly called meeting of stockholders and not by a consent in writing. A special meeting of stockholders may be called only by a majority of our whole board of directors, the chair of our board of directors or our chief executive officer. Our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42" w:lineRule="exact"/>
        <w:rPr>
          <w:sz w:val="20"/>
          <w:szCs w:val="20"/>
          <w:color w:val="auto"/>
        </w:rPr>
      </w:pPr>
    </w:p>
    <w:p>
      <w:pPr>
        <w:ind w:right="240"/>
        <w:spacing w:after="0" w:line="227" w:lineRule="auto"/>
        <w:rPr>
          <w:sz w:val="20"/>
          <w:szCs w:val="20"/>
          <w:color w:val="auto"/>
        </w:rPr>
      </w:pPr>
      <w:r>
        <w:rPr>
          <w:rFonts w:ascii="Arial" w:cs="Arial" w:eastAsia="Arial" w:hAnsi="Arial"/>
          <w:sz w:val="17"/>
          <w:szCs w:val="17"/>
          <w:color w:val="auto"/>
        </w:rPr>
        <w:t>Our certificate of incorporation will further provide that, immediately after this offering,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the board,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whole board of directors.</w:t>
      </w:r>
    </w:p>
    <w:p>
      <w:pPr>
        <w:spacing w:after="0" w:line="144"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42"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96"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Our amended and restated certificate of incorporation to be in effect immediately prior to the completion of this offering will provide that the Court of Chancery of the State of Delaware will be the exclusive forum for: (1) any derivative action or proceeding brought on our behalf; (2) any action or proceeding asserting a breach of fiduciary duty owed by any of our current or former directors, officers or employees to us or our stockholders; (3) any action or proceeding asserting a claim against us or any of our current or former directors, officers or other employees, arising out of or pursuant to the Delaware General Corporation Law, our certificate of incorporation or our bylaws; (4) any action or proceeding to interpret, apply, enforce or determine the validity of our certificate of incorporation or our by-laws; or (5) any action or proceeding asserting a claim against us that is governed by the internal affairs doctrine,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Several lawsuits have been filed in Delaware challenging the enforceability of similar choice of forum provisions and it is possible that a court determines such provisions are not 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82" w:lineRule="exact"/>
        <w:rPr>
          <w:sz w:val="20"/>
          <w:szCs w:val="20"/>
          <w:color w:val="auto"/>
        </w:rPr>
      </w:pPr>
    </w:p>
    <w:p>
      <w:pPr>
        <w:spacing w:after="0"/>
        <w:tabs>
          <w:tab w:leader="none" w:pos="5180" w:val="left"/>
          <w:tab w:leader="none" w:pos="8280" w:val="left"/>
        </w:tabs>
        <w:rPr>
          <w:sz w:val="20"/>
          <w:szCs w:val="20"/>
          <w:color w:val="auto"/>
        </w:rPr>
      </w:pPr>
      <w:r>
        <w:rPr>
          <w:rFonts w:ascii="Arial" w:cs="Arial" w:eastAsia="Arial" w:hAnsi="Arial"/>
          <w:sz w:val="17"/>
          <w:szCs w:val="17"/>
          <w:color w:val="auto"/>
        </w:rPr>
        <w:t>The transfer agent and registrar for our common stock will be</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4"/>
          <w:szCs w:val="14"/>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for listing of our common stock on the Nasdaq Global Market under the trading symbol “KROS.”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48" w:right="3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330"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Prior to this offering, no public market existed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128"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Based on our shares outstanding as of December 31, 2019, upon the closing of this offering, shares of our common stock will be outstanding, or shares of common stock if the underwriters exercise in full their option to purchase additional shares.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All of the shares of common stock sold in this offering will be freely tradable without restrictions or further registration under the Securities Act, except for</w:t>
      </w:r>
    </w:p>
    <w:p>
      <w:pPr>
        <w:spacing w:after="0" w:line="10"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any shares sold to our “affiliates,” as that term is defined under Rule 144 under the Securities Act. The remaining outstanding shares of common stock held by existing stockholders are “restricted securities,” as that term is defined in Rule 144 under the Securities Act. Restricted securities may be sold in the public market only if the offer and sale is registered under the Securities Act or if the offer and sale of those securities qualifies for exemption from registration, including exemptions provided by Rules 144 and 701 promulgated under the Securities Act.</w:t>
      </w:r>
    </w:p>
    <w:p>
      <w:pPr>
        <w:spacing w:after="0" w:line="145"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As a result of lock-up agreements and market standoff provisions described below and the provisions of Rules 144 and 701, the restricted securities will be available for sale in the public market as follows:</w:t>
      </w:r>
    </w:p>
    <w:p>
      <w:pPr>
        <w:spacing w:after="0" w:line="182" w:lineRule="exact"/>
        <w:rPr>
          <w:sz w:val="20"/>
          <w:szCs w:val="20"/>
          <w:color w:val="auto"/>
        </w:rPr>
      </w:pPr>
    </w:p>
    <w:p>
      <w:pPr>
        <w:ind w:left="1660" w:hanging="1212"/>
        <w:spacing w:after="0"/>
        <w:tabs>
          <w:tab w:leader="none" w:pos="1660" w:val="left"/>
        </w:tabs>
        <w:numPr>
          <w:ilvl w:val="0"/>
          <w:numId w:val="109"/>
        </w:numPr>
        <w:rPr>
          <w:rFonts w:ascii="MS PGothic" w:cs="MS PGothic" w:eastAsia="MS PGothic" w:hAnsi="MS PGothic"/>
          <w:sz w:val="12"/>
          <w:szCs w:val="12"/>
          <w:color w:val="auto"/>
        </w:rPr>
      </w:pPr>
      <w:r>
        <w:rPr>
          <w:rFonts w:ascii="Arial" w:cs="Arial" w:eastAsia="Arial" w:hAnsi="Arial"/>
          <w:sz w:val="17"/>
          <w:szCs w:val="17"/>
          <w:color w:val="auto"/>
        </w:rPr>
        <w:t>shares will be eligible for immediate sale upon the closing of this offering; and</w:t>
      </w:r>
    </w:p>
    <w:p>
      <w:pPr>
        <w:spacing w:after="0" w:line="9" w:lineRule="exact"/>
        <w:rPr>
          <w:sz w:val="20"/>
          <w:szCs w:val="20"/>
          <w:color w:val="auto"/>
        </w:rPr>
      </w:pPr>
    </w:p>
    <w:p>
      <w:pPr>
        <w:ind w:left="880" w:right="440" w:hanging="439"/>
        <w:spacing w:after="0" w:line="230" w:lineRule="auto"/>
        <w:tabs>
          <w:tab w:leader="none" w:pos="8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7"/>
          <w:szCs w:val="17"/>
          <w:color w:val="auto"/>
        </w:rPr>
        <w:t>approximately shares will be eligible for sale upon expiration of lock-up agreements and market standoff provisions described below, beginning 181 days after the date of this prospectus, subject in certain circumstances to the volume, manner of sale and other limitations under Rule 144 and Rule 701.</w:t>
      </w:r>
    </w:p>
    <w:p>
      <w:pPr>
        <w:spacing w:after="0" w:line="16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may issue shares of our common stock from time to time for a variety of corporate purposes, including in capital-raising activities through future public offerings or private placements, in connection with exercise of stock options and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common stock will have the right, under certain circumstances, to cause us to register any resale of such shares to the public.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96"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In general, non-affiliate persons who have beneficially owned restricted shares of our common stock for at least six months, and any of our affiliates who owns restricted shares of our common stock, are entitled to sell their securities without registration with the SEC under an exemption from registration provided by Rule 144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Non-Affiliates</w:t>
      </w:r>
    </w:p>
    <w:p>
      <w:pPr>
        <w:spacing w:after="0" w:line="46"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Any person who is not deemed to have been one of our affiliates at the time of, or at any time during the three months preceding, a sale may sell an unlimited number of restricted securities under Rule 144 if:</w:t>
      </w:r>
    </w:p>
    <w:p>
      <w:pPr>
        <w:spacing w:after="0" w:line="182" w:lineRule="exact"/>
        <w:rPr>
          <w:sz w:val="20"/>
          <w:szCs w:val="20"/>
          <w:color w:val="auto"/>
        </w:rPr>
      </w:pPr>
    </w:p>
    <w:p>
      <w:pPr>
        <w:ind w:left="5500" w:right="80" w:hanging="5052"/>
        <w:spacing w:after="0" w:line="400" w:lineRule="auto"/>
        <w:tabs>
          <w:tab w:leader="none" w:pos="886" w:val="left"/>
        </w:tabs>
        <w:numPr>
          <w:ilvl w:val="0"/>
          <w:numId w:val="110"/>
        </w:numPr>
        <w:rPr>
          <w:rFonts w:ascii="MS PGothic" w:cs="MS PGothic" w:eastAsia="MS PGothic" w:hAnsi="MS PGothic"/>
          <w:sz w:val="12"/>
          <w:szCs w:val="12"/>
          <w:color w:val="auto"/>
        </w:rPr>
      </w:pPr>
      <w:r>
        <w:rPr>
          <w:rFonts w:ascii="Arial" w:cs="Arial" w:eastAsia="Arial" w:hAnsi="Arial"/>
          <w:sz w:val="17"/>
          <w:szCs w:val="17"/>
          <w:color w:val="auto"/>
        </w:rPr>
        <w:t xml:space="preserve">the restricted securities have been held for at least six months, including the holding period of any prior owner other than one of our affiliates; </w:t>
      </w:r>
      <w:r>
        <w:rPr>
          <w:rFonts w:ascii="Arial" w:cs="Arial" w:eastAsia="Arial" w:hAnsi="Arial"/>
          <w:sz w:val="15"/>
          <w:szCs w:val="15"/>
          <w:color w:val="auto"/>
        </w:rPr>
        <w:t>151</w:t>
      </w:r>
    </w:p>
    <w:p>
      <w:pPr>
        <w:sectPr>
          <w:pgSz w:w="11900" w:h="16838" w:orient="portrait"/>
          <w:cols w:equalWidth="0" w:num="1">
            <w:col w:w="11240"/>
          </w:cols>
          <w:pgMar w:left="320" w:top="448" w:right="3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hanging="432"/>
        <w:spacing w:after="0"/>
        <w:tabs>
          <w:tab w:leader="none" w:pos="880" w:val="left"/>
        </w:tabs>
        <w:numPr>
          <w:ilvl w:val="0"/>
          <w:numId w:val="111"/>
        </w:numPr>
        <w:rPr>
          <w:rFonts w:ascii="MS PGothic" w:cs="MS PGothic" w:eastAsia="MS PGothic" w:hAnsi="MS PGothic"/>
          <w:sz w:val="12"/>
          <w:szCs w:val="12"/>
          <w:color w:val="auto"/>
        </w:rPr>
      </w:pPr>
      <w:r>
        <w:rPr>
          <w:rFonts w:ascii="Arial" w:cs="Arial" w:eastAsia="Arial" w:hAnsi="Arial"/>
          <w:sz w:val="17"/>
          <w:szCs w:val="17"/>
          <w:color w:val="auto"/>
        </w:rPr>
        <w:t>we have been subject to the Exchange Act periodic reporting requirements for at least 90 days before the sale;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1"/>
        </w:numPr>
        <w:rPr>
          <w:rFonts w:ascii="MS PGothic" w:cs="MS PGothic" w:eastAsia="MS PGothic" w:hAnsi="MS PGothic"/>
          <w:sz w:val="12"/>
          <w:szCs w:val="12"/>
          <w:color w:val="auto"/>
        </w:rPr>
      </w:pPr>
      <w:r>
        <w:rPr>
          <w:rFonts w:ascii="Arial" w:cs="Arial" w:eastAsia="Arial" w:hAnsi="Arial"/>
          <w:sz w:val="17"/>
          <w:szCs w:val="17"/>
          <w:color w:val="auto"/>
        </w:rPr>
        <w:t>we are current in our Exchange Act reporting at the time of sale.</w:t>
      </w:r>
    </w:p>
    <w:p>
      <w:pPr>
        <w:spacing w:after="0" w:line="14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Affiliates</w:t>
      </w:r>
    </w:p>
    <w:p>
      <w:pPr>
        <w:spacing w:after="0" w:line="33"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180"/>
          </w:cols>
          <w:pgMar w:left="320" w:top="448" w:right="399" w:bottom="1440" w:gutter="0" w:footer="0" w:header="0"/>
        </w:sectPr>
      </w:pPr>
    </w:p>
    <w:p>
      <w:pPr>
        <w:spacing w:after="0" w:line="166" w:lineRule="exact"/>
        <w:rPr>
          <w:sz w:val="20"/>
          <w:szCs w:val="20"/>
          <w:color w:val="auto"/>
        </w:rPr>
      </w:pPr>
    </w:p>
    <w:p>
      <w:pPr>
        <w:ind w:left="4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1% of the number of shares of our common stock then outstanding, which will equal approximately closing of this offering based on the number of shares outstanding as of December 31, 2019; 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the</w:t>
      </w:r>
    </w:p>
    <w:p>
      <w:pPr>
        <w:spacing w:after="0" w:line="232" w:lineRule="exact"/>
        <w:rPr>
          <w:sz w:val="20"/>
          <w:szCs w:val="20"/>
          <w:color w:val="auto"/>
        </w:rPr>
      </w:pPr>
    </w:p>
    <w:p>
      <w:pPr>
        <w:sectPr>
          <w:pgSz w:w="11900" w:h="16838" w:orient="portrait"/>
          <w:cols w:equalWidth="0" w:num="3">
            <w:col w:w="520" w:space="360"/>
            <w:col w:w="7300" w:space="720"/>
            <w:col w:w="2280"/>
          </w:cols>
          <w:pgMar w:left="320" w:top="448" w:right="399" w:bottom="1440" w:gutter="0" w:footer="0" w:header="0"/>
          <w:type w:val="continuous"/>
        </w:sectPr>
      </w:pPr>
    </w:p>
    <w:p>
      <w:pPr>
        <w:ind w:left="880" w:right="60" w:hanging="432"/>
        <w:spacing w:after="0" w:line="233" w:lineRule="auto"/>
        <w:tabs>
          <w:tab w:leader="none" w:pos="880" w:val="left"/>
        </w:tabs>
        <w:numPr>
          <w:ilvl w:val="0"/>
          <w:numId w:val="112"/>
        </w:numPr>
        <w:rPr>
          <w:rFonts w:ascii="MS PGothic" w:cs="MS PGothic" w:eastAsia="MS PGothic" w:hAnsi="MS PGothic"/>
          <w:sz w:val="12"/>
          <w:szCs w:val="12"/>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143"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Additionally, persons who are our affiliates at the time of, or any time during the three months preceding, a sale may sell unrestricted securities under the requirements of Rule 144 described above, without regard to the six month holding period of Rule 144, which does not apply to sales of unrestricted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December 31, 2019, 290,799 shares of our outstanding common stock had been issued in reliance on Rule 701 as a result of exercises of stock options and issuances of restricted stock. However, substantially all such Rule 701 shares are subject to lock-up agreements as described below and in the section of this prospectus titled “Underwriting” and will become eligible for sale upon the expiration of the restrictions set forth in those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82"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As of December 31, 2019, options to purchase an aggregate 2,526,538 shares of our common stock were outstanding. As soon as practicable after the closing of this offering, we intend to file with the SEC one or more registration statements on Form S-8 under the Securities Act to register the shares of our common stock that are issuable pursuant to our equity incentive plans. See “Executive Compensation—Equity Incentive Plans” for a description of our equity incentive plans.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8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We, all of our directors and officers and substantially all of our stockholders and option holders are subject to lock-up agreements that prohibit them from offering for sale, selling, contracting to sell, granting any option for the</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80"/>
          </w:cols>
          <w:pgMar w:left="320" w:top="448" w:right="399" w:bottom="1440" w:gutter="0" w:footer="0" w:header="0"/>
          <w:type w:val="continuous"/>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Jefferies LLC, SVB Leerink LLC and Piper Sandler &amp; Co. on behalf of the underwriters. See the section of this prospectus titled “Underwriting.”</w:t>
      </w:r>
    </w:p>
    <w:p>
      <w:pPr>
        <w:spacing w:after="0" w:line="145" w:lineRule="exact"/>
        <w:rPr>
          <w:sz w:val="20"/>
          <w:szCs w:val="20"/>
          <w:color w:val="auto"/>
        </w:rPr>
      </w:pPr>
    </w:p>
    <w:p>
      <w:pPr>
        <w:ind w:right="360"/>
        <w:spacing w:after="0" w:line="271" w:lineRule="auto"/>
        <w:rPr>
          <w:sz w:val="20"/>
          <w:szCs w:val="20"/>
          <w:color w:val="auto"/>
        </w:rPr>
      </w:pPr>
      <w:r>
        <w:rPr>
          <w:rFonts w:ascii="Arial" w:cs="Arial" w:eastAsia="Arial" w:hAnsi="Arial"/>
          <w:sz w:val="15"/>
          <w:szCs w:val="15"/>
          <w:color w:val="auto"/>
        </w:rPr>
        <w:t>In addition to the restrictions contained in the lock-up agreements described above, we have entered into agreements with certain security holders, including the investor rights agreement and our standard form option agreement, that contain market stand-off provisions imposing restrictions on the ability of such security holders to offer, sell or transfer our equity securities for a period of 180 days following the date of this prospectus.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96"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Upon the closing of this offering, the holders of 16,358,871 shares of our common stock, or their transferees, will be entitled to specified rights with respect to the registration of the offer and sale of their shares under the Securities Act. Registration of the offer and sale of these shares under the Securities Act would result in the shares becoming freely tradable without restriction under the Securities Act immediately upon the effectiveness of the registration. See the section of this prospectus titled “Description of Capital Stock—Registration Rights” for additional information.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48" w:right="3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33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Internal Revenue Code of 1986, as amended, or the Code, Treasury Regulations promulgated thereunder, judicial decisions, and published rulings and administrative pronouncements of the Internal Revenue Service, or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3"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an individual holder in light of such holder’s particular circumstances. This discussion also does not consider any specific facts or circumstances that may be relevant to holders subject to special rules under the U.S. federal income tax laws, including:</w:t>
      </w:r>
    </w:p>
    <w:p>
      <w:pPr>
        <w:spacing w:after="0" w:line="165" w:lineRule="exact"/>
        <w:rPr>
          <w:sz w:val="20"/>
          <w:szCs w:val="20"/>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certain former citizens or long-term residents of the United States;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partnerships or other pass-through entities (and investors therein);</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“controlled foreign corporations”;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“passive foreign investment companies”;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corporations that accumulate earnings to avoid U.S. federal income tax;</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tax-exempt organizations and governmental organizations;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tax-qualified retirement plans;</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persons subject to special tax accounting rules under Section 451(b) of the Code;</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26" w:lineRule="exact"/>
        <w:rPr>
          <w:rFonts w:ascii="MS PGothic" w:cs="MS PGothic" w:eastAsia="MS PGothic" w:hAnsi="MS PGothic"/>
          <w:sz w:val="12"/>
          <w:szCs w:val="12"/>
          <w:color w:val="auto"/>
        </w:rPr>
      </w:pPr>
    </w:p>
    <w:p>
      <w:pPr>
        <w:ind w:left="880" w:right="460" w:hanging="432"/>
        <w:spacing w:after="0" w:line="233" w:lineRule="auto"/>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persons that own or have owned, actually or constructively, more than 5% of our common stock;</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persons who have elected to mark securities to market; and</w:t>
      </w:r>
    </w:p>
    <w:p>
      <w:pPr>
        <w:spacing w:after="0" w:line="26" w:lineRule="exact"/>
        <w:rPr>
          <w:rFonts w:ascii="MS PGothic" w:cs="MS PGothic" w:eastAsia="MS PGothic" w:hAnsi="MS PGothic"/>
          <w:sz w:val="12"/>
          <w:szCs w:val="12"/>
          <w:color w:val="auto"/>
        </w:rPr>
      </w:pPr>
    </w:p>
    <w:p>
      <w:pPr>
        <w:ind w:left="880" w:right="240" w:hanging="432"/>
        <w:spacing w:after="0" w:line="233" w:lineRule="auto"/>
        <w:tabs>
          <w:tab w:leader="none" w:pos="880" w:val="left"/>
        </w:tabs>
        <w:numPr>
          <w:ilvl w:val="0"/>
          <w:numId w:val="113"/>
        </w:numPr>
        <w:rPr>
          <w:rFonts w:ascii="MS PGothic" w:cs="MS PGothic" w:eastAsia="MS PGothic" w:hAnsi="MS PGothic"/>
          <w:sz w:val="12"/>
          <w:szCs w:val="12"/>
          <w:color w:val="auto"/>
        </w:rPr>
      </w:pPr>
      <w:r>
        <w:rPr>
          <w:rFonts w:ascii="Arial" w:cs="Arial" w:eastAsia="Arial" w:hAnsi="Arial"/>
          <w:sz w:val="17"/>
          <w:szCs w:val="17"/>
          <w:color w:val="auto"/>
        </w:rPr>
        <w:t>persons holding our common stock as part of a hedging or conversion transaction or straddle, or a constructive sale, or other risk reduction strategy or integrated investment.</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2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40"/>
          </w:cols>
          <w:pgMar w:left="320" w:top="448" w:right="3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Non-U.S. Holder</w:t>
      </w:r>
    </w:p>
    <w:p>
      <w:pPr>
        <w:spacing w:after="0" w:line="96"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82" w:lineRule="exact"/>
        <w:rPr>
          <w:sz w:val="20"/>
          <w:szCs w:val="20"/>
          <w:color w:val="auto"/>
        </w:rPr>
      </w:pPr>
    </w:p>
    <w:p>
      <w:pPr>
        <w:ind w:left="880" w:hanging="432"/>
        <w:spacing w:after="0"/>
        <w:tabs>
          <w:tab w:leader="none" w:pos="880" w:val="left"/>
        </w:tabs>
        <w:numPr>
          <w:ilvl w:val="0"/>
          <w:numId w:val="114"/>
        </w:numPr>
        <w:rPr>
          <w:rFonts w:ascii="MS PGothic" w:cs="MS PGothic" w:eastAsia="MS PGothic" w:hAnsi="MS PGothic"/>
          <w:sz w:val="12"/>
          <w:szCs w:val="12"/>
          <w:color w:val="auto"/>
        </w:rPr>
      </w:pPr>
      <w:r>
        <w:rPr>
          <w:rFonts w:ascii="Arial" w:cs="Arial" w:eastAsia="Arial" w:hAnsi="Arial"/>
          <w:sz w:val="17"/>
          <w:szCs w:val="17"/>
          <w:color w:val="auto"/>
        </w:rPr>
        <w:t>an individual who is a citizen or resident of the United States;</w:t>
      </w:r>
    </w:p>
    <w:p>
      <w:pPr>
        <w:spacing w:after="0" w:line="26" w:lineRule="exact"/>
        <w:rPr>
          <w:rFonts w:ascii="MS PGothic" w:cs="MS PGothic" w:eastAsia="MS PGothic" w:hAnsi="MS PGothic"/>
          <w:sz w:val="12"/>
          <w:szCs w:val="12"/>
          <w:color w:val="auto"/>
        </w:rPr>
      </w:pPr>
    </w:p>
    <w:p>
      <w:pPr>
        <w:ind w:left="880" w:right="180" w:hanging="432"/>
        <w:spacing w:after="0" w:line="233" w:lineRule="auto"/>
        <w:tabs>
          <w:tab w:leader="none" w:pos="880" w:val="left"/>
        </w:tabs>
        <w:numPr>
          <w:ilvl w:val="0"/>
          <w:numId w:val="114"/>
        </w:numPr>
        <w:rPr>
          <w:rFonts w:ascii="MS PGothic" w:cs="MS PGothic" w:eastAsia="MS PGothic" w:hAnsi="MS PGothic"/>
          <w:sz w:val="12"/>
          <w:szCs w:val="12"/>
          <w:color w:val="auto"/>
        </w:rPr>
      </w:pPr>
      <w:r>
        <w:rPr>
          <w:rFonts w:ascii="Arial" w:cs="Arial" w:eastAsia="Arial" w:hAnsi="Arial"/>
          <w:sz w:val="17"/>
          <w:szCs w:val="17"/>
          <w:color w:val="auto"/>
        </w:rPr>
        <w:t>a corporation (including any entity treated as a corporation for U.S. federal income tax purposes) created or organized under the laws of the United States, any state thereof or the District of Columbia;</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14"/>
        </w:numPr>
        <w:rPr>
          <w:rFonts w:ascii="MS PGothic" w:cs="MS PGothic" w:eastAsia="MS PGothic" w:hAnsi="MS PGothic"/>
          <w:sz w:val="12"/>
          <w:szCs w:val="12"/>
          <w:color w:val="auto"/>
        </w:rPr>
      </w:pPr>
      <w:r>
        <w:rPr>
          <w:rFonts w:ascii="Arial" w:cs="Arial" w:eastAsia="Arial" w:hAnsi="Arial"/>
          <w:sz w:val="17"/>
          <w:szCs w:val="17"/>
          <w:color w:val="auto"/>
        </w:rPr>
        <w:t>an estate, the income of which is subject to U.S. federal income tax regardless of its source; or</w:t>
      </w:r>
    </w:p>
    <w:p>
      <w:pPr>
        <w:spacing w:after="0" w:line="26" w:lineRule="exact"/>
        <w:rPr>
          <w:rFonts w:ascii="MS PGothic" w:cs="MS PGothic" w:eastAsia="MS PGothic" w:hAnsi="MS PGothic"/>
          <w:sz w:val="12"/>
          <w:szCs w:val="12"/>
          <w:color w:val="auto"/>
        </w:rPr>
      </w:pPr>
    </w:p>
    <w:p>
      <w:pPr>
        <w:ind w:left="880" w:right="220" w:hanging="432"/>
        <w:spacing w:after="0" w:line="230" w:lineRule="auto"/>
        <w:tabs>
          <w:tab w:leader="none" w:pos="880" w:val="left"/>
        </w:tabs>
        <w:numPr>
          <w:ilvl w:val="0"/>
          <w:numId w:val="114"/>
        </w:numPr>
        <w:rPr>
          <w:rFonts w:ascii="MS PGothic" w:cs="MS PGothic" w:eastAsia="MS PGothic" w:hAnsi="MS PGothic"/>
          <w:sz w:val="12"/>
          <w:szCs w:val="12"/>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82"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amount distributed will be treated as gain realized on the sale or other disposition of our common stock and will be treated as described under “—Gain On Disposition of Our Common Stock” below.</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46"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 certifying that the dividends are effectively connected with the non-U.S. holder’s conduct of trade or business within the United States.</w:t>
      </w:r>
    </w:p>
    <w:p>
      <w:pPr>
        <w:spacing w:after="0" w:line="142"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5"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0"/>
          </w:cols>
          <w:pgMar w:left="320" w:top="448" w:right="3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Our Common Stock</w:t>
      </w:r>
    </w:p>
    <w:p>
      <w:pPr>
        <w:spacing w:after="0" w:line="96"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subject to U.S. federal income tax on any gain realized on the sale or other disposition of our common stock, unless:</w:t>
      </w:r>
    </w:p>
    <w:p>
      <w:pPr>
        <w:spacing w:after="0" w:line="182" w:lineRule="exact"/>
        <w:rPr>
          <w:sz w:val="20"/>
          <w:szCs w:val="20"/>
          <w:color w:val="auto"/>
        </w:rPr>
      </w:pPr>
    </w:p>
    <w:p>
      <w:pPr>
        <w:ind w:left="880" w:right="500" w:hanging="432"/>
        <w:spacing w:after="0" w:line="230" w:lineRule="auto"/>
        <w:tabs>
          <w:tab w:leader="none" w:pos="880" w:val="left"/>
        </w:tabs>
        <w:numPr>
          <w:ilvl w:val="0"/>
          <w:numId w:val="115"/>
        </w:numPr>
        <w:rPr>
          <w:rFonts w:ascii="MS PGothic" w:cs="MS PGothic" w:eastAsia="MS PGothic" w:hAnsi="MS PGothic"/>
          <w:sz w:val="12"/>
          <w:szCs w:val="12"/>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25" w:lineRule="exact"/>
        <w:rPr>
          <w:rFonts w:ascii="MS PGothic" w:cs="MS PGothic" w:eastAsia="MS PGothic" w:hAnsi="MS PGothic"/>
          <w:sz w:val="12"/>
          <w:szCs w:val="12"/>
          <w:color w:val="auto"/>
        </w:rPr>
      </w:pPr>
    </w:p>
    <w:p>
      <w:pPr>
        <w:ind w:left="880" w:right="720" w:hanging="432"/>
        <w:spacing w:after="0" w:line="233" w:lineRule="auto"/>
        <w:tabs>
          <w:tab w:leader="none" w:pos="880" w:val="left"/>
        </w:tabs>
        <w:numPr>
          <w:ilvl w:val="0"/>
          <w:numId w:val="115"/>
        </w:numPr>
        <w:rPr>
          <w:rFonts w:ascii="MS PGothic" w:cs="MS PGothic" w:eastAsia="MS PGothic" w:hAnsi="MS PGothic"/>
          <w:sz w:val="12"/>
          <w:szCs w:val="12"/>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25" w:lineRule="exact"/>
        <w:rPr>
          <w:rFonts w:ascii="MS PGothic" w:cs="MS PGothic" w:eastAsia="MS PGothic" w:hAnsi="MS PGothic"/>
          <w:sz w:val="12"/>
          <w:szCs w:val="12"/>
          <w:color w:val="auto"/>
        </w:rPr>
      </w:pPr>
    </w:p>
    <w:p>
      <w:pPr>
        <w:ind w:left="880" w:right="300" w:hanging="432"/>
        <w:spacing w:after="0" w:line="228" w:lineRule="auto"/>
        <w:tabs>
          <w:tab w:leader="none" w:pos="880" w:val="left"/>
        </w:tabs>
        <w:numPr>
          <w:ilvl w:val="0"/>
          <w:numId w:val="115"/>
        </w:numPr>
        <w:rPr>
          <w:rFonts w:ascii="MS PGothic" w:cs="MS PGothic" w:eastAsia="MS PGothic" w:hAnsi="MS PGothic"/>
          <w:sz w:val="12"/>
          <w:szCs w:val="12"/>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or a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45" w:lineRule="exact"/>
        <w:rPr>
          <w:sz w:val="20"/>
          <w:szCs w:val="20"/>
          <w:color w:val="auto"/>
        </w:rPr>
      </w:pPr>
    </w:p>
    <w:p>
      <w:pPr>
        <w:jc w:val="both"/>
        <w:ind w:right="140"/>
        <w:spacing w:after="0" w:line="230"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8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4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Withholding on Foreign Entities</w:t>
      </w:r>
    </w:p>
    <w:p>
      <w:pPr>
        <w:spacing w:after="0" w:line="82"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Sections 1471 through 1474 of the Code, which are commonly referred to as FATCA, impose a U.S. federal withholding tax of 30% on certain payments made to a “foreign financial institution” (as specially defined under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20"/>
          </w:cols>
          <w:pgMar w:left="320" w:top="448" w:right="3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 However, the Treasury Department has recently proposed regulations which, if finalized in their present form, would eliminate the federal withholding tax of 30% applicable to gross proceeds from a disposition of our common stock. In its preamble to such proposed regulations, the Treasury Department stated that taxpayers may generally rely on the proposed regulations until final regulations are issued.</w:t>
      </w:r>
    </w:p>
    <w:p>
      <w:pPr>
        <w:spacing w:after="0" w:line="142"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this legislation on their investment in our common stock.</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00"/>
          </w:cols>
          <w:pgMar w:left="320" w:top="448" w:right="3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330"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Subject to the terms and conditions set forth in the underwriting agreement, dated , 2020, among us and Jefferies LLC, SVB Leerink LLC and Piper Sandler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71367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75"/>
        </w:trPr>
        <w:tc>
          <w:tcPr>
            <w:tcW w:w="10100" w:type="dxa"/>
            <w:vAlign w:val="bottom"/>
            <w:gridSpan w:val="2"/>
            <w:vMerge w:val="continue"/>
          </w:tcPr>
          <w:p>
            <w:pPr>
              <w:spacing w:after="0"/>
              <w:rPr>
                <w:sz w:val="15"/>
                <w:szCs w:val="15"/>
                <w:color w:val="auto"/>
              </w:rPr>
            </w:pPr>
          </w:p>
        </w:tc>
        <w:tc>
          <w:tcPr>
            <w:tcW w:w="114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rPr>
              <w:t>Jefferies LLC</w:t>
            </w:r>
          </w:p>
        </w:tc>
        <w:tc>
          <w:tcPr>
            <w:tcW w:w="90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100" w:type="dxa"/>
            <w:vAlign w:val="bottom"/>
            <w:gridSpan w:val="2"/>
          </w:tcPr>
          <w:p>
            <w:pPr>
              <w:spacing w:after="0" w:line="183" w:lineRule="exact"/>
              <w:rPr>
                <w:sz w:val="20"/>
                <w:szCs w:val="20"/>
                <w:color w:val="auto"/>
              </w:rPr>
            </w:pPr>
            <w:r>
              <w:rPr>
                <w:rFonts w:ascii="Arial" w:cs="Arial" w:eastAsia="Arial" w:hAnsi="Arial"/>
                <w:sz w:val="17"/>
                <w:szCs w:val="17"/>
                <w:color w:val="auto"/>
              </w:rPr>
              <w:t>SVB Leerink LLC</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1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Piper Sandler &amp; Co.</w:t>
            </w: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100" w:type="dxa"/>
            <w:vAlign w:val="bottom"/>
            <w:gridSpan w:val="2"/>
          </w:tcPr>
          <w:p>
            <w:pPr>
              <w:spacing w:after="0" w:line="183" w:lineRule="exact"/>
              <w:rPr>
                <w:sz w:val="20"/>
                <w:szCs w:val="20"/>
                <w:color w:val="auto"/>
              </w:rPr>
            </w:pPr>
            <w:r>
              <w:rPr>
                <w:rFonts w:ascii="Arial" w:cs="Arial" w:eastAsia="Arial" w:hAnsi="Arial"/>
                <w:sz w:val="17"/>
                <w:szCs w:val="17"/>
                <w:color w:val="auto"/>
              </w:rPr>
              <w:t>H.C. Wainwright &amp; Co., LLC</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10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Borders>
              <w:bottom w:val="single" w:sz="8" w:color="auto"/>
            </w:tcBorders>
          </w:tcPr>
          <w:p>
            <w:pPr>
              <w:spacing w:after="0"/>
              <w:rPr>
                <w:sz w:val="17"/>
                <w:szCs w:val="17"/>
                <w:color w:val="auto"/>
              </w:rPr>
            </w:pPr>
          </w:p>
        </w:tc>
        <w:tc>
          <w:tcPr>
            <w:tcW w:w="9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42" w:lineRule="exact"/>
        <w:rPr>
          <w:sz w:val="20"/>
          <w:szCs w:val="20"/>
          <w:color w:val="auto"/>
        </w:rPr>
      </w:pPr>
    </w:p>
    <w:p>
      <w:pPr>
        <w:jc w:val="both"/>
        <w:ind w:right="240"/>
        <w:spacing w:after="0" w:line="230"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jc w:val="both"/>
        <w:ind w:right="20"/>
        <w:spacing w:after="0" w:line="224"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 share</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40"/>
          </w:cols>
          <w:pgMar w:left="320" w:top="448" w:right="3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2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 SHARE</w:t>
            </w:r>
          </w:p>
        </w:tc>
        <w:tc>
          <w:tcPr>
            <w:tcW w:w="21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TOTAL</w:t>
            </w:r>
          </w:p>
        </w:tc>
      </w:tr>
      <w:tr>
        <w:trPr>
          <w:trHeight w:val="138"/>
        </w:trPr>
        <w:tc>
          <w:tcPr>
            <w:tcW w:w="5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7"/>
              </w:rPr>
              <w:t>WITHOUT</w:t>
            </w:r>
          </w:p>
        </w:tc>
        <w:tc>
          <w:tcPr>
            <w:tcW w:w="8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WITH</w:t>
            </w:r>
          </w:p>
        </w:tc>
        <w:tc>
          <w:tcPr>
            <w:tcW w:w="40" w:type="dxa"/>
            <w:vAlign w:val="bottom"/>
          </w:tcPr>
          <w:p>
            <w:pPr>
              <w:spacing w:after="0"/>
              <w:rPr>
                <w:sz w:val="12"/>
                <w:szCs w:val="12"/>
                <w:color w:val="auto"/>
              </w:rPr>
            </w:pPr>
          </w:p>
        </w:tc>
      </w:tr>
      <w:tr>
        <w:trPr>
          <w:trHeight w:val="157"/>
        </w:trPr>
        <w:tc>
          <w:tcPr>
            <w:tcW w:w="5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OPTION TO</w:t>
            </w:r>
          </w:p>
        </w:tc>
        <w:tc>
          <w:tcPr>
            <w:tcW w:w="11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OPTION TO</w:t>
            </w:r>
          </w:p>
        </w:tc>
        <w:tc>
          <w:tcPr>
            <w:tcW w:w="11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OPTION TO</w:t>
            </w:r>
          </w:p>
        </w:tc>
        <w:tc>
          <w:tcPr>
            <w:tcW w:w="9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OPTION TO</w:t>
            </w:r>
          </w:p>
        </w:tc>
      </w:tr>
      <w:tr>
        <w:trPr>
          <w:trHeight w:val="157"/>
        </w:trPr>
        <w:tc>
          <w:tcPr>
            <w:tcW w:w="5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PURCHASE</w:t>
            </w: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PURCHASE</w:t>
            </w: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PURCHASE</w:t>
            </w:r>
          </w:p>
        </w:tc>
        <w:tc>
          <w:tcPr>
            <w:tcW w:w="9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9"/>
              </w:rPr>
              <w:t>PURCHASE</w:t>
            </w:r>
          </w:p>
        </w:tc>
      </w:tr>
      <w:tr>
        <w:trPr>
          <w:trHeight w:val="157"/>
        </w:trPr>
        <w:tc>
          <w:tcPr>
            <w:tcW w:w="5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ADDITIONAL</w:t>
            </w: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ADDITIONAL</w:t>
            </w: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ADDITIONAL</w:t>
            </w:r>
          </w:p>
        </w:tc>
        <w:tc>
          <w:tcPr>
            <w:tcW w:w="9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8"/>
        </w:trPr>
        <w:tc>
          <w:tcPr>
            <w:tcW w:w="5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SHARES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SHARES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SHARES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SHARES</w:t>
            </w:r>
          </w:p>
        </w:tc>
      </w:tr>
      <w:tr>
        <w:trPr>
          <w:trHeight w:val="176"/>
        </w:trPr>
        <w:tc>
          <w:tcPr>
            <w:tcW w:w="53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Public offering price</w:t>
            </w:r>
          </w:p>
        </w:tc>
        <w:tc>
          <w:tcPr>
            <w:tcW w:w="15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9"/>
              <w:spacing w:after="0" w:line="176"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76"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76"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76" w:lineRule="exact"/>
              <w:rPr>
                <w:sz w:val="20"/>
                <w:szCs w:val="20"/>
                <w:color w:val="auto"/>
              </w:rPr>
            </w:pPr>
            <w:r>
              <w:rPr>
                <w:rFonts w:ascii="Arial" w:cs="Arial" w:eastAsia="Arial" w:hAnsi="Arial"/>
                <w:sz w:val="17"/>
                <w:szCs w:val="17"/>
                <w:color w:val="auto"/>
                <w:w w:val="84"/>
              </w:rPr>
              <w:t>$</w:t>
            </w:r>
          </w:p>
        </w:tc>
        <w:tc>
          <w:tcPr>
            <w:tcW w:w="40" w:type="dxa"/>
            <w:vAlign w:val="bottom"/>
            <w:tcBorders>
              <w:top w:val="single" w:sz="8" w:color="CCEEFF"/>
            </w:tcBorders>
            <w:shd w:val="clear" w:color="auto" w:fill="CCEEFF"/>
          </w:tcPr>
          <w:p>
            <w:pPr>
              <w:spacing w:after="0"/>
              <w:rPr>
                <w:sz w:val="15"/>
                <w:szCs w:val="15"/>
                <w:color w:val="auto"/>
              </w:rPr>
            </w:pPr>
          </w:p>
        </w:tc>
      </w:tr>
      <w:tr>
        <w:trPr>
          <w:trHeight w:val="183"/>
        </w:trPr>
        <w:tc>
          <w:tcPr>
            <w:tcW w:w="5300" w:type="dxa"/>
            <w:vAlign w:val="bottom"/>
          </w:tcPr>
          <w:p>
            <w:pPr>
              <w:spacing w:after="0" w:line="183" w:lineRule="exact"/>
              <w:rPr>
                <w:sz w:val="20"/>
                <w:szCs w:val="20"/>
                <w:color w:val="auto"/>
              </w:rPr>
            </w:pPr>
            <w:r>
              <w:rPr>
                <w:rFonts w:ascii="Arial" w:cs="Arial" w:eastAsia="Arial" w:hAnsi="Arial"/>
                <w:sz w:val="17"/>
                <w:szCs w:val="17"/>
                <w:color w:val="auto"/>
              </w:rPr>
              <w:t>Underwriting discounts and commissions paid by us</w:t>
            </w:r>
          </w:p>
        </w:tc>
        <w:tc>
          <w:tcPr>
            <w:tcW w:w="2400" w:type="dxa"/>
            <w:vAlign w:val="bottom"/>
            <w:gridSpan w:val="2"/>
          </w:tcPr>
          <w:p>
            <w:pPr>
              <w:jc w:val="right"/>
              <w:ind w:right="709"/>
              <w:spacing w:after="0" w:line="183"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880" w:type="dxa"/>
            <w:vAlign w:val="bottom"/>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5"/>
                <w:szCs w:val="15"/>
                <w:color w:val="auto"/>
              </w:rPr>
            </w:pPr>
          </w:p>
        </w:tc>
        <w:tc>
          <w:tcPr>
            <w:tcW w:w="880" w:type="dxa"/>
            <w:vAlign w:val="bottom"/>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5"/>
                <w:szCs w:val="15"/>
                <w:color w:val="auto"/>
              </w:rPr>
            </w:pPr>
          </w:p>
        </w:tc>
        <w:tc>
          <w:tcPr>
            <w:tcW w:w="900" w:type="dxa"/>
            <w:vAlign w:val="bottom"/>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5"/>
                <w:szCs w:val="15"/>
                <w:color w:val="auto"/>
              </w:rPr>
            </w:pPr>
          </w:p>
        </w:tc>
      </w:tr>
      <w:tr>
        <w:trPr>
          <w:trHeight w:val="183"/>
        </w:trPr>
        <w:tc>
          <w:tcPr>
            <w:tcW w:w="5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to us, before expenses</w:t>
            </w:r>
          </w:p>
        </w:tc>
        <w:tc>
          <w:tcPr>
            <w:tcW w:w="2400" w:type="dxa"/>
            <w:vAlign w:val="bottom"/>
            <w:gridSpan w:val="2"/>
            <w:shd w:val="clear" w:color="auto" w:fill="CCEEFF"/>
          </w:tcPr>
          <w:p>
            <w:pPr>
              <w:jc w:val="right"/>
              <w:ind w:right="709"/>
              <w:spacing w:after="0" w:line="183"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We estimate expenses payable by us in connection with this offering, other than the underwriting discounts and commissions referred to above, will be</w:t>
      </w:r>
    </w:p>
    <w:p>
      <w:pPr>
        <w:spacing w:after="0" w:line="1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approximately $ . We have agreed to reimburse the underwriters for certain of their expenses incurred in connection with this offering in an amount not to exceed $ .</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82"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5" w:lineRule="exact"/>
        <w:rPr>
          <w:sz w:val="20"/>
          <w:szCs w:val="20"/>
          <w:color w:val="auto"/>
        </w:rPr>
      </w:pPr>
    </w:p>
    <w:p>
      <w:pPr>
        <w:ind w:right="780"/>
        <w:spacing w:after="0" w:line="23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for listing of our common stock on the Nasdaq Global Market under the trading symbol “KROS.”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82" w:lineRule="exact"/>
        <w:rPr>
          <w:sz w:val="20"/>
          <w:szCs w:val="20"/>
          <w:color w:val="auto"/>
        </w:rPr>
      </w:pPr>
    </w:p>
    <w:p>
      <w:pPr>
        <w:ind w:right="540"/>
        <w:spacing w:after="0" w:line="233"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spacing w:after="0" w:line="228" w:lineRule="auto"/>
        <w:rPr>
          <w:sz w:val="20"/>
          <w:szCs w:val="20"/>
          <w:color w:val="auto"/>
        </w:rPr>
      </w:pPr>
      <w:r>
        <w:rPr>
          <w:rFonts w:ascii="Arial" w:cs="Arial" w:eastAsia="Arial" w:hAnsi="Arial"/>
          <w:sz w:val="17"/>
          <w:szCs w:val="17"/>
          <w:color w:val="auto"/>
        </w:rPr>
        <w:t>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9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We, our officers, directors and holders of substantially all our outstanding capital stock and other securities have agreed, subject to specified exceptions, not to directly or indirectly:</w:t>
      </w:r>
    </w:p>
    <w:p>
      <w:pPr>
        <w:spacing w:after="0" w:line="182" w:lineRule="exact"/>
        <w:rPr>
          <w:sz w:val="20"/>
          <w:szCs w:val="20"/>
          <w:color w:val="auto"/>
        </w:rPr>
      </w:pPr>
    </w:p>
    <w:p>
      <w:pPr>
        <w:ind w:left="880" w:right="80" w:hanging="432"/>
        <w:spacing w:after="0" w:line="233" w:lineRule="auto"/>
        <w:tabs>
          <w:tab w:leader="none" w:pos="880" w:val="left"/>
        </w:tabs>
        <w:numPr>
          <w:ilvl w:val="0"/>
          <w:numId w:val="116"/>
        </w:numPr>
        <w:rPr>
          <w:rFonts w:ascii="MS PGothic" w:cs="MS PGothic" w:eastAsia="MS PGothic" w:hAnsi="MS PGothic"/>
          <w:sz w:val="12"/>
          <w:szCs w:val="12"/>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40"/>
          </w:cols>
          <w:pgMar w:left="320" w:top="448" w:right="3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880" w:right="360" w:hanging="432"/>
        <w:spacing w:after="0" w:line="269" w:lineRule="auto"/>
        <w:tabs>
          <w:tab w:leader="none" w:pos="880" w:val="left"/>
        </w:tabs>
        <w:numPr>
          <w:ilvl w:val="0"/>
          <w:numId w:val="117"/>
        </w:numPr>
        <w:rPr>
          <w:rFonts w:ascii="MS PGothic" w:cs="MS PGothic" w:eastAsia="MS PGothic" w:hAnsi="MS PGothic"/>
          <w:sz w:val="11"/>
          <w:szCs w:val="11"/>
          <w:color w:val="auto"/>
        </w:rPr>
      </w:pPr>
      <w:r>
        <w:rPr>
          <w:rFonts w:ascii="Arial" w:cs="Arial" w:eastAsia="Arial" w:hAnsi="Arial"/>
          <w:sz w:val="15"/>
          <w:szCs w:val="15"/>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8" w:lineRule="exact"/>
        <w:rPr>
          <w:rFonts w:ascii="MS PGothic" w:cs="MS PGothic" w:eastAsia="MS PGothic" w:hAnsi="MS PGothic"/>
          <w:sz w:val="11"/>
          <w:szCs w:val="11"/>
          <w:color w:val="auto"/>
        </w:rPr>
      </w:pPr>
    </w:p>
    <w:p>
      <w:pPr>
        <w:ind w:left="880" w:right="320" w:hanging="432"/>
        <w:spacing w:after="0" w:line="233" w:lineRule="auto"/>
        <w:tabs>
          <w:tab w:leader="none" w:pos="880" w:val="left"/>
        </w:tabs>
        <w:numPr>
          <w:ilvl w:val="0"/>
          <w:numId w:val="117"/>
        </w:numPr>
        <w:rPr>
          <w:rFonts w:ascii="MS PGothic" w:cs="MS PGothic" w:eastAsia="MS PGothic" w:hAnsi="MS PGothic"/>
          <w:sz w:val="12"/>
          <w:szCs w:val="12"/>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SVB Leerink LLC and Piper Sandler &amp; Co.</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44" w:lineRule="exact"/>
        <w:rPr>
          <w:sz w:val="20"/>
          <w:szCs w:val="20"/>
          <w:color w:val="auto"/>
        </w:rPr>
      </w:pPr>
    </w:p>
    <w:p>
      <w:pPr>
        <w:jc w:val="both"/>
        <w:ind w:right="280"/>
        <w:spacing w:after="0" w:line="271" w:lineRule="auto"/>
        <w:rPr>
          <w:sz w:val="20"/>
          <w:szCs w:val="20"/>
          <w:color w:val="auto"/>
        </w:rPr>
      </w:pPr>
      <w:r>
        <w:rPr>
          <w:rFonts w:ascii="Arial" w:cs="Arial" w:eastAsia="Arial" w:hAnsi="Arial"/>
          <w:sz w:val="15"/>
          <w:szCs w:val="15"/>
          <w:color w:val="auto"/>
        </w:rPr>
        <w:t>Jefferies LLC, SVB Leerink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96"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42" w:lineRule="exact"/>
        <w:rPr>
          <w:sz w:val="20"/>
          <w:szCs w:val="20"/>
          <w:color w:val="auto"/>
        </w:rPr>
      </w:pPr>
    </w:p>
    <w:p>
      <w:pPr>
        <w:ind w:right="280"/>
        <w:spacing w:after="0" w:line="228"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5"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6"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40"/>
          </w:cols>
          <w:pgMar w:left="320" w:top="448" w:right="3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96"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82" w:lineRule="exact"/>
        <w:rPr>
          <w:sz w:val="20"/>
          <w:szCs w:val="20"/>
          <w:color w:val="auto"/>
        </w:rPr>
      </w:pPr>
    </w:p>
    <w:p>
      <w:pPr>
        <w:ind w:right="320"/>
        <w:spacing w:after="0" w:line="265" w:lineRule="auto"/>
        <w:rPr>
          <w:sz w:val="20"/>
          <w:szCs w:val="20"/>
          <w:color w:val="auto"/>
        </w:rPr>
      </w:pPr>
      <w:r>
        <w:rPr>
          <w:rFonts w:ascii="Arial" w:cs="Arial" w:eastAsia="Arial" w:hAnsi="Arial"/>
          <w:sz w:val="15"/>
          <w:szCs w:val="15"/>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6"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EEA</w:t>
      </w:r>
    </w:p>
    <w:p>
      <w:pPr>
        <w:spacing w:after="0" w:line="46"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Regulation, or each, a Relevant Member State, no offer of shares of our common stock which are the subject of the offering contemplated by this prospectus supplement has been or will be made to the public in that Relevant Member State, except that with effect from and including the Relevant Implementation Date, an offer of such shares of our common stock may be made to the public in that Relevant Member State:</w:t>
      </w:r>
    </w:p>
    <w:p>
      <w:pPr>
        <w:spacing w:after="0" w:line="184" w:lineRule="exact"/>
        <w:rPr>
          <w:sz w:val="20"/>
          <w:szCs w:val="20"/>
          <w:color w:val="auto"/>
        </w:rPr>
      </w:pPr>
    </w:p>
    <w:p>
      <w:pPr>
        <w:ind w:left="880" w:hanging="432"/>
        <w:spacing w:after="0"/>
        <w:tabs>
          <w:tab w:leader="none" w:pos="880" w:val="left"/>
        </w:tabs>
        <w:numPr>
          <w:ilvl w:val="0"/>
          <w:numId w:val="118"/>
        </w:numPr>
        <w:rPr>
          <w:rFonts w:ascii="MS PGothic" w:cs="MS PGothic" w:eastAsia="MS PGothic" w:hAnsi="MS PGothic"/>
          <w:sz w:val="12"/>
          <w:szCs w:val="12"/>
          <w:color w:val="auto"/>
        </w:rPr>
      </w:pPr>
      <w:r>
        <w:rPr>
          <w:rFonts w:ascii="Arial" w:cs="Arial" w:eastAsia="Arial" w:hAnsi="Arial"/>
          <w:sz w:val="17"/>
          <w:szCs w:val="17"/>
          <w:color w:val="auto"/>
        </w:rPr>
        <w:t>to any legal entity which is a “qualified investor” as defined in the Prospectus Regulation;</w:t>
      </w:r>
    </w:p>
    <w:p>
      <w:pPr>
        <w:spacing w:after="0" w:line="26" w:lineRule="exact"/>
        <w:rPr>
          <w:rFonts w:ascii="MS PGothic" w:cs="MS PGothic" w:eastAsia="MS PGothic" w:hAnsi="MS PGothic"/>
          <w:sz w:val="12"/>
          <w:szCs w:val="12"/>
          <w:color w:val="auto"/>
        </w:rPr>
      </w:pPr>
    </w:p>
    <w:p>
      <w:pPr>
        <w:ind w:left="880" w:right="340" w:hanging="432"/>
        <w:spacing w:after="0" w:line="233" w:lineRule="auto"/>
        <w:tabs>
          <w:tab w:leader="none" w:pos="880" w:val="left"/>
        </w:tabs>
        <w:numPr>
          <w:ilvl w:val="0"/>
          <w:numId w:val="118"/>
        </w:numPr>
        <w:rPr>
          <w:rFonts w:ascii="MS PGothic" w:cs="MS PGothic" w:eastAsia="MS PGothic" w:hAnsi="MS PGothic"/>
          <w:sz w:val="12"/>
          <w:szCs w:val="12"/>
          <w:color w:val="auto"/>
        </w:rPr>
      </w:pPr>
      <w:r>
        <w:rPr>
          <w:rFonts w:ascii="Arial" w:cs="Arial" w:eastAsia="Arial" w:hAnsi="Arial"/>
          <w:sz w:val="17"/>
          <w:szCs w:val="17"/>
          <w:color w:val="auto"/>
        </w:rPr>
        <w:t>to fewer than 150 natural or legal persons (other than qualified investors as defined in the Prospectus Regulation), as permitted under the Prospectus Regulation, subject to obtaining the prior consent of the representatives of the underwriters; or</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18"/>
        </w:numPr>
        <w:rPr>
          <w:rFonts w:ascii="MS PGothic" w:cs="MS PGothic" w:eastAsia="MS PGothic" w:hAnsi="MS PGothic"/>
          <w:sz w:val="12"/>
          <w:szCs w:val="12"/>
          <w:color w:val="auto"/>
        </w:rPr>
      </w:pPr>
      <w:r>
        <w:rPr>
          <w:rFonts w:ascii="Arial" w:cs="Arial" w:eastAsia="Arial" w:hAnsi="Arial"/>
          <w:sz w:val="17"/>
          <w:szCs w:val="17"/>
          <w:color w:val="auto"/>
        </w:rPr>
        <w:t>in any other circumstances falling within Article 3(2) of the Prospectus Regulation,</w:t>
      </w:r>
    </w:p>
    <w:p>
      <w:pPr>
        <w:spacing w:after="0" w:line="144"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provided that no such offer of shares of our common stock shall require the Company or any of the underwriters to publish a prospectus pursuant to Article 3 of the Prospectus Regulation or supplement a prospectus pursuant to Article 16 of the Prospectus Regulation.</w:t>
      </w:r>
    </w:p>
    <w:p>
      <w:pPr>
        <w:spacing w:after="0" w:line="143" w:lineRule="exact"/>
        <w:rPr>
          <w:sz w:val="20"/>
          <w:szCs w:val="20"/>
          <w:color w:val="auto"/>
        </w:rPr>
      </w:pPr>
    </w:p>
    <w:p>
      <w:pPr>
        <w:jc w:val="both"/>
        <w:ind w:right="320"/>
        <w:spacing w:after="0" w:line="230"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the shares of our common stock to be offered so as to enable an investor to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0"/>
          </w:cols>
          <w:pgMar w:left="320" w:top="448" w:right="3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decide to purchase or subscribe the shares of our common stock, as the same may be varied in that Relevant Member State by any measure implementing the Prospectus Regulation in that Relevant Member State, and the expression “Prospectus Regulation” means Prospectus Regulation (EU) 2017/1129 (and amendments thereto, to the extent implemented in the Relevant Member States) and includes any relevant implementing measure in the Relevant Member State.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United Kingdom</w:t>
      </w:r>
    </w:p>
    <w:p>
      <w:pPr>
        <w:spacing w:after="0" w:line="3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33"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33" w:lineRule="exact"/>
        <w:rPr>
          <w:sz w:val="20"/>
          <w:szCs w:val="20"/>
          <w:color w:val="auto"/>
        </w:rPr>
      </w:pPr>
    </w:p>
    <w:p>
      <w:pPr>
        <w:jc w:val="both"/>
        <w:ind w:right="260"/>
        <w:spacing w:after="0" w:line="230" w:lineRule="auto"/>
        <w:rPr>
          <w:sz w:val="20"/>
          <w:szCs w:val="20"/>
          <w:color w:val="auto"/>
        </w:rPr>
      </w:pPr>
      <w:r>
        <w:rPr>
          <w:rFonts w:ascii="Arial" w:cs="Arial" w:eastAsia="Arial" w:hAnsi="Arial"/>
          <w:sz w:val="17"/>
          <w:szCs w:val="17"/>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82" w:lineRule="exact"/>
        <w:rPr>
          <w:sz w:val="20"/>
          <w:szCs w:val="20"/>
          <w:color w:val="auto"/>
        </w:rPr>
      </w:pPr>
    </w:p>
    <w:p>
      <w:pPr>
        <w:ind w:left="880" w:hanging="432"/>
        <w:spacing w:after="0"/>
        <w:tabs>
          <w:tab w:leader="none" w:pos="880" w:val="left"/>
        </w:tabs>
        <w:numPr>
          <w:ilvl w:val="0"/>
          <w:numId w:val="119"/>
        </w:numPr>
        <w:rPr>
          <w:rFonts w:ascii="MS PGothic" w:cs="MS PGothic" w:eastAsia="MS PGothic" w:hAnsi="MS PGothic"/>
          <w:sz w:val="12"/>
          <w:szCs w:val="12"/>
          <w:color w:val="auto"/>
        </w:rPr>
      </w:pPr>
      <w:r>
        <w:rPr>
          <w:rFonts w:ascii="Arial" w:cs="Arial" w:eastAsia="Arial" w:hAnsi="Arial"/>
          <w:sz w:val="17"/>
          <w:szCs w:val="17"/>
          <w:color w:val="auto"/>
        </w:rPr>
        <w:t>a “sophisticated investor” under section 708(8)(a) or (b) of the Corporations Act;</w:t>
      </w:r>
    </w:p>
    <w:p>
      <w:pPr>
        <w:spacing w:after="0" w:line="26" w:lineRule="exact"/>
        <w:rPr>
          <w:rFonts w:ascii="MS PGothic" w:cs="MS PGothic" w:eastAsia="MS PGothic" w:hAnsi="MS PGothic"/>
          <w:sz w:val="12"/>
          <w:szCs w:val="12"/>
          <w:color w:val="auto"/>
        </w:rPr>
      </w:pPr>
    </w:p>
    <w:p>
      <w:pPr>
        <w:ind w:left="880" w:right="140" w:hanging="432"/>
        <w:spacing w:after="0" w:line="230" w:lineRule="auto"/>
        <w:tabs>
          <w:tab w:leader="none" w:pos="880" w:val="left"/>
        </w:tabs>
        <w:numPr>
          <w:ilvl w:val="0"/>
          <w:numId w:val="119"/>
        </w:numPr>
        <w:rPr>
          <w:rFonts w:ascii="MS PGothic" w:cs="MS PGothic" w:eastAsia="MS PGothic" w:hAnsi="MS PGothic"/>
          <w:sz w:val="12"/>
          <w:szCs w:val="12"/>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19"/>
        </w:numPr>
        <w:rPr>
          <w:rFonts w:ascii="MS PGothic" w:cs="MS PGothic" w:eastAsia="MS PGothic" w:hAnsi="MS PGothic"/>
          <w:sz w:val="12"/>
          <w:szCs w:val="12"/>
          <w:color w:val="auto"/>
        </w:rPr>
      </w:pPr>
      <w:r>
        <w:rPr>
          <w:rFonts w:ascii="Arial" w:cs="Arial" w:eastAsia="Arial" w:hAnsi="Arial"/>
          <w:sz w:val="17"/>
          <w:szCs w:val="17"/>
          <w:color w:val="auto"/>
        </w:rPr>
        <w:t>a person associated with the Company under Section 708(12) of the Corporations Act; 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19"/>
        </w:numPr>
        <w:rPr>
          <w:rFonts w:ascii="MS PGothic" w:cs="MS PGothic" w:eastAsia="MS PGothic" w:hAnsi="MS PGothic"/>
          <w:sz w:val="12"/>
          <w:szCs w:val="12"/>
          <w:color w:val="auto"/>
        </w:rPr>
      </w:pPr>
      <w:r>
        <w:rPr>
          <w:rFonts w:ascii="Arial" w:cs="Arial" w:eastAsia="Arial" w:hAnsi="Arial"/>
          <w:sz w:val="17"/>
          <w:szCs w:val="17"/>
          <w:color w:val="auto"/>
        </w:rPr>
        <w:t>a “professional investor” within the meaning of section 708(11)(a) or (b) of the Corporations Act.</w:t>
      </w:r>
    </w:p>
    <w:p>
      <w:pPr>
        <w:spacing w:after="0" w:line="144"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3"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You warrant and agree that you will not offer any of the shares of our common stock issued to you pursuant to this prospectus supplement for resale in Australia within 12 months of those shares of our common stock being issued unless any such resale offer is exempt from the requirement to issue a disclosure document under section 708 of the Corporations Act.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33"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or the Securities and Futures Ordinance (Cap. 571) of Hong Kong. No document, invitation or advertisement relating to the shares of our common stock has been issued or may be issued or may be in the possession of any person for the purpose of issue (in each case whether in Hong Kong or elsewhere), which is directed at, or the contents of which</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448" w:right="3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Securities and Futures Ordinance (Cap. 571) of Hong Kong and any rules made under that Ordinance.</w:t>
      </w:r>
    </w:p>
    <w:p>
      <w:pPr>
        <w:spacing w:after="0" w:line="143"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This prospectus supplement has not been registered with the Registrar of Companies in Hong Kong. Accordingly, this prospectus supplement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supplement and the relevant offering documents and that he is not acquiring, and has not been offered any shares of our common stock in circumstances that contravene any such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33"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shares of our common stock,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33"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shares of our common stock may not be issued,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83" w:lineRule="exact"/>
        <w:rPr>
          <w:sz w:val="20"/>
          <w:szCs w:val="20"/>
          <w:color w:val="auto"/>
        </w:rPr>
      </w:pPr>
    </w:p>
    <w:p>
      <w:pPr>
        <w:ind w:left="880" w:hanging="432"/>
        <w:spacing w:after="0" w:line="233" w:lineRule="auto"/>
        <w:tabs>
          <w:tab w:leader="none" w:pos="880" w:val="left"/>
        </w:tabs>
        <w:numPr>
          <w:ilvl w:val="0"/>
          <w:numId w:val="120"/>
        </w:numPr>
        <w:rPr>
          <w:rFonts w:ascii="MS PGothic" w:cs="MS PGothic" w:eastAsia="MS PGothic" w:hAnsi="MS PGothic"/>
          <w:sz w:val="12"/>
          <w:szCs w:val="12"/>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5" w:lineRule="exact"/>
        <w:rPr>
          <w:rFonts w:ascii="MS PGothic" w:cs="MS PGothic" w:eastAsia="MS PGothic" w:hAnsi="MS PGothic"/>
          <w:sz w:val="12"/>
          <w:szCs w:val="12"/>
          <w:color w:val="auto"/>
        </w:rPr>
      </w:pPr>
    </w:p>
    <w:p>
      <w:pPr>
        <w:ind w:left="880" w:right="400" w:hanging="432"/>
        <w:spacing w:after="0" w:line="233" w:lineRule="auto"/>
        <w:tabs>
          <w:tab w:leader="none" w:pos="880" w:val="left"/>
        </w:tabs>
        <w:numPr>
          <w:ilvl w:val="0"/>
          <w:numId w:val="120"/>
        </w:numPr>
        <w:rPr>
          <w:rFonts w:ascii="MS PGothic" w:cs="MS PGothic" w:eastAsia="MS PGothic" w:hAnsi="MS PGothic"/>
          <w:sz w:val="12"/>
          <w:szCs w:val="12"/>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3"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2" w:lineRule="exact"/>
        <w:rPr>
          <w:sz w:val="20"/>
          <w:szCs w:val="20"/>
          <w:color w:val="auto"/>
        </w:rPr>
      </w:pPr>
    </w:p>
    <w:p>
      <w:pPr>
        <w:ind w:left="880" w:right="300" w:hanging="432"/>
        <w:spacing w:after="0" w:line="233" w:lineRule="auto"/>
        <w:tabs>
          <w:tab w:leader="none" w:pos="880" w:val="left"/>
        </w:tabs>
        <w:numPr>
          <w:ilvl w:val="0"/>
          <w:numId w:val="121"/>
        </w:numPr>
        <w:rPr>
          <w:rFonts w:ascii="MS PGothic" w:cs="MS PGothic" w:eastAsia="MS PGothic" w:hAnsi="MS PGothic"/>
          <w:sz w:val="12"/>
          <w:szCs w:val="12"/>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0"/>
          <w:numId w:val="121"/>
        </w:numPr>
        <w:rPr>
          <w:rFonts w:ascii="MS PGothic" w:cs="MS PGothic" w:eastAsia="MS PGothic" w:hAnsi="MS PGothic"/>
          <w:sz w:val="12"/>
          <w:szCs w:val="12"/>
          <w:color w:val="auto"/>
        </w:rPr>
      </w:pPr>
      <w:r>
        <w:rPr>
          <w:rFonts w:ascii="Arial" w:cs="Arial" w:eastAsia="Arial" w:hAnsi="Arial"/>
          <w:sz w:val="17"/>
          <w:szCs w:val="17"/>
          <w:color w:val="auto"/>
        </w:rPr>
        <w:t>where no consideration is or will be given for the transfer;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21"/>
        </w:numPr>
        <w:rPr>
          <w:rFonts w:ascii="MS PGothic" w:cs="MS PGothic" w:eastAsia="MS PGothic" w:hAnsi="MS PGothic"/>
          <w:sz w:val="12"/>
          <w:szCs w:val="12"/>
          <w:color w:val="auto"/>
        </w:rPr>
      </w:pPr>
      <w:r>
        <w:rPr>
          <w:rFonts w:ascii="Arial" w:cs="Arial" w:eastAsia="Arial" w:hAnsi="Arial"/>
          <w:sz w:val="17"/>
          <w:szCs w:val="17"/>
          <w:color w:val="auto"/>
        </w:rPr>
        <w:t>where the transfer is by operation of law;</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21"/>
        </w:numPr>
        <w:rPr>
          <w:rFonts w:ascii="MS PGothic" w:cs="MS PGothic" w:eastAsia="MS PGothic" w:hAnsi="MS PGothic"/>
          <w:sz w:val="12"/>
          <w:szCs w:val="12"/>
          <w:color w:val="auto"/>
        </w:rPr>
      </w:pPr>
      <w:r>
        <w:rPr>
          <w:rFonts w:ascii="Arial" w:cs="Arial" w:eastAsia="Arial" w:hAnsi="Arial"/>
          <w:sz w:val="17"/>
          <w:szCs w:val="17"/>
          <w:color w:val="auto"/>
        </w:rPr>
        <w:t>as specified in Section 276(7) of the SFA; or</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0"/>
          <w:numId w:val="121"/>
        </w:numPr>
        <w:rPr>
          <w:rFonts w:ascii="MS PGothic" w:cs="MS PGothic" w:eastAsia="MS PGothic" w:hAnsi="MS PGothic"/>
          <w:sz w:val="11"/>
          <w:szCs w:val="11"/>
          <w:color w:val="auto"/>
        </w:rPr>
      </w:pPr>
      <w:r>
        <w:rPr>
          <w:rFonts w:ascii="Arial" w:cs="Arial" w:eastAsia="Arial" w:hAnsi="Arial"/>
          <w:sz w:val="15"/>
          <w:szCs w:val="15"/>
          <w:color w:val="auto"/>
        </w:rPr>
        <w:t>as specified in Regulation 32 of the Securities and Futures (Offers of Investments) (Shares and Debentures) Regulations 2005 of Singapore.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20"/>
          </w:cols>
          <w:pgMar w:left="320" w:top="448" w:right="3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46"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shares of our common stock may not be publicly offered in Switzerland and will not be listed on the SIX Swiss Exchange, or the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 supplement nor any other offering or marketing material relating to the shares of our common stock or the offering may be publicly distributed or otherwise made publicly available in Switzerland.</w:t>
      </w:r>
    </w:p>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Neither this prospectus supplement nor any other offering or marketing material relating to the offering, the Company or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(FINMA) and the offer of shares of our common stock has not been and will not be authorized under the Swiss Federal Act on Collective Investment Schemes, or the CISA. The investor protection afforded to acquirers of interests in collective investment schemes under the CISA does not extend to acquirers of shares of our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Resale Restrictions</w:t>
      </w:r>
    </w:p>
    <w:p>
      <w:pPr>
        <w:spacing w:after="0" w:line="3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 distribution of shares of our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shares of our common stock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our common stock.</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Representations of Canadian Purchasers</w:t>
      </w:r>
    </w:p>
    <w:p>
      <w:pPr>
        <w:spacing w:after="0" w:line="31" w:lineRule="exact"/>
        <w:rPr>
          <w:sz w:val="20"/>
          <w:szCs w:val="20"/>
          <w:color w:val="auto"/>
        </w:rPr>
      </w:pPr>
    </w:p>
    <w:p>
      <w:pPr>
        <w:ind w:right="440"/>
        <w:spacing w:after="0" w:line="23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2" w:lineRule="exact"/>
        <w:rPr>
          <w:sz w:val="20"/>
          <w:szCs w:val="20"/>
          <w:color w:val="auto"/>
        </w:rPr>
      </w:pPr>
    </w:p>
    <w:p>
      <w:pPr>
        <w:ind w:left="880" w:right="200" w:hanging="432"/>
        <w:spacing w:after="0" w:line="230" w:lineRule="auto"/>
        <w:tabs>
          <w:tab w:leader="none" w:pos="880" w:val="left"/>
        </w:tabs>
        <w:numPr>
          <w:ilvl w:val="1"/>
          <w:numId w:val="122"/>
        </w:numPr>
        <w:rPr>
          <w:rFonts w:ascii="MS PGothic" w:cs="MS PGothic" w:eastAsia="MS PGothic" w:hAnsi="MS PGothic"/>
          <w:sz w:val="12"/>
          <w:szCs w:val="12"/>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45-106—Prospectus Exemptions,</w:t>
      </w:r>
    </w:p>
    <w:p>
      <w:pPr>
        <w:spacing w:after="0" w:line="25" w:lineRule="exact"/>
        <w:rPr>
          <w:rFonts w:ascii="MS PGothic" w:cs="MS PGothic" w:eastAsia="MS PGothic" w:hAnsi="MS PGothic"/>
          <w:sz w:val="12"/>
          <w:szCs w:val="12"/>
          <w:color w:val="auto"/>
        </w:rPr>
      </w:pPr>
    </w:p>
    <w:p>
      <w:pPr>
        <w:ind w:left="880" w:right="620" w:hanging="432"/>
        <w:spacing w:after="0" w:line="233" w:lineRule="auto"/>
        <w:tabs>
          <w:tab w:leader="none" w:pos="880" w:val="left"/>
        </w:tabs>
        <w:numPr>
          <w:ilvl w:val="1"/>
          <w:numId w:val="122"/>
        </w:numPr>
        <w:rPr>
          <w:rFonts w:ascii="MS PGothic" w:cs="MS PGothic" w:eastAsia="MS PGothic" w:hAnsi="MS PGothic"/>
          <w:sz w:val="12"/>
          <w:szCs w:val="12"/>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5" w:lineRule="exact"/>
        <w:rPr>
          <w:rFonts w:ascii="MS PGothic" w:cs="MS PGothic" w:eastAsia="MS PGothic" w:hAnsi="MS PGothic"/>
          <w:sz w:val="12"/>
          <w:szCs w:val="12"/>
          <w:color w:val="auto"/>
        </w:rPr>
      </w:pPr>
    </w:p>
    <w:p>
      <w:pPr>
        <w:ind w:left="880" w:hanging="432"/>
        <w:spacing w:after="0"/>
        <w:tabs>
          <w:tab w:leader="none" w:pos="880" w:val="left"/>
        </w:tabs>
        <w:numPr>
          <w:ilvl w:val="1"/>
          <w:numId w:val="122"/>
        </w:numPr>
        <w:rPr>
          <w:rFonts w:ascii="MS PGothic" w:cs="MS PGothic" w:eastAsia="MS PGothic" w:hAnsi="MS PGothic"/>
          <w:sz w:val="12"/>
          <w:szCs w:val="12"/>
          <w:color w:val="auto"/>
        </w:rPr>
      </w:pPr>
      <w:r>
        <w:rPr>
          <w:rFonts w:ascii="Arial" w:cs="Arial" w:eastAsia="Arial" w:hAnsi="Arial"/>
          <w:sz w:val="17"/>
          <w:szCs w:val="17"/>
          <w:color w:val="auto"/>
        </w:rPr>
        <w:t>where required by law, the purchaser is purchasing as principal and not as agent, and</w:t>
      </w:r>
    </w:p>
    <w:p>
      <w:pPr>
        <w:spacing w:after="0" w:line="26" w:lineRule="exact"/>
        <w:rPr>
          <w:rFonts w:ascii="MS PGothic" w:cs="MS PGothic" w:eastAsia="MS PGothic" w:hAnsi="MS PGothic"/>
          <w:sz w:val="12"/>
          <w:szCs w:val="12"/>
          <w:color w:val="auto"/>
        </w:rPr>
      </w:pPr>
    </w:p>
    <w:p>
      <w:pPr>
        <w:ind w:left="880" w:hanging="432"/>
        <w:spacing w:after="0"/>
        <w:tabs>
          <w:tab w:leader="none" w:pos="880" w:val="left"/>
        </w:tabs>
        <w:numPr>
          <w:ilvl w:val="1"/>
          <w:numId w:val="122"/>
        </w:numPr>
        <w:rPr>
          <w:rFonts w:ascii="MS PGothic" w:cs="MS PGothic" w:eastAsia="MS PGothic" w:hAnsi="MS PGothic"/>
          <w:sz w:val="12"/>
          <w:szCs w:val="12"/>
          <w:color w:val="auto"/>
        </w:rPr>
      </w:pPr>
      <w:r>
        <w:rPr>
          <w:rFonts w:ascii="Arial" w:cs="Arial" w:eastAsia="Arial" w:hAnsi="Arial"/>
          <w:sz w:val="17"/>
          <w:szCs w:val="17"/>
          <w:color w:val="auto"/>
        </w:rPr>
        <w:t>the purchaser has reviewed the text above under Resale Restrictions.</w:t>
      </w:r>
    </w:p>
    <w:p>
      <w:pPr>
        <w:spacing w:after="0" w:line="47" w:lineRule="exact"/>
        <w:rPr>
          <w:rFonts w:ascii="MS PGothic" w:cs="MS PGothic" w:eastAsia="MS PGothic" w:hAnsi="MS PGothic"/>
          <w:sz w:val="12"/>
          <w:szCs w:val="12"/>
          <w:color w:val="auto"/>
        </w:rPr>
      </w:pPr>
    </w:p>
    <w:p>
      <w:pPr>
        <w:ind w:left="280" w:hanging="276"/>
        <w:spacing w:after="0"/>
        <w:tabs>
          <w:tab w:leader="none" w:pos="280" w:val="left"/>
        </w:tabs>
        <w:numPr>
          <w:ilvl w:val="0"/>
          <w:numId w:val="122"/>
        </w:numPr>
        <w:rPr>
          <w:rFonts w:ascii="Arial" w:cs="Arial" w:eastAsia="Arial" w:hAnsi="Arial"/>
          <w:sz w:val="17"/>
          <w:szCs w:val="17"/>
          <w:i w:val="1"/>
          <w:iCs w:val="1"/>
          <w:color w:val="auto"/>
        </w:rPr>
      </w:pPr>
      <w:r>
        <w:rPr>
          <w:rFonts w:ascii="Arial" w:cs="Arial" w:eastAsia="Arial" w:hAnsi="Arial"/>
          <w:sz w:val="17"/>
          <w:szCs w:val="17"/>
          <w:i w:val="1"/>
          <w:iCs w:val="1"/>
          <w:color w:val="auto"/>
        </w:rPr>
        <w:t>Conflicts of Interest</w:t>
      </w:r>
    </w:p>
    <w:p>
      <w:pPr>
        <w:spacing w:after="0" w:line="31" w:lineRule="exact"/>
        <w:rPr>
          <w:sz w:val="20"/>
          <w:szCs w:val="20"/>
          <w:color w:val="auto"/>
        </w:rPr>
      </w:pPr>
    </w:p>
    <w:p>
      <w:pPr>
        <w:ind w:right="480"/>
        <w:spacing w:after="0" w:line="289" w:lineRule="auto"/>
        <w:rPr>
          <w:sz w:val="20"/>
          <w:szCs w:val="20"/>
          <w:color w:val="auto"/>
        </w:rPr>
      </w:pPr>
      <w:r>
        <w:rPr>
          <w:rFonts w:ascii="Arial" w:cs="Arial" w:eastAsia="Arial" w:hAnsi="Arial"/>
          <w:sz w:val="15"/>
          <w:szCs w:val="15"/>
          <w:color w:val="auto"/>
        </w:rPr>
        <w:t>Canadian purchasers are hereby notified that each of the underwriters are relying on the exemption set out in section 3A.3 or 3A.4, if applicable, of National Instrument 33-105—Underwriting Conflicts from having to provide certain conflict of interest disclosure in this document.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 Statutory Rights of Action</w:t>
      </w:r>
    </w:p>
    <w:p>
      <w:pPr>
        <w:spacing w:after="0" w:line="31"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 Enforcement of Legal Rights</w:t>
      </w:r>
    </w:p>
    <w:p>
      <w:pPr>
        <w:spacing w:after="0" w:line="31" w:lineRule="exact"/>
        <w:rPr>
          <w:sz w:val="20"/>
          <w:szCs w:val="20"/>
          <w:color w:val="auto"/>
        </w:rPr>
      </w:pPr>
    </w:p>
    <w:p>
      <w:pPr>
        <w:ind w:right="600"/>
        <w:spacing w:after="0" w:line="233"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80"/>
          </w:cols>
          <w:pgMar w:left="320" w:top="448" w:right="39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 Taxation and Eligibility for Investment</w:t>
      </w:r>
    </w:p>
    <w:p>
      <w:pPr>
        <w:spacing w:after="0" w:line="3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Canadian purchasers of shares of our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448" w:right="4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330"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Boston, Massachusetts. Certain legal matters will be passed upon for the underwriters by Latham &amp; Watkins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33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consolidated financial statements as of December 31, 2018 and for the year then ended included in this prospectus, have been audited by Deloitte &amp; Touche LLP, an independent registered public accounting firm, as stated in their report appearing herein (which report expresses an unqualified opinion on the consolidated financial statements and includes an explanatory paragraph referring to our ability to continue as a going concern). Such consolidated financial statements have been so included in reliance upon the report of such firm given upon their authority as experts in accounting and auditing.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330"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which constitutes a part of the registration statement.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over the internet at the SEC’s web site referred to above. We also maintain a website at www.kerostx.com, at which you may access these materials free of charge as soon as reasonably practicable after they are electronically filed with, or furnished to, the SEC. </w:t>
      </w:r>
      <w:r>
        <w:rPr>
          <w:rFonts w:ascii="Arial" w:cs="Arial" w:eastAsia="Arial" w:hAnsi="Arial"/>
          <w:sz w:val="17"/>
          <w:szCs w:val="17"/>
          <w:b w:val="1"/>
          <w:bCs w:val="1"/>
          <w:color w:val="auto"/>
        </w:rPr>
        <w:t>However, the information contained in or accessible through our website</w:t>
      </w:r>
      <w:r>
        <w:rPr>
          <w:rFonts w:ascii="Arial" w:cs="Arial" w:eastAsia="Arial" w:hAnsi="Arial"/>
          <w:sz w:val="17"/>
          <w:szCs w:val="17"/>
          <w:color w:val="auto"/>
        </w:rPr>
        <w:t xml:space="preserve"> </w:t>
      </w:r>
      <w:r>
        <w:rPr>
          <w:rFonts w:ascii="Arial" w:cs="Arial" w:eastAsia="Arial" w:hAnsi="Arial"/>
          <w:sz w:val="17"/>
          <w:szCs w:val="17"/>
          <w:b w:val="1"/>
          <w:bCs w:val="1"/>
          <w:color w:val="auto"/>
        </w:rPr>
        <w:t>is not part of this prospectus or the registration statement of which this prospectus forms a part, and investors should not rely on such information in making a decision to purchase our common stock in this offering.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448" w:right="3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Audited Consolidated Financial Statements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1367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0" w:type="dxa"/>
            <w:vAlign w:val="bottom"/>
            <w:gridSpan w:val="7"/>
            <w:vMerge w:val="restart"/>
          </w:tcPr>
          <w:p>
            <w:pPr>
              <w:spacing w:after="0"/>
              <w:rPr>
                <w:rFonts w:ascii="Arial" w:cs="Arial" w:eastAsia="Arial" w:hAnsi="Arial"/>
                <w:sz w:val="17"/>
                <w:szCs w:val="17"/>
                <w:color w:val="0000EE"/>
              </w:rPr>
            </w:pPr>
            <w:hyperlink w:anchor="page173">
              <w:r>
                <w:rPr>
                  <w:rFonts w:ascii="Arial" w:cs="Arial" w:eastAsia="Arial" w:hAnsi="Arial"/>
                  <w:sz w:val="17"/>
                  <w:szCs w:val="17"/>
                  <w:color w:val="0000EE"/>
                </w:rPr>
                <w:t>Report of Independent Registered Public Accounting Firm</w:t>
              </w:r>
            </w:hyperlink>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37"/>
        </w:trPr>
        <w:tc>
          <w:tcPr>
            <w:tcW w:w="10800" w:type="dxa"/>
            <w:vAlign w:val="bottom"/>
            <w:gridSpan w:val="7"/>
            <w:vMerge w:val="continue"/>
          </w:tcPr>
          <w:p>
            <w:pPr>
              <w:spacing w:after="0"/>
              <w:rPr>
                <w:sz w:val="11"/>
                <w:szCs w:val="11"/>
                <w:color w:val="auto"/>
              </w:rPr>
            </w:pPr>
          </w:p>
        </w:tc>
        <w:tc>
          <w:tcPr>
            <w:tcW w:w="4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F-2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w w:val="97"/>
              </w:rPr>
            </w:pPr>
            <w:hyperlink w:anchor="page174">
              <w:r>
                <w:rPr>
                  <w:rFonts w:ascii="Arial" w:cs="Arial" w:eastAsia="Arial" w:hAnsi="Arial"/>
                  <w:sz w:val="17"/>
                  <w:szCs w:val="17"/>
                  <w:color w:val="0000EE"/>
                  <w:w w:val="97"/>
                </w:rPr>
                <w:t>Consolidated Balance Sheet as of December 31, 2018</w:t>
              </w:r>
            </w:hyperlink>
          </w:p>
        </w:tc>
        <w:tc>
          <w:tcPr>
            <w:tcW w:w="220" w:type="dxa"/>
            <w:vAlign w:val="bottom"/>
            <w:tcBorders>
              <w:top w:val="single" w:sz="8" w:color="0000EE"/>
            </w:tcBorders>
          </w:tcPr>
          <w:p>
            <w:pPr>
              <w:spacing w:after="0"/>
              <w:rPr>
                <w:sz w:val="15"/>
                <w:szCs w:val="15"/>
                <w:color w:val="auto"/>
              </w:rPr>
            </w:pPr>
          </w:p>
        </w:tc>
        <w:tc>
          <w:tcPr>
            <w:tcW w:w="6580" w:type="dxa"/>
            <w:vAlign w:val="bottom"/>
            <w:gridSpan w:val="4"/>
          </w:tcPr>
          <w:p>
            <w:pPr>
              <w:spacing w:after="0"/>
              <w:rPr>
                <w:sz w:val="15"/>
                <w:szCs w:val="15"/>
                <w:color w:val="auto"/>
              </w:rPr>
            </w:pPr>
          </w:p>
        </w:tc>
        <w:tc>
          <w:tcPr>
            <w:tcW w:w="440" w:type="dxa"/>
            <w:vAlign w:val="bottom"/>
            <w:gridSpan w:val="2"/>
          </w:tcPr>
          <w:p>
            <w:pPr>
              <w:jc w:val="right"/>
              <w:ind w:right="40"/>
              <w:spacing w:after="0" w:line="176"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3"/>
        </w:trPr>
        <w:tc>
          <w:tcPr>
            <w:tcW w:w="5720" w:type="dxa"/>
            <w:vAlign w:val="bottom"/>
            <w:tcBorders>
              <w:bottom w:val="single" w:sz="8" w:color="0000EE"/>
            </w:tcBorders>
            <w:gridSpan w:val="4"/>
          </w:tcPr>
          <w:p>
            <w:pPr>
              <w:spacing w:after="0" w:line="163" w:lineRule="exact"/>
              <w:rPr>
                <w:rFonts w:ascii="Arial" w:cs="Arial" w:eastAsia="Arial" w:hAnsi="Arial"/>
                <w:sz w:val="17"/>
                <w:szCs w:val="17"/>
                <w:color w:val="0000EE"/>
                <w:w w:val="96"/>
              </w:rPr>
            </w:pPr>
            <w:hyperlink w:anchor="page175">
              <w:r>
                <w:rPr>
                  <w:rFonts w:ascii="Arial" w:cs="Arial" w:eastAsia="Arial" w:hAnsi="Arial"/>
                  <w:sz w:val="17"/>
                  <w:szCs w:val="17"/>
                  <w:color w:val="0000EE"/>
                  <w:w w:val="96"/>
                </w:rPr>
                <w:t>Consolidated Statement of Operations for the Year Ended December 31, 2018</w:t>
              </w:r>
            </w:hyperlink>
          </w:p>
        </w:tc>
        <w:tc>
          <w:tcPr>
            <w:tcW w:w="5080" w:type="dxa"/>
            <w:vAlign w:val="bottom"/>
            <w:gridSpan w:val="3"/>
          </w:tcPr>
          <w:p>
            <w:pPr>
              <w:spacing w:after="0"/>
              <w:rPr>
                <w:sz w:val="14"/>
                <w:szCs w:val="14"/>
                <w:color w:val="auto"/>
              </w:rPr>
            </w:pPr>
          </w:p>
        </w:tc>
        <w:tc>
          <w:tcPr>
            <w:tcW w:w="440" w:type="dxa"/>
            <w:vAlign w:val="bottom"/>
            <w:gridSpan w:val="2"/>
          </w:tcPr>
          <w:p>
            <w:pPr>
              <w:jc w:val="right"/>
              <w:ind w:right="40"/>
              <w:spacing w:after="0" w:line="163"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3"/>
        </w:trPr>
        <w:tc>
          <w:tcPr>
            <w:tcW w:w="10800" w:type="dxa"/>
            <w:vAlign w:val="bottom"/>
            <w:gridSpan w:val="7"/>
          </w:tcPr>
          <w:p>
            <w:pPr>
              <w:spacing w:after="0" w:line="163" w:lineRule="exact"/>
              <w:rPr>
                <w:rFonts w:ascii="Arial" w:cs="Arial" w:eastAsia="Arial" w:hAnsi="Arial"/>
                <w:sz w:val="17"/>
                <w:szCs w:val="17"/>
                <w:color w:val="0000EE"/>
              </w:rPr>
            </w:pPr>
            <w:hyperlink w:anchor="page176">
              <w:r>
                <w:rPr>
                  <w:rFonts w:ascii="Arial" w:cs="Arial" w:eastAsia="Arial" w:hAnsi="Arial"/>
                  <w:sz w:val="17"/>
                  <w:szCs w:val="17"/>
                  <w:color w:val="0000EE"/>
                </w:rPr>
                <w:t>Consolidated Statement of Convertible Preferred Stock and Stockholders’ Deficit for the Year Ended December 31, 2018</w:t>
              </w:r>
            </w:hyperlink>
          </w:p>
        </w:tc>
        <w:tc>
          <w:tcPr>
            <w:tcW w:w="440" w:type="dxa"/>
            <w:vAlign w:val="bottom"/>
            <w:gridSpan w:val="2"/>
          </w:tcPr>
          <w:p>
            <w:pPr>
              <w:jc w:val="right"/>
              <w:ind w:right="40"/>
              <w:spacing w:after="0" w:line="163"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3"/>
        </w:trPr>
        <w:tc>
          <w:tcPr>
            <w:tcW w:w="5780" w:type="dxa"/>
            <w:vAlign w:val="bottom"/>
            <w:tcBorders>
              <w:top w:val="single" w:sz="8" w:color="0000EE"/>
              <w:bottom w:val="single" w:sz="8" w:color="0000EE"/>
            </w:tcBorders>
            <w:gridSpan w:val="5"/>
          </w:tcPr>
          <w:p>
            <w:pPr>
              <w:spacing w:after="0" w:line="163" w:lineRule="exact"/>
              <w:rPr>
                <w:rFonts w:ascii="Arial" w:cs="Arial" w:eastAsia="Arial" w:hAnsi="Arial"/>
                <w:sz w:val="17"/>
                <w:szCs w:val="17"/>
                <w:color w:val="0000EE"/>
                <w:w w:val="96"/>
              </w:rPr>
            </w:pPr>
            <w:hyperlink w:anchor="page177">
              <w:r>
                <w:rPr>
                  <w:rFonts w:ascii="Arial" w:cs="Arial" w:eastAsia="Arial" w:hAnsi="Arial"/>
                  <w:sz w:val="17"/>
                  <w:szCs w:val="17"/>
                  <w:color w:val="0000EE"/>
                  <w:w w:val="96"/>
                </w:rPr>
                <w:t>Consolidated Statement of Cash Flows for the Year Ended December 31, 2018</w:t>
              </w:r>
            </w:hyperlink>
          </w:p>
        </w:tc>
        <w:tc>
          <w:tcPr>
            <w:tcW w:w="3020" w:type="dxa"/>
            <w:vAlign w:val="bottom"/>
            <w:tcBorders>
              <w:top w:val="single" w:sz="8" w:color="0000EE"/>
            </w:tcBorders>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gridSpan w:val="2"/>
          </w:tcPr>
          <w:p>
            <w:pPr>
              <w:jc w:val="right"/>
              <w:ind w:right="40"/>
              <w:spacing w:after="0" w:line="163"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3"/>
        </w:trPr>
        <w:tc>
          <w:tcPr>
            <w:tcW w:w="10800" w:type="dxa"/>
            <w:vAlign w:val="bottom"/>
            <w:gridSpan w:val="7"/>
          </w:tcPr>
          <w:p>
            <w:pPr>
              <w:spacing w:after="0" w:line="163" w:lineRule="exact"/>
              <w:rPr>
                <w:rFonts w:ascii="Arial" w:cs="Arial" w:eastAsia="Arial" w:hAnsi="Arial"/>
                <w:sz w:val="17"/>
                <w:szCs w:val="17"/>
                <w:color w:val="0000EE"/>
              </w:rPr>
            </w:pPr>
            <w:hyperlink w:anchor="page178">
              <w:r>
                <w:rPr>
                  <w:rFonts w:ascii="Arial" w:cs="Arial" w:eastAsia="Arial" w:hAnsi="Arial"/>
                  <w:sz w:val="17"/>
                  <w:szCs w:val="17"/>
                  <w:color w:val="0000EE"/>
                </w:rPr>
                <w:t>Notes to Consolidated Financial Statements</w:t>
              </w:r>
            </w:hyperlink>
          </w:p>
        </w:tc>
        <w:tc>
          <w:tcPr>
            <w:tcW w:w="440" w:type="dxa"/>
            <w:vAlign w:val="bottom"/>
            <w:gridSpan w:val="2"/>
          </w:tcPr>
          <w:p>
            <w:pPr>
              <w:jc w:val="right"/>
              <w:ind w:right="40"/>
              <w:spacing w:after="0" w:line="163"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15"/>
        </w:trPr>
        <w:tc>
          <w:tcPr>
            <w:tcW w:w="3220" w:type="dxa"/>
            <w:vAlign w:val="bottom"/>
            <w:tcBorders>
              <w:top w:val="single" w:sz="8" w:color="0000EE"/>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4"/>
          </w:tcPr>
          <w:p>
            <w:pPr>
              <w:ind w:left="128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the Stockholders of Keros Therapeutics, Inc.</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audited the accompanying consolidated balance sheet of Keros Therapeutics, Inc. and its subsidiary (the “Company”) as of December 31, 2018,</w:t>
      </w:r>
    </w:p>
    <w:p>
      <w:pPr>
        <w:spacing w:after="0" w:line="236" w:lineRule="auto"/>
        <w:rPr>
          <w:sz w:val="20"/>
          <w:szCs w:val="20"/>
          <w:color w:val="auto"/>
        </w:rPr>
      </w:pPr>
      <w:r>
        <w:rPr>
          <w:rFonts w:ascii="Arial" w:cs="Arial" w:eastAsia="Arial" w:hAnsi="Arial"/>
          <w:sz w:val="17"/>
          <w:szCs w:val="17"/>
          <w:color w:val="auto"/>
        </w:rPr>
        <w:t>the related consolidated statements of operations, convertible preferred stock and stockholders’ deficit, and cash flows, for the period ended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 and the related notes (collectively referred to as the “financial statements”). In our opinion, the financial statements present fairly, in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all material respects, the financial position of the Company as of December 31, 2018, and the results of its operations and its cash flows for the year then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8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recurring losses from operations incurred since inception, expectation of continuing operating losses for the foreseeable future, and the need to raise additional capital to finance its future operations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82"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January 21, 2020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20"/>
          </w:cols>
          <w:pgMar w:left="320" w:top="448" w:right="3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KEROS THERAPEUTICS, INC.</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Consolidated Balance Sheet</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242570</wp:posOffset>
            </wp:positionV>
            <wp:extent cx="71367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136765" cy="1162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CURRENT ASSETS:</w:t>
      </w:r>
    </w:p>
    <w:p>
      <w:pPr>
        <w:ind w:left="240"/>
        <w:spacing w:after="0" w:line="224" w:lineRule="auto"/>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Prepaid expenses and other current assets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162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Operating lease right-of-use assets</w:t>
      </w:r>
    </w:p>
    <w:p>
      <w:pPr>
        <w:spacing w:after="0" w:line="224" w:lineRule="auto"/>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Research and development incentive receivable</w:t>
      </w:r>
    </w:p>
    <w:p>
      <w:pPr>
        <w:spacing w:after="0"/>
        <w:rPr>
          <w:sz w:val="20"/>
          <w:szCs w:val="20"/>
          <w:color w:val="auto"/>
        </w:rPr>
      </w:pPr>
      <w:r>
        <w:rPr>
          <w:rFonts w:ascii="Arial" w:cs="Arial" w:eastAsia="Arial" w:hAnsi="Arial"/>
          <w:sz w:val="17"/>
          <w:szCs w:val="17"/>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162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TOTAL ASSETS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136765" cy="1162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jc w:val="center"/>
        <w:ind w:right="7940"/>
        <w:spacing w:after="0"/>
        <w:rPr>
          <w:sz w:val="20"/>
          <w:szCs w:val="20"/>
          <w:color w:val="auto"/>
        </w:rPr>
      </w:pPr>
      <w:r>
        <w:rPr>
          <w:rFonts w:ascii="Arial" w:cs="Arial" w:eastAsia="Arial" w:hAnsi="Arial"/>
          <w:sz w:val="15"/>
          <w:szCs w:val="15"/>
          <w:color w:val="auto"/>
        </w:rPr>
        <w:t>CURRENT LIABILITIES:</w:t>
      </w:r>
    </w:p>
    <w:p>
      <w:pPr>
        <w:ind w:left="240"/>
        <w:spacing w:after="0" w:line="236" w:lineRule="auto"/>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240"/>
        <w:spacing w:after="0" w:line="225" w:lineRule="auto"/>
        <w:rPr>
          <w:sz w:val="20"/>
          <w:szCs w:val="20"/>
          <w:color w:val="auto"/>
        </w:rPr>
      </w:pPr>
      <w:r>
        <w:rPr>
          <w:rFonts w:ascii="Arial" w:cs="Arial" w:eastAsia="Arial" w:hAnsi="Arial"/>
          <w:sz w:val="17"/>
          <w:szCs w:val="17"/>
          <w:color w:val="auto"/>
        </w:rPr>
        <w:t>Current portion of operating lease liabilities</w:t>
      </w:r>
    </w:p>
    <w:p>
      <w:pPr>
        <w:ind w:left="240"/>
        <w:spacing w:after="0" w:line="224" w:lineRule="auto"/>
        <w:rPr>
          <w:sz w:val="20"/>
          <w:szCs w:val="20"/>
          <w:color w:val="auto"/>
        </w:rPr>
      </w:pPr>
      <w:r>
        <w:rPr>
          <w:rFonts w:ascii="Arial" w:cs="Arial" w:eastAsia="Arial" w:hAnsi="Arial"/>
          <w:sz w:val="17"/>
          <w:szCs w:val="17"/>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Accrued expenses and other current liabilities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162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Operating lease liabilities, net of current portion</w:t>
      </w:r>
    </w:p>
    <w:p>
      <w:pPr>
        <w:spacing w:after="0" w:line="224" w:lineRule="auto"/>
        <w:rPr>
          <w:sz w:val="20"/>
          <w:szCs w:val="20"/>
          <w:color w:val="auto"/>
        </w:rPr>
      </w:pPr>
      <w:r>
        <w:rPr>
          <w:rFonts w:ascii="Arial" w:cs="Arial" w:eastAsia="Arial" w:hAnsi="Arial"/>
          <w:sz w:val="17"/>
          <w:szCs w:val="17"/>
          <w:color w:val="auto"/>
        </w:rPr>
        <w:t>Preferred stock tranche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Other liabilities</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16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COMMITMENTS AND CONTINGENCIES (Note 13)</w:t>
      </w:r>
    </w:p>
    <w:p>
      <w:pPr>
        <w:ind w:left="240" w:right="580" w:hanging="242"/>
        <w:spacing w:after="0" w:line="224" w:lineRule="auto"/>
        <w:rPr>
          <w:sz w:val="20"/>
          <w:szCs w:val="20"/>
          <w:color w:val="auto"/>
        </w:rPr>
      </w:pPr>
      <w:r>
        <w:rPr>
          <w:rFonts w:ascii="Arial" w:cs="Arial" w:eastAsia="Arial" w:hAnsi="Arial"/>
          <w:sz w:val="17"/>
          <w:szCs w:val="17"/>
          <w:color w:val="auto"/>
        </w:rPr>
        <w:t>Series A convertible preferred stock, par value of $0.0001 per share; 10,000,000 shares authorized as of December 31, 2018; 10,000,000 shares issued and outstanding as of December 31, 2018; liquidation and redemption value of $11,471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136765" cy="3479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6765" cy="34798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5"/>
          <w:szCs w:val="15"/>
          <w:color w:val="auto"/>
        </w:rPr>
        <w:t>Series A-1 convertible preferred stock, par value of $0.0001 per share; 800,000 shares authorized as of December 31, 2018; 800,000</w:t>
      </w:r>
    </w:p>
    <w:p>
      <w:pPr>
        <w:spacing w:after="0" w:line="10" w:lineRule="exact"/>
        <w:rPr>
          <w:sz w:val="20"/>
          <w:szCs w:val="20"/>
          <w:color w:val="auto"/>
        </w:rPr>
      </w:pPr>
    </w:p>
    <w:p>
      <w:pPr>
        <w:ind w:right="260" w:firstLine="243"/>
        <w:spacing w:after="0" w:line="254" w:lineRule="auto"/>
        <w:rPr>
          <w:sz w:val="20"/>
          <w:szCs w:val="20"/>
          <w:color w:val="auto"/>
        </w:rPr>
      </w:pPr>
      <w:r>
        <w:rPr>
          <w:rFonts w:ascii="Arial" w:cs="Arial" w:eastAsia="Arial" w:hAnsi="Arial"/>
          <w:sz w:val="15"/>
          <w:szCs w:val="15"/>
          <w:color w:val="auto"/>
        </w:rPr>
        <w:t>shares issued and outstanding as of December 31, 2018; liquidation and redemption value of $1,091 as of December 31, 2018 Series B-1 convertible preferred stock, par value of $0.0001 per share; 3,427,004 shares authorized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347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6765" cy="347980"/>
                    </a:xfrm>
                    <a:prstGeom prst="rect">
                      <a:avLst/>
                    </a:prstGeom>
                    <a:noFill/>
                  </pic:spPr>
                </pic:pic>
              </a:graphicData>
            </a:graphic>
          </wp:anchor>
        </w:drawing>
      </w:r>
    </w:p>
    <w:p>
      <w:pPr>
        <w:ind w:left="240" w:right="880"/>
        <w:spacing w:after="0" w:line="224" w:lineRule="auto"/>
        <w:rPr>
          <w:sz w:val="20"/>
          <w:szCs w:val="20"/>
          <w:color w:val="auto"/>
        </w:rPr>
      </w:pPr>
      <w:r>
        <w:rPr>
          <w:rFonts w:ascii="Arial" w:cs="Arial" w:eastAsia="Arial" w:hAnsi="Arial"/>
          <w:sz w:val="17"/>
          <w:szCs w:val="17"/>
          <w:color w:val="auto"/>
        </w:rPr>
        <w:t>3,427,004 shares issued and outstanding as of December 31, 2018; liquidation and redemption value of $11,676 as of December 31, 2018</w:t>
      </w:r>
    </w:p>
    <w:p>
      <w:pPr>
        <w:spacing w:after="0" w:line="225" w:lineRule="auto"/>
        <w:rPr>
          <w:sz w:val="20"/>
          <w:szCs w:val="20"/>
          <w:color w:val="auto"/>
        </w:rPr>
      </w:pPr>
      <w:r>
        <w:rPr>
          <w:rFonts w:ascii="Arial" w:cs="Arial" w:eastAsia="Arial" w:hAnsi="Arial"/>
          <w:sz w:val="17"/>
          <w:szCs w:val="17"/>
          <w:color w:val="auto"/>
        </w:rPr>
        <w:t>STOCKHOLDERS’ DEFICIT:</w:t>
      </w:r>
    </w:p>
    <w:p>
      <w:pPr>
        <w:ind w:left="500" w:hanging="242"/>
        <w:spacing w:after="0" w:line="224" w:lineRule="auto"/>
        <w:rPr>
          <w:sz w:val="20"/>
          <w:szCs w:val="20"/>
          <w:color w:val="auto"/>
        </w:rPr>
      </w:pPr>
      <w:r>
        <w:rPr>
          <w:rFonts w:ascii="Arial" w:cs="Arial" w:eastAsia="Arial" w:hAnsi="Arial"/>
          <w:sz w:val="17"/>
          <w:szCs w:val="17"/>
          <w:color w:val="auto"/>
        </w:rPr>
        <w:t>Common stock, par value of $0.0001 per share; 27,000,000 shares authorized as of December 31, 2018; 4,869,407 shares issued and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-227330</wp:posOffset>
            </wp:positionV>
            <wp:extent cx="7136765" cy="2324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6765" cy="232410"/>
                    </a:xfrm>
                    <a:prstGeom prst="rect">
                      <a:avLst/>
                    </a:prstGeom>
                    <a:noFill/>
                  </pic:spPr>
                </pic:pic>
              </a:graphicData>
            </a:graphic>
          </wp:anchor>
        </w:drawing>
      </w:r>
    </w:p>
    <w:p>
      <w:pPr>
        <w:ind w:left="240"/>
        <w:spacing w:after="0" w:line="225" w:lineRule="auto"/>
        <w:rPr>
          <w:sz w:val="20"/>
          <w:szCs w:val="20"/>
          <w:color w:val="auto"/>
        </w:rPr>
      </w:pPr>
      <w:r>
        <w:rPr>
          <w:rFonts w:ascii="Arial" w:cs="Arial" w:eastAsia="Arial" w:hAnsi="Arial"/>
          <w:sz w:val="17"/>
          <w:szCs w:val="17"/>
          <w:color w:val="auto"/>
        </w:rPr>
        <w:t>Additional paid-in capital</w:t>
      </w:r>
    </w:p>
    <w:p>
      <w:pPr>
        <w:ind w:left="24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162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Total stockholders’ deficit</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162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6765" cy="1162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161290</wp:posOffset>
            </wp:positionV>
            <wp:extent cx="71367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DECEMBER 31,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2018</w:t>
      </w:r>
    </w:p>
    <w:p>
      <w:pPr>
        <w:spacing w:after="0" w:line="340" w:lineRule="exact"/>
        <w:rPr>
          <w:sz w:val="20"/>
          <w:szCs w:val="20"/>
          <w:color w:val="auto"/>
        </w:rPr>
      </w:pPr>
    </w:p>
    <w:p>
      <w:pPr>
        <w:ind w:left="620" w:hanging="617"/>
        <w:spacing w:after="0"/>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23,259</w:t>
      </w:r>
    </w:p>
    <w:p>
      <w:pPr>
        <w:ind w:left="720"/>
        <w:spacing w:after="0"/>
        <w:rPr>
          <w:rFonts w:ascii="Arial" w:cs="Arial" w:eastAsia="Arial" w:hAnsi="Arial"/>
          <w:sz w:val="17"/>
          <w:szCs w:val="17"/>
          <w:color w:val="auto"/>
        </w:rPr>
      </w:pPr>
      <w:r>
        <w:rPr>
          <w:rFonts w:ascii="Arial" w:cs="Arial" w:eastAsia="Arial" w:hAnsi="Arial"/>
          <w:sz w:val="17"/>
          <w:szCs w:val="17"/>
          <w:color w:val="auto"/>
        </w:rPr>
        <w:t>2,272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7"/>
          <w:szCs w:val="17"/>
          <w:color w:val="auto"/>
        </w:rPr>
        <w:t>25,531</w:t>
      </w:r>
    </w:p>
    <w:p>
      <w:pPr>
        <w:jc w:val="right"/>
        <w:ind w:right="60"/>
        <w:spacing w:after="0" w:line="224" w:lineRule="auto"/>
        <w:rPr>
          <w:sz w:val="20"/>
          <w:szCs w:val="20"/>
          <w:color w:val="auto"/>
        </w:rPr>
      </w:pPr>
      <w:r>
        <w:rPr>
          <w:rFonts w:ascii="Arial" w:cs="Arial" w:eastAsia="Arial" w:hAnsi="Arial"/>
          <w:sz w:val="17"/>
          <w:szCs w:val="17"/>
          <w:color w:val="auto"/>
        </w:rPr>
        <w:t>735</w:t>
      </w:r>
    </w:p>
    <w:p>
      <w:pPr>
        <w:jc w:val="right"/>
        <w:ind w:right="60"/>
        <w:spacing w:after="0" w:line="224" w:lineRule="auto"/>
        <w:rPr>
          <w:sz w:val="20"/>
          <w:szCs w:val="20"/>
          <w:color w:val="auto"/>
        </w:rPr>
      </w:pPr>
      <w:r>
        <w:rPr>
          <w:rFonts w:ascii="Arial" w:cs="Arial" w:eastAsia="Arial" w:hAnsi="Arial"/>
          <w:sz w:val="17"/>
          <w:szCs w:val="17"/>
          <w:color w:val="auto"/>
        </w:rPr>
        <w:t>645</w:t>
      </w:r>
    </w:p>
    <w:p>
      <w:pPr>
        <w:jc w:val="right"/>
        <w:ind w:right="60"/>
        <w:spacing w:after="0" w:line="225" w:lineRule="auto"/>
        <w:rPr>
          <w:sz w:val="20"/>
          <w:szCs w:val="20"/>
          <w:color w:val="auto"/>
        </w:rPr>
      </w:pPr>
      <w:r>
        <w:rPr>
          <w:rFonts w:ascii="Arial" w:cs="Arial" w:eastAsia="Arial" w:hAnsi="Arial"/>
          <w:sz w:val="17"/>
          <w:szCs w:val="17"/>
          <w:color w:val="auto"/>
        </w:rPr>
        <w:t>370</w:t>
      </w:r>
    </w:p>
    <w:p>
      <w:pPr>
        <w:jc w:val="right"/>
        <w:ind w:right="6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ind w:left="620" w:hanging="617"/>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27,412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7131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372" w:lineRule="exact"/>
        <w:rPr>
          <w:sz w:val="20"/>
          <w:szCs w:val="20"/>
          <w:color w:val="auto"/>
        </w:rPr>
      </w:pPr>
    </w:p>
    <w:p>
      <w:pPr>
        <w:ind w:left="860" w:hanging="857"/>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501</w:t>
      </w:r>
    </w:p>
    <w:p>
      <w:pPr>
        <w:ind w:left="860"/>
        <w:spacing w:after="0" w:line="224" w:lineRule="auto"/>
        <w:rPr>
          <w:rFonts w:ascii="Arial" w:cs="Arial" w:eastAsia="Arial" w:hAnsi="Arial"/>
          <w:sz w:val="17"/>
          <w:szCs w:val="17"/>
          <w:color w:val="auto"/>
        </w:rPr>
      </w:pPr>
      <w:r>
        <w:rPr>
          <w:rFonts w:ascii="Arial" w:cs="Arial" w:eastAsia="Arial" w:hAnsi="Arial"/>
          <w:sz w:val="17"/>
          <w:szCs w:val="17"/>
          <w:color w:val="auto"/>
        </w:rPr>
        <w:t>166</w:t>
      </w:r>
    </w:p>
    <w:p>
      <w:pPr>
        <w:jc w:val="right"/>
        <w:ind w:right="60"/>
        <w:spacing w:after="0" w:line="224" w:lineRule="auto"/>
        <w:rPr>
          <w:sz w:val="20"/>
          <w:szCs w:val="20"/>
          <w:color w:val="auto"/>
        </w:rPr>
      </w:pPr>
      <w:r>
        <w:rPr>
          <w:rFonts w:ascii="Arial" w:cs="Arial" w:eastAsia="Arial" w:hAnsi="Arial"/>
          <w:sz w:val="17"/>
          <w:szCs w:val="17"/>
          <w:color w:val="auto"/>
        </w:rPr>
        <w:t>10,000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7"/>
          <w:szCs w:val="17"/>
          <w:color w:val="auto"/>
        </w:rPr>
        <w:t>11,469</w:t>
      </w:r>
    </w:p>
    <w:p>
      <w:pPr>
        <w:jc w:val="right"/>
        <w:ind w:right="60"/>
        <w:spacing w:after="0" w:line="224" w:lineRule="auto"/>
        <w:rPr>
          <w:sz w:val="20"/>
          <w:szCs w:val="20"/>
          <w:color w:val="auto"/>
        </w:rPr>
      </w:pPr>
      <w:r>
        <w:rPr>
          <w:rFonts w:ascii="Arial" w:cs="Arial" w:eastAsia="Arial" w:hAnsi="Arial"/>
          <w:sz w:val="17"/>
          <w:szCs w:val="17"/>
          <w:color w:val="auto"/>
        </w:rPr>
        <w:t>622</w:t>
      </w:r>
    </w:p>
    <w:p>
      <w:pPr>
        <w:jc w:val="right"/>
        <w:ind w:right="60"/>
        <w:spacing w:after="0" w:line="224" w:lineRule="auto"/>
        <w:rPr>
          <w:sz w:val="20"/>
          <w:szCs w:val="20"/>
          <w:color w:val="auto"/>
        </w:rPr>
      </w:pPr>
      <w:r>
        <w:rPr>
          <w:rFonts w:ascii="Arial" w:cs="Arial" w:eastAsia="Arial" w:hAnsi="Arial"/>
          <w:sz w:val="17"/>
          <w:szCs w:val="17"/>
          <w:color w:val="auto"/>
        </w:rPr>
        <w:t>2,392</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7"/>
          <w:szCs w:val="17"/>
          <w:color w:val="auto"/>
        </w:rPr>
        <w:t>14,654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9,891</w:t>
      </w:r>
    </w:p>
    <w:p>
      <w:pPr>
        <w:spacing w:after="0" w:line="17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944</w:t>
      </w:r>
    </w:p>
    <w:p>
      <w:pPr>
        <w:spacing w:after="0" w:line="35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9,106</w:t>
      </w:r>
    </w:p>
    <w:p>
      <w:pPr>
        <w:spacing w:after="0" w:line="34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w:t>
      </w:r>
    </w:p>
    <w:p>
      <w:pPr>
        <w:jc w:val="right"/>
        <w:ind w:right="60"/>
        <w:spacing w:after="0" w:line="224" w:lineRule="auto"/>
        <w:rPr>
          <w:sz w:val="20"/>
          <w:szCs w:val="20"/>
          <w:color w:val="auto"/>
        </w:rPr>
      </w:pPr>
      <w:r>
        <w:rPr>
          <w:rFonts w:ascii="Arial" w:cs="Arial" w:eastAsia="Arial" w:hAnsi="Arial"/>
          <w:sz w:val="17"/>
          <w:szCs w:val="17"/>
          <w:color w:val="auto"/>
        </w:rPr>
        <w:t>130</w:t>
      </w:r>
    </w:p>
    <w:p>
      <w:pPr>
        <w:jc w:val="right"/>
        <w:spacing w:after="0"/>
        <w:rPr>
          <w:sz w:val="20"/>
          <w:szCs w:val="20"/>
          <w:color w:val="auto"/>
        </w:rPr>
      </w:pPr>
      <w:r>
        <w:rPr>
          <w:rFonts w:ascii="Arial" w:cs="Arial" w:eastAsia="Arial" w:hAnsi="Arial"/>
          <w:sz w:val="17"/>
          <w:szCs w:val="17"/>
          <w:color w:val="auto"/>
        </w:rPr>
        <w:t>(7,314)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(7,183)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ind w:left="620" w:hanging="617"/>
        <w:spacing w:after="0"/>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27,412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1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7131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60" w:space="240"/>
            <w:col w:w="1180"/>
          </w:cols>
          <w:pgMar w:left="320" w:top="448" w:right="399" w:bottom="1440" w:gutter="0" w:footer="0" w:header="0"/>
          <w:type w:val="continuous"/>
        </w:sect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See notes to consolidated financial statements.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80"/>
          </w:cols>
          <w:pgMar w:left="320" w:top="448" w:right="399" w:bottom="1440" w:gutter="0" w:footer="0" w:header="0"/>
          <w:type w:val="continuous"/>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0080" w:type="dxa"/>
            <w:vAlign w:val="bottom"/>
          </w:tcPr>
          <w:p>
            <w:pPr>
              <w:jc w:val="center"/>
              <w:ind w:left="1057"/>
              <w:spacing w:after="0"/>
              <w:rPr>
                <w:sz w:val="20"/>
                <w:szCs w:val="20"/>
                <w:color w:val="auto"/>
              </w:rPr>
            </w:pPr>
            <w:r>
              <w:rPr>
                <w:rFonts w:ascii="Arial" w:cs="Arial" w:eastAsia="Arial" w:hAnsi="Arial"/>
                <w:sz w:val="17"/>
                <w:szCs w:val="17"/>
                <w:b w:val="1"/>
                <w:bCs w:val="1"/>
                <w:color w:val="auto"/>
              </w:rPr>
              <w:t>KEROS THERAPEUTICS, INC.</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80" w:type="dxa"/>
            <w:vAlign w:val="bottom"/>
          </w:tcPr>
          <w:p>
            <w:pPr>
              <w:jc w:val="center"/>
              <w:ind w:left="1037"/>
              <w:spacing w:after="0"/>
              <w:rPr>
                <w:sz w:val="20"/>
                <w:szCs w:val="20"/>
                <w:color w:val="auto"/>
              </w:rPr>
            </w:pPr>
            <w:r>
              <w:rPr>
                <w:rFonts w:ascii="Arial" w:cs="Arial" w:eastAsia="Arial" w:hAnsi="Arial"/>
                <w:sz w:val="17"/>
                <w:szCs w:val="17"/>
                <w:b w:val="1"/>
                <w:bCs w:val="1"/>
                <w:color w:val="auto"/>
              </w:rPr>
              <w:t>Consolidated Statement of Operations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80" w:type="dxa"/>
            <w:vAlign w:val="bottom"/>
          </w:tcPr>
          <w:p>
            <w:pPr>
              <w:jc w:val="center"/>
              <w:ind w:left="1037"/>
              <w:spacing w:after="0"/>
              <w:rPr>
                <w:sz w:val="20"/>
                <w:szCs w:val="20"/>
                <w:color w:val="auto"/>
              </w:rPr>
            </w:pPr>
            <w:r>
              <w:rPr>
                <w:rFonts w:ascii="Arial" w:cs="Arial" w:eastAsia="Arial" w:hAnsi="Arial"/>
                <w:sz w:val="17"/>
                <w:szCs w:val="17"/>
                <w:color w:val="auto"/>
                <w:w w:val="96"/>
              </w:rPr>
              <w:t>(In thousands, except share and per share data)</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8"/>
              <w:spacing w:after="0" w:line="150"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8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80" w:type="dxa"/>
            <w:vAlign w:val="bottom"/>
          </w:tcPr>
          <w:p>
            <w:pPr>
              <w:ind w:left="220"/>
              <w:spacing w:after="0" w:line="183" w:lineRule="exact"/>
              <w:rPr>
                <w:sz w:val="20"/>
                <w:szCs w:val="20"/>
                <w:color w:val="auto"/>
              </w:rPr>
            </w:pPr>
            <w:r>
              <w:rPr>
                <w:rFonts w:ascii="Arial" w:cs="Arial" w:eastAsia="Arial" w:hAnsi="Arial"/>
                <w:sz w:val="17"/>
                <w:szCs w:val="17"/>
                <w:color w:val="auto"/>
              </w:rPr>
              <w:t>Research collaboration revenue</w:t>
            </w: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89"/>
        </w:trPr>
        <w:tc>
          <w:tcPr>
            <w:tcW w:w="10100" w:type="dxa"/>
            <w:vAlign w:val="bottom"/>
            <w:gridSpan w:val="2"/>
          </w:tcPr>
          <w:p>
            <w:pPr>
              <w:spacing w:after="0" w:line="189" w:lineRule="exact"/>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(10,111)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tcPr>
          <w:p>
            <w:pPr>
              <w:ind w:left="220"/>
              <w:spacing w:after="0" w:line="183" w:lineRule="exact"/>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5"/>
                <w:szCs w:val="15"/>
                <w:color w:val="auto"/>
              </w:rPr>
            </w:pPr>
          </w:p>
        </w:tc>
        <w:tc>
          <w:tcPr>
            <w:tcW w:w="9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(11,691)</w:t>
            </w:r>
          </w:p>
        </w:tc>
        <w:tc>
          <w:tcPr>
            <w:tcW w:w="0" w:type="dxa"/>
            <w:vAlign w:val="bottom"/>
          </w:tcPr>
          <w:p>
            <w:pPr>
              <w:spacing w:after="0"/>
              <w:rPr>
                <w:sz w:val="1"/>
                <w:szCs w:val="1"/>
                <w:color w:val="auto"/>
              </w:rPr>
            </w:pPr>
          </w:p>
        </w:tc>
      </w:tr>
      <w:tr>
        <w:trPr>
          <w:trHeight w:val="20"/>
        </w:trPr>
        <w:tc>
          <w:tcPr>
            <w:tcW w:w="1010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(1,691)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OTHER INCOME, NET:</w:t>
            </w: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tcPr>
          <w:p>
            <w:pPr>
              <w:ind w:left="220"/>
              <w:spacing w:after="0" w:line="183" w:lineRule="exact"/>
              <w:rPr>
                <w:sz w:val="20"/>
                <w:szCs w:val="20"/>
                <w:color w:val="auto"/>
              </w:rPr>
            </w:pPr>
            <w:r>
              <w:rPr>
                <w:rFonts w:ascii="Arial" w:cs="Arial" w:eastAsia="Arial" w:hAnsi="Arial"/>
                <w:sz w:val="17"/>
                <w:szCs w:val="17"/>
                <w:color w:val="auto"/>
              </w:rPr>
              <w:t>Interest income, net</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Research and development incentive income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80" w:type="dxa"/>
            <w:vAlign w:val="bottom"/>
          </w:tcPr>
          <w:p>
            <w:pPr>
              <w:ind w:left="220"/>
              <w:spacing w:after="0" w:line="183" w:lineRule="exact"/>
              <w:rPr>
                <w:sz w:val="20"/>
                <w:szCs w:val="20"/>
                <w:color w:val="auto"/>
              </w:rPr>
            </w:pPr>
            <w:r>
              <w:rPr>
                <w:rFonts w:ascii="Arial" w:cs="Arial" w:eastAsia="Arial" w:hAnsi="Arial"/>
                <w:sz w:val="17"/>
                <w:szCs w:val="17"/>
                <w:color w:val="auto"/>
              </w:rPr>
              <w:t>Other income, net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Total other income, net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100" w:type="dxa"/>
            <w:vAlign w:val="bottom"/>
            <w:gridSpan w:val="2"/>
          </w:tcPr>
          <w:p>
            <w:pPr>
              <w:spacing w:after="0" w:line="189" w:lineRule="exact"/>
              <w:rPr>
                <w:sz w:val="20"/>
                <w:szCs w:val="20"/>
                <w:color w:val="auto"/>
              </w:rPr>
            </w:pPr>
            <w:r>
              <w:rPr>
                <w:rFonts w:ascii="Arial" w:cs="Arial" w:eastAsia="Arial" w:hAnsi="Arial"/>
                <w:sz w:val="17"/>
                <w:szCs w:val="17"/>
                <w:color w:val="auto"/>
              </w:rPr>
              <w:t>Loss before income taxes</w:t>
            </w:r>
          </w:p>
        </w:tc>
        <w:tc>
          <w:tcPr>
            <w:tcW w:w="20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Income tax provision</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1010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gridSpan w:val="2"/>
            <w:vMerge w:val="continue"/>
          </w:tcPr>
          <w:p>
            <w:pPr>
              <w:spacing w:after="0"/>
              <w:rPr>
                <w:sz w:val="16"/>
                <w:szCs w:val="16"/>
                <w:color w:val="auto"/>
              </w:rPr>
            </w:pPr>
          </w:p>
        </w:tc>
        <w:tc>
          <w:tcPr>
            <w:tcW w:w="2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8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Net loss attributable to common stockholders—basic and diluted (Note 12)</w:t>
            </w:r>
          </w:p>
        </w:tc>
        <w:tc>
          <w:tcPr>
            <w:tcW w:w="2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20"/>
        </w:trPr>
        <w:tc>
          <w:tcPr>
            <w:tcW w:w="1010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00" w:type="dxa"/>
            <w:vAlign w:val="bottom"/>
            <w:gridSpan w:val="2"/>
            <w:vMerge w:val="continue"/>
          </w:tcPr>
          <w:p>
            <w:pPr>
              <w:spacing w:after="0"/>
              <w:rPr>
                <w:sz w:val="15"/>
                <w:szCs w:val="15"/>
                <w:color w:val="auto"/>
              </w:rPr>
            </w:pPr>
          </w:p>
        </w:tc>
        <w:tc>
          <w:tcPr>
            <w:tcW w:w="200" w:type="dxa"/>
            <w:vAlign w:val="bottom"/>
          </w:tcPr>
          <w:p>
            <w:pPr>
              <w:spacing w:after="0" w:line="175"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8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Weighted-average common stock outstanding—basic and diluted</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7"/>
                <w:szCs w:val="17"/>
                <w:color w:val="auto"/>
              </w:rPr>
              <w:t>4,719,371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320" w:top="448" w:right="3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KEROS THERAPEUTICS, INC.</w:t>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Convertible Preferred Stock and Stockholders’ Deficit</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1367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341"/>
              <w:spacing w:after="0"/>
              <w:rPr>
                <w:sz w:val="20"/>
                <w:szCs w:val="20"/>
                <w:color w:val="auto"/>
              </w:rPr>
            </w:pPr>
            <w:r>
              <w:rPr>
                <w:rFonts w:ascii="Arial" w:cs="Arial" w:eastAsia="Arial" w:hAnsi="Arial"/>
                <w:sz w:val="14"/>
                <w:szCs w:val="14"/>
                <w:b w:val="1"/>
                <w:bCs w:val="1"/>
                <w:color w:val="auto"/>
                <w:w w:val="99"/>
              </w:rPr>
              <w:t>CONVERTIBLE PREFERRED STOCK</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8"/>
              </w:rPr>
              <w:t>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00" w:type="dxa"/>
            <w:vAlign w:val="bottom"/>
            <w:gridSpan w:val="5"/>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$0.0001 PAR VALUE</w:t>
            </w:r>
          </w:p>
        </w:tc>
        <w:tc>
          <w:tcPr>
            <w:tcW w:w="1480" w:type="dxa"/>
            <w:vAlign w:val="bottom"/>
            <w:gridSpan w:val="5"/>
          </w:tcPr>
          <w:p>
            <w:pPr>
              <w:ind w:left="280"/>
              <w:spacing w:after="0" w:line="139" w:lineRule="exact"/>
              <w:rPr>
                <w:sz w:val="20"/>
                <w:szCs w:val="20"/>
                <w:color w:val="auto"/>
              </w:rPr>
            </w:pPr>
            <w:r>
              <w:rPr>
                <w:rFonts w:ascii="Arial" w:cs="Arial" w:eastAsia="Arial" w:hAnsi="Arial"/>
                <w:sz w:val="14"/>
                <w:szCs w:val="14"/>
                <w:b w:val="1"/>
                <w:bCs w:val="1"/>
                <w:color w:val="auto"/>
              </w:rPr>
              <w:t>$0.0001 PAR</w:t>
            </w:r>
          </w:p>
        </w:tc>
        <w:tc>
          <w:tcPr>
            <w:tcW w:w="1580" w:type="dxa"/>
            <w:vAlign w:val="bottom"/>
            <w:tcBorders>
              <w:right w:val="single" w:sz="8" w:color="auto"/>
            </w:tcBorders>
            <w:gridSpan w:val="4"/>
          </w:tcPr>
          <w:p>
            <w:pPr>
              <w:jc w:val="right"/>
              <w:ind w:right="77"/>
              <w:spacing w:after="0" w:line="139" w:lineRule="exact"/>
              <w:rPr>
                <w:sz w:val="20"/>
                <w:szCs w:val="20"/>
                <w:color w:val="auto"/>
              </w:rPr>
            </w:pPr>
            <w:r>
              <w:rPr>
                <w:rFonts w:ascii="Arial" w:cs="Arial" w:eastAsia="Arial" w:hAnsi="Arial"/>
                <w:sz w:val="14"/>
                <w:szCs w:val="14"/>
                <w:b w:val="1"/>
                <w:bCs w:val="1"/>
                <w:color w:val="auto"/>
              </w:rPr>
              <w:t>$0.0001 PAR VALUE</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97"/>
              </w:rPr>
              <w:t>SERIES A</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VALUE SERIES A-1</w:t>
            </w:r>
          </w:p>
        </w:tc>
        <w:tc>
          <w:tcPr>
            <w:tcW w:w="1580" w:type="dxa"/>
            <w:vAlign w:val="bottom"/>
            <w:tcBorders>
              <w:right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SERIES B-1</w:t>
            </w:r>
          </w:p>
        </w:tc>
        <w:tc>
          <w:tcPr>
            <w:tcW w:w="60" w:type="dxa"/>
            <w:vAlign w:val="bottom"/>
          </w:tcPr>
          <w:p>
            <w:pPr>
              <w:spacing w:after="0"/>
              <w:rPr>
                <w:sz w:val="14"/>
                <w:szCs w:val="14"/>
                <w:color w:val="auto"/>
              </w:rPr>
            </w:pPr>
          </w:p>
        </w:tc>
        <w:tc>
          <w:tcPr>
            <w:tcW w:w="15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$0.0001 PAR 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PAID-IN</w:t>
            </w:r>
          </w:p>
        </w:tc>
        <w:tc>
          <w:tcPr>
            <w:tcW w:w="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260"/>
              <w:spacing w:after="0" w:line="150"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4"/>
                <w:szCs w:val="14"/>
                <w:b w:val="1"/>
                <w:bCs w:val="1"/>
                <w:color w:val="auto"/>
                <w:w w:val="97"/>
              </w:rPr>
              <w:t>AMOUNT</w:t>
            </w:r>
          </w:p>
        </w:tc>
        <w:tc>
          <w:tcPr>
            <w:tcW w:w="100" w:type="dxa"/>
            <w:vAlign w:val="bottom"/>
          </w:tcPr>
          <w:p>
            <w:pPr>
              <w:spacing w:after="0"/>
              <w:rPr>
                <w:sz w:val="13"/>
                <w:szCs w:val="13"/>
                <w:color w:val="auto"/>
              </w:rPr>
            </w:pPr>
          </w:p>
        </w:tc>
        <w:tc>
          <w:tcPr>
            <w:tcW w:w="76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4"/>
                <w:szCs w:val="14"/>
                <w:b w:val="1"/>
                <w:bCs w:val="1"/>
                <w:color w:val="auto"/>
                <w:w w:val="97"/>
              </w:rPr>
              <w:t>AMOUNT</w:t>
            </w:r>
          </w:p>
        </w:tc>
        <w:tc>
          <w:tcPr>
            <w:tcW w:w="100" w:type="dxa"/>
            <w:vAlign w:val="bottom"/>
          </w:tcPr>
          <w:p>
            <w:pPr>
              <w:spacing w:after="0"/>
              <w:rPr>
                <w:sz w:val="13"/>
                <w:szCs w:val="13"/>
                <w:color w:val="auto"/>
              </w:rPr>
            </w:pPr>
          </w:p>
        </w:tc>
        <w:tc>
          <w:tcPr>
            <w:tcW w:w="800" w:type="dxa"/>
            <w:vAlign w:val="bottom"/>
            <w:tcBorders>
              <w:top w:val="single" w:sz="8" w:color="auto"/>
            </w:tcBorders>
          </w:tcPr>
          <w:p>
            <w:pPr>
              <w:jc w:val="right"/>
              <w:ind w:right="41"/>
              <w:spacing w:after="0" w:line="150"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right w:val="single" w:sz="8" w:color="auto"/>
            </w:tcBorders>
            <w:gridSpan w:val="2"/>
          </w:tcPr>
          <w:p>
            <w:pPr>
              <w:spacing w:after="0" w:line="150"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line="150"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40"/>
              <w:spacing w:after="0" w:line="150"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1100" w:type="dxa"/>
            <w:vAlign w:val="bottom"/>
            <w:gridSpan w:val="2"/>
          </w:tcPr>
          <w:p>
            <w:pPr>
              <w:jc w:val="right"/>
              <w:ind w:right="440"/>
              <w:spacing w:after="0" w:line="150"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5"/>
                <w:szCs w:val="15"/>
                <w:b w:val="1"/>
                <w:bCs w:val="1"/>
                <w:color w:val="auto"/>
              </w:rPr>
              <w:t>BALANCE,</w:t>
            </w: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b w:val="1"/>
                <w:bCs w:val="1"/>
                <w:color w:val="auto"/>
              </w:rPr>
              <w:t>January 1,</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2018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800,000</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4,532,432</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(5,979)</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(5,937)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tcPr>
          <w:p>
            <w:pPr>
              <w:spacing w:after="0" w:line="177" w:lineRule="exact"/>
              <w:rPr>
                <w:sz w:val="20"/>
                <w:szCs w:val="20"/>
                <w:color w:val="auto"/>
              </w:rPr>
            </w:pPr>
            <w:r>
              <w:rPr>
                <w:rFonts w:ascii="Arial" w:cs="Arial" w:eastAsia="Arial" w:hAnsi="Arial"/>
                <w:sz w:val="17"/>
                <w:szCs w:val="17"/>
                <w:color w:val="auto"/>
              </w:rPr>
              <w:t>Issuance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Series B-1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convertible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preferred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stock, net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issuance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costs of $45</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and $2,349</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discount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associated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with preferred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stock tranche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ind w:left="220"/>
              <w:spacing w:after="0" w:line="189" w:lineRule="exact"/>
              <w:rPr>
                <w:sz w:val="20"/>
                <w:szCs w:val="20"/>
                <w:color w:val="auto"/>
              </w:rPr>
            </w:pPr>
            <w:r>
              <w:rPr>
                <w:rFonts w:ascii="Arial" w:cs="Arial" w:eastAsia="Arial" w:hAnsi="Arial"/>
                <w:sz w:val="17"/>
                <w:szCs w:val="17"/>
                <w:color w:val="auto"/>
              </w:rPr>
              <w:t>rights</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3,427,004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9,106</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82"/>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Exercise of</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common stock</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options</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111,975</w:t>
            </w: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2"/>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tcPr>
          <w:p>
            <w:pPr>
              <w:spacing w:after="0" w:line="177" w:lineRule="exact"/>
              <w:rPr>
                <w:sz w:val="20"/>
                <w:szCs w:val="20"/>
                <w:color w:val="auto"/>
              </w:rPr>
            </w:pPr>
            <w:r>
              <w:rPr>
                <w:rFonts w:ascii="Arial" w:cs="Arial" w:eastAsia="Arial" w:hAnsi="Arial"/>
                <w:sz w:val="17"/>
                <w:szCs w:val="17"/>
                <w:color w:val="auto"/>
              </w:rPr>
              <w:t>Vesting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ind w:left="220"/>
              <w:spacing w:after="0" w:line="183" w:lineRule="exact"/>
              <w:rPr>
                <w:sz w:val="20"/>
                <w:szCs w:val="20"/>
                <w:color w:val="auto"/>
              </w:rPr>
            </w:pPr>
            <w:r>
              <w:rPr>
                <w:rFonts w:ascii="Arial" w:cs="Arial" w:eastAsia="Arial" w:hAnsi="Arial"/>
                <w:sz w:val="17"/>
                <w:szCs w:val="17"/>
                <w:color w:val="auto"/>
              </w:rPr>
              <w:t>restricted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ind w:left="220"/>
              <w:spacing w:after="0" w:line="189" w:lineRule="exact"/>
              <w:rPr>
                <w:sz w:val="20"/>
                <w:szCs w:val="20"/>
                <w:color w:val="auto"/>
              </w:rPr>
            </w:pPr>
            <w:r>
              <w:rPr>
                <w:rFonts w:ascii="Arial" w:cs="Arial" w:eastAsia="Arial" w:hAnsi="Arial"/>
                <w:sz w:val="17"/>
                <w:szCs w:val="17"/>
                <w:color w:val="auto"/>
              </w:rPr>
              <w:t>stock</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225,000</w:t>
            </w:r>
          </w:p>
        </w:tc>
        <w:tc>
          <w:tcPr>
            <w:tcW w:w="440" w:type="dxa"/>
            <w:vAlign w:val="bottom"/>
          </w:tcPr>
          <w:p>
            <w:pPr>
              <w:spacing w:after="0"/>
              <w:rPr>
                <w:sz w:val="16"/>
                <w:szCs w:val="16"/>
                <w:color w:val="auto"/>
              </w:rPr>
            </w:pPr>
          </w:p>
        </w:tc>
        <w:tc>
          <w:tcPr>
            <w:tcW w:w="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82"/>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Stock-based</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compensation</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2"/>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81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line="183" w:lineRule="exact"/>
              <w:rPr>
                <w:sz w:val="20"/>
                <w:szCs w:val="20"/>
                <w:color w:val="auto"/>
              </w:rPr>
            </w:pPr>
            <w:r>
              <w:rPr>
                <w:rFonts w:ascii="Arial" w:cs="Arial" w:eastAsia="Arial" w:hAnsi="Arial"/>
                <w:sz w:val="17"/>
                <w:szCs w:val="17"/>
                <w:color w:val="auto"/>
              </w:rPr>
              <w:t>Net loss</w:t>
            </w:r>
          </w:p>
        </w:tc>
        <w:tc>
          <w:tcPr>
            <w:tcW w:w="9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w w:val="82"/>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(1,335)</w:t>
            </w:r>
          </w:p>
        </w:tc>
        <w:tc>
          <w:tcPr>
            <w:tcW w:w="220" w:type="dxa"/>
            <w:vAlign w:val="bottom"/>
          </w:tcPr>
          <w:p>
            <w:pPr>
              <w:spacing w:after="0"/>
              <w:rPr>
                <w:sz w:val="16"/>
                <w:szCs w:val="16"/>
                <w:color w:val="auto"/>
              </w:rPr>
            </w:pPr>
          </w:p>
        </w:tc>
        <w:tc>
          <w:tcPr>
            <w:tcW w:w="11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60" w:type="dxa"/>
            <w:vAlign w:val="bottom"/>
            <w:shd w:val="clear" w:color="auto" w:fill="CCEEFF"/>
          </w:tcPr>
          <w:p>
            <w:pPr>
              <w:spacing w:after="0" w:line="157" w:lineRule="exact"/>
              <w:rPr>
                <w:sz w:val="20"/>
                <w:szCs w:val="20"/>
                <w:color w:val="auto"/>
              </w:rPr>
            </w:pPr>
            <w:r>
              <w:rPr>
                <w:rFonts w:ascii="Arial" w:cs="Arial" w:eastAsia="Arial" w:hAnsi="Arial"/>
                <w:sz w:val="17"/>
                <w:szCs w:val="17"/>
                <w:b w:val="1"/>
                <w:bCs w:val="1"/>
                <w:color w:val="auto"/>
              </w:rPr>
              <w:t>BALANCE,</w:t>
            </w: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b w:val="1"/>
                <w:bCs w:val="1"/>
                <w:color w:val="auto"/>
              </w:rPr>
              <w:t>December 31,</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2018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800,000</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3,427,004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4,869,407</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(7,314)</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notes to consolidated financial statements.</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9860" w:type="dxa"/>
            <w:vAlign w:val="bottom"/>
          </w:tcPr>
          <w:p>
            <w:pPr>
              <w:jc w:val="center"/>
              <w:ind w:left="1277"/>
              <w:spacing w:after="0"/>
              <w:rPr>
                <w:sz w:val="20"/>
                <w:szCs w:val="20"/>
                <w:color w:val="auto"/>
              </w:rPr>
            </w:pPr>
            <w:r>
              <w:rPr>
                <w:rFonts w:ascii="Arial" w:cs="Arial" w:eastAsia="Arial" w:hAnsi="Arial"/>
                <w:sz w:val="17"/>
                <w:szCs w:val="17"/>
                <w:b w:val="1"/>
                <w:bCs w:val="1"/>
                <w:color w:val="auto"/>
              </w:rPr>
              <w:t>KEROS THERAPEUTICS, INC.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9860" w:type="dxa"/>
            <w:vAlign w:val="bottom"/>
          </w:tcPr>
          <w:p>
            <w:pPr>
              <w:jc w:val="center"/>
              <w:ind w:left="1277"/>
              <w:spacing w:after="0"/>
              <w:rPr>
                <w:sz w:val="20"/>
                <w:szCs w:val="20"/>
                <w:color w:val="auto"/>
              </w:rPr>
            </w:pPr>
            <w:r>
              <w:rPr>
                <w:rFonts w:ascii="Arial" w:cs="Arial" w:eastAsia="Arial" w:hAnsi="Arial"/>
                <w:sz w:val="17"/>
                <w:szCs w:val="17"/>
                <w:b w:val="1"/>
                <w:bCs w:val="1"/>
                <w:color w:val="auto"/>
              </w:rPr>
              <w:t>Consolidated Statement of Cash Flows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60" w:type="dxa"/>
            <w:vAlign w:val="bottom"/>
          </w:tcPr>
          <w:p>
            <w:pPr>
              <w:jc w:val="center"/>
              <w:ind w:left="1277"/>
              <w:spacing w:after="0"/>
              <w:rPr>
                <w:sz w:val="20"/>
                <w:szCs w:val="20"/>
                <w:color w:val="auto"/>
              </w:rPr>
            </w:pPr>
            <w:r>
              <w:rPr>
                <w:rFonts w:ascii="Arial" w:cs="Arial" w:eastAsia="Arial" w:hAnsi="Arial"/>
                <w:sz w:val="17"/>
                <w:szCs w:val="17"/>
                <w:color w:val="auto"/>
                <w:w w:val="97"/>
              </w:rPr>
              <w:t>(In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8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8"/>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86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spacing w:after="0" w:line="183" w:lineRule="exact"/>
              <w:rPr>
                <w:sz w:val="20"/>
                <w:szCs w:val="20"/>
                <w:color w:val="auto"/>
              </w:rPr>
            </w:pPr>
            <w:r>
              <w:rPr>
                <w:rFonts w:ascii="Arial" w:cs="Arial" w:eastAsia="Arial" w:hAnsi="Arial"/>
                <w:sz w:val="17"/>
                <w:szCs w:val="17"/>
                <w:color w:val="auto"/>
              </w:rPr>
              <w:t>Net loss</w:t>
            </w:r>
          </w:p>
        </w:tc>
        <w:tc>
          <w:tcPr>
            <w:tcW w:w="2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Adjustments to reconcile net loss to net cash provided by operating activities: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220"/>
              <w:spacing w:after="0" w:line="183" w:lineRule="exact"/>
              <w:rPr>
                <w:sz w:val="20"/>
                <w:szCs w:val="20"/>
                <w:color w:val="auto"/>
              </w:rPr>
            </w:pPr>
            <w:r>
              <w:rPr>
                <w:rFonts w:ascii="Arial" w:cs="Arial" w:eastAsia="Arial" w:hAnsi="Arial"/>
                <w:sz w:val="17"/>
                <w:szCs w:val="17"/>
                <w:color w:val="auto"/>
              </w:rPr>
              <w:t>Depreciation expense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81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220"/>
              <w:spacing w:after="0" w:line="183" w:lineRule="exact"/>
              <w:rPr>
                <w:sz w:val="20"/>
                <w:szCs w:val="20"/>
                <w:color w:val="auto"/>
              </w:rPr>
            </w:pPr>
            <w:r>
              <w:rPr>
                <w:rFonts w:ascii="Arial" w:cs="Arial" w:eastAsia="Arial" w:hAnsi="Arial"/>
                <w:sz w:val="17"/>
                <w:szCs w:val="17"/>
                <w:color w:val="auto"/>
              </w:rPr>
              <w:t>Non-cash lease expense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Changes in fair value of preferred stock tranche obligation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220"/>
              <w:spacing w:after="0" w:line="183" w:lineRule="exact"/>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Research and development incentive receivable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480"/>
              <w:spacing w:after="0" w:line="183"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480"/>
              <w:spacing w:after="0" w:line="183" w:lineRule="exact"/>
              <w:rPr>
                <w:sz w:val="20"/>
                <w:szCs w:val="20"/>
                <w:color w:val="auto"/>
              </w:rPr>
            </w:pPr>
            <w:r>
              <w:rPr>
                <w:rFonts w:ascii="Arial" w:cs="Arial" w:eastAsia="Arial" w:hAnsi="Arial"/>
                <w:sz w:val="17"/>
                <w:szCs w:val="17"/>
                <w:color w:val="auto"/>
              </w:rPr>
              <w:t>Current portion of operating lease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Proceeds from Novo Nordisk A/S collaboration and license agreement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480"/>
              <w:spacing w:after="0" w:line="183" w:lineRule="exact"/>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Accrued expenses and other current liabilities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506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ind w:left="480"/>
              <w:spacing w:after="0" w:line="183" w:lineRule="exact"/>
              <w:rPr>
                <w:sz w:val="20"/>
                <w:szCs w:val="20"/>
                <w:color w:val="auto"/>
              </w:rPr>
            </w:pPr>
            <w:r>
              <w:rPr>
                <w:rFonts w:ascii="Arial" w:cs="Arial" w:eastAsia="Arial" w:hAnsi="Arial"/>
                <w:sz w:val="17"/>
                <w:szCs w:val="17"/>
                <w:color w:val="auto"/>
              </w:rPr>
              <w:t>Operating lease liabilities, net of current portion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172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vMerge w:val="restart"/>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9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7,042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INVESTING ACTIVITIES:</w:t>
            </w: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spacing w:after="0" w:line="183" w:lineRule="exact"/>
              <w:rPr>
                <w:sz w:val="20"/>
                <w:szCs w:val="20"/>
                <w:color w:val="auto"/>
              </w:rPr>
            </w:pPr>
            <w:r>
              <w:rPr>
                <w:rFonts w:ascii="Arial" w:cs="Arial" w:eastAsia="Arial" w:hAnsi="Arial"/>
                <w:sz w:val="17"/>
                <w:szCs w:val="17"/>
                <w:color w:val="auto"/>
              </w:rPr>
              <w:t>Purchase of property and equipment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189"/>
        </w:trPr>
        <w:tc>
          <w:tcPr>
            <w:tcW w:w="9880" w:type="dxa"/>
            <w:vAlign w:val="bottom"/>
            <w:gridSpan w:val="2"/>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issuance of Series B-1 preferred stock</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spacing w:after="0" w:line="183" w:lineRule="exact"/>
              <w:rPr>
                <w:sz w:val="20"/>
                <w:szCs w:val="20"/>
                <w:color w:val="auto"/>
              </w:rPr>
            </w:pPr>
            <w:r>
              <w:rPr>
                <w:rFonts w:ascii="Arial" w:cs="Arial" w:eastAsia="Arial" w:hAnsi="Arial"/>
                <w:sz w:val="17"/>
                <w:szCs w:val="17"/>
                <w:color w:val="auto"/>
              </w:rPr>
              <w:t>Payment of issuance costs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exercise of stock options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vMerge w:val="restart"/>
          </w:tcPr>
          <w:p>
            <w:pPr>
              <w:ind w:left="220"/>
              <w:spacing w:after="0"/>
              <w:rPr>
                <w:sz w:val="20"/>
                <w:szCs w:val="20"/>
                <w:color w:val="auto"/>
              </w:rPr>
            </w:pPr>
            <w:r>
              <w:rPr>
                <w:rFonts w:ascii="Arial" w:cs="Arial" w:eastAsia="Arial" w:hAnsi="Arial"/>
                <w:sz w:val="17"/>
                <w:szCs w:val="17"/>
                <w:color w:val="auto"/>
              </w:rPr>
              <w:t>Net cash provided by financing activities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11,463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INCREASE IN CASH, CASH EQUIVALENTS AND RESTRICTED CASH</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18,288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tcPr>
          <w:p>
            <w:pPr>
              <w:spacing w:after="0" w:line="183" w:lineRule="exact"/>
              <w:rPr>
                <w:sz w:val="20"/>
                <w:szCs w:val="20"/>
                <w:color w:val="auto"/>
              </w:rPr>
            </w:pPr>
            <w:r>
              <w:rPr>
                <w:rFonts w:ascii="Arial" w:cs="Arial" w:eastAsia="Arial" w:hAnsi="Arial"/>
                <w:sz w:val="17"/>
                <w:szCs w:val="17"/>
                <w:color w:val="auto"/>
              </w:rPr>
              <w:t>Cash, cash equivalents and restricted cash at beginning of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5,102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cash equivalents and restricted cash at end of year</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23,390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Preferred stock tranche obligation in connection with the issuance of Series B-1 convertible preferred stock</w:t>
            </w:r>
          </w:p>
        </w:tc>
        <w:tc>
          <w:tcPr>
            <w:tcW w:w="2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2,349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9880" w:type="dxa"/>
            <w:vAlign w:val="bottom"/>
            <w:gridSpan w:val="2"/>
          </w:tcPr>
          <w:p>
            <w:pPr>
              <w:spacing w:after="0"/>
              <w:rPr>
                <w:sz w:val="20"/>
                <w:szCs w:val="20"/>
                <w:color w:val="auto"/>
              </w:rPr>
            </w:pPr>
            <w:r>
              <w:rPr>
                <w:rFonts w:ascii="Arial" w:cs="Arial" w:eastAsia="Arial" w:hAnsi="Arial"/>
                <w:sz w:val="17"/>
                <w:szCs w:val="17"/>
                <w:color w:val="auto"/>
                <w:w w:val="98"/>
              </w:rPr>
              <w:t>The following table provides a reconciliation of the cash, cash equivalents and restricted cash as of each of the periods shown above: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8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8"/>
              <w:spacing w:after="0" w:line="150"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23,259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tcPr>
          <w:p>
            <w:pPr>
              <w:spacing w:after="0" w:line="183" w:lineRule="exact"/>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131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6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cash, cash equivalents and restricted cash</w:t>
            </w:r>
          </w:p>
        </w:tc>
        <w:tc>
          <w:tcPr>
            <w:tcW w:w="420" w:type="dxa"/>
            <w:vAlign w:val="bottom"/>
            <w:gridSpan w:val="3"/>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40"/>
          </w:cols>
          <w:pgMar w:left="320" w:top="448" w:right="3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KEROS THERAPEUTICS, INC.</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96"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Keros Therapeutics, Inc. (“Keros” or the “Company”) was incorporated in 2015 as a Delaware corporation. Its principal offices are in Lexington, Massachusetts. The Company is a clinical stage company dedicated to the discovery and development of breakthrough therapeutics for neuromuscular diseases.</w:t>
      </w:r>
    </w:p>
    <w:p>
      <w:pPr>
        <w:spacing w:after="0" w:line="143"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color w:val="auto"/>
        </w:rPr>
        <w:t>The accompanying consolidated financial statements are prepared in conformity with accounting principles generally accepted in the United States of America (“U.S. GAAP”) and include the accounts of the Company and its wholly owned Australian subsidiary, Keros Therapeutics Australia Pty Ltd (“Keros Australia”).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82" w:lineRule="exact"/>
        <w:rPr>
          <w:sz w:val="20"/>
          <w:szCs w:val="20"/>
          <w:color w:val="auto"/>
        </w:rPr>
      </w:pPr>
    </w:p>
    <w:p>
      <w:pPr>
        <w:ind w:right="620"/>
        <w:spacing w:after="0" w:line="233"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43"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Since its inception in 2015, the Company has devoted the majority of its resources on business planning, research and development of its product candidates, including by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 The Company has historically financed its operations primarily through the sale of convertible preferred stock and through its collaboration agreement.</w:t>
      </w:r>
    </w:p>
    <w:p>
      <w:pPr>
        <w:spacing w:after="0" w:line="142"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Company has incurred recurring losses since its inception, including a net loss of $1.3 million for the year ended December 31, 2018. In addition, as of December 31, 2018, the Company had an accumulated deficit of $7.3 million. The Company expects to continue to generate operating losses and negative operating cash flows for the foreseeable future as it continues to develop its product candidates. As of January 17, 2020, the Company expects that its then existing cash and cash equivalents of $6.1 million will be sufficient to fund its operating expenses and capital expenditure requirements into the second quarter of 2020.</w:t>
      </w:r>
    </w:p>
    <w:p>
      <w:pPr>
        <w:spacing w:after="0" w:line="142"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The Company will not generate any revenue from product sales unless and until it successfully completes clinical development and obtains regulatory approval for one or more of its product candidates. If the Company obtains regulatory approval for any of its product candidates, it expects to incur significant expenses related to developing its internal commercialization capability to support product sales, marketing and distribution.</w:t>
      </w:r>
    </w:p>
    <w:p>
      <w:pPr>
        <w:spacing w:after="0" w:line="12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As a result, the Company will need substantial additional funding to support its operating activities as it advances its product candidates through clinical development, seeks regulatory approval and prepares for and, if any of its product candidates are approved, proceeds to commercialization. Until such time as the Company can generate significant revenue from product sales, if ever, the Company expects to finance its operating activities through a combination of equity offerings, debt financings, and license and development agreements in connection with any future collaborations. Adequate funding may not be available to the Company on acceptable terms, or at all.</w:t>
      </w:r>
    </w:p>
    <w:p>
      <w:pPr>
        <w:spacing w:after="0" w:line="14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45" w:lineRule="exact"/>
        <w:rPr>
          <w:sz w:val="20"/>
          <w:szCs w:val="20"/>
          <w:color w:val="auto"/>
        </w:rPr>
      </w:pPr>
    </w:p>
    <w:p>
      <w:pPr>
        <w:jc w:val="both"/>
        <w:ind w:right="80"/>
        <w:spacing w:after="0" w:line="230" w:lineRule="auto"/>
        <w:rPr>
          <w:sz w:val="20"/>
          <w:szCs w:val="20"/>
          <w:color w:val="auto"/>
        </w:rPr>
      </w:pPr>
      <w:r>
        <w:rPr>
          <w:rFonts w:ascii="Arial" w:cs="Arial" w:eastAsia="Arial" w:hAnsi="Arial"/>
          <w:sz w:val="17"/>
          <w:szCs w:val="17"/>
          <w:color w:val="auto"/>
        </w:rPr>
        <w:t>Based on its recurring losses from operations incurred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00"/>
          </w:cols>
          <w:pgMar w:left="320" w:top="448" w:right="3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the satisfaction of liabilities in the normal course of business. These financial statements do not include any adjustments that might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33" w:lineRule="exact"/>
        <w:rPr>
          <w:sz w:val="20"/>
          <w:szCs w:val="20"/>
          <w:color w:val="auto"/>
        </w:rPr>
      </w:pPr>
    </w:p>
    <w:p>
      <w:pPr>
        <w:ind w:right="740"/>
        <w:spacing w:after="0" w:line="233" w:lineRule="auto"/>
        <w:rPr>
          <w:sz w:val="20"/>
          <w:szCs w:val="20"/>
          <w:color w:val="auto"/>
        </w:rPr>
      </w:pPr>
      <w:r>
        <w:rPr>
          <w:rFonts w:ascii="Arial" w:cs="Arial" w:eastAsia="Arial" w:hAnsi="Arial"/>
          <w:sz w:val="17"/>
          <w:szCs w:val="17"/>
          <w:color w:val="auto"/>
        </w:rPr>
        <w:t>The accompanying consolidated financial statements include the accounts of the Company and Keros Australia. All intercompany accounts and transactions have been eliminated in consolidation.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33"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useful lives assigned to property and equipment, the fair values of common and preferred stock and the fair value of the preferred stock tranche obligation. The Company assesses estimates on an ongoing basis; however, actual results could materially differ from those estimates.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33" w:lineRule="exact"/>
        <w:rPr>
          <w:sz w:val="20"/>
          <w:szCs w:val="20"/>
          <w:color w:val="auto"/>
        </w:rPr>
      </w:pPr>
    </w:p>
    <w:p>
      <w:pPr>
        <w:ind w:firstLine="450"/>
        <w:spacing w:after="0" w:line="228" w:lineRule="auto"/>
        <w:rPr>
          <w:sz w:val="20"/>
          <w:szCs w:val="20"/>
          <w:color w:val="auto"/>
        </w:rPr>
      </w:pPr>
      <w:r>
        <w:rPr>
          <w:rFonts w:ascii="Arial" w:cs="Arial" w:eastAsia="Arial" w:hAnsi="Arial"/>
          <w:sz w:val="17"/>
          <w:szCs w:val="17"/>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144" w:lineRule="exact"/>
        <w:rPr>
          <w:sz w:val="20"/>
          <w:szCs w:val="20"/>
          <w:color w:val="auto"/>
        </w:rPr>
      </w:pPr>
    </w:p>
    <w:p>
      <w:pPr>
        <w:ind w:left="460"/>
        <w:spacing w:after="0" w:line="230" w:lineRule="auto"/>
        <w:rPr>
          <w:sz w:val="20"/>
          <w:szCs w:val="20"/>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ind w:left="460" w:right="120"/>
        <w:spacing w:after="0" w:line="233"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5"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3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Cash and cash equivalents consist of standard checking accounts and money market funds. The Company considers all highly liquid investments with an original maturity of 90 days or less at the date of purchase to be cash equivalents.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20"/>
          </w:cols>
          <w:pgMar w:left="320" w:top="448" w:right="3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The Company’s cash equivalents, which are funds held in a money market account, are measured at fair value on a recurring basis. As of December 31, 2018, the carrying amount of cash equivalents was $18.4 million, which approximates fair value and was determined based upon Level 1 inputs. The money market account is valued using quoted market prices with no valuation adjustments applied and is categorized as Level 1.</w:t>
      </w:r>
    </w:p>
    <w:p>
      <w:pPr>
        <w:spacing w:after="0" w:line="121"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The Company had restricted cash of $0.1 million in the form of a certificate of deposit related to its operating lease in Lexington, Massachusetts as of December 31, 2018.</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33"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Financial instruments that potentially subject us to significant concentration of credit risk consist primarily of cash and cash equivalents.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As of December 31, 2018, the Company’s cash and cash equivalents were held with three financial institutions. The Company believes that the market risk arising from its holdings of these financial instruments is mitigated based on the fact that many of these securities are either government backed or of high credit rating.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3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Property and equipment are recorded at cost. Expenditures for repairs and maintenance are expensed as incurred. When assets are retired or disposed of, the assets and related accumulated depreciation are derecognized from the accounts, and any resulting gain or loss is included in the determination of net loss. Depreciation is calculated using the straight-line method over the estimated useful lives of the related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80" w:type="dxa"/>
            <w:vAlign w:val="bottom"/>
            <w:tcBorders>
              <w:bottom w:val="single" w:sz="8" w:color="CCEEFF"/>
            </w:tcBorders>
          </w:tcPr>
          <w:p>
            <w:pPr>
              <w:spacing w:after="0"/>
              <w:rPr>
                <w:sz w:val="15"/>
                <w:szCs w:val="15"/>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ESTIMATED USEFUL LIFE</w:t>
            </w:r>
          </w:p>
        </w:tc>
      </w:tr>
      <w:tr>
        <w:trPr>
          <w:trHeight w:val="176"/>
        </w:trPr>
        <w:tc>
          <w:tcPr>
            <w:tcW w:w="68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Computer equipment and software</w:t>
            </w:r>
          </w:p>
        </w:tc>
        <w:tc>
          <w:tcPr>
            <w:tcW w:w="436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6"/>
              </w:rPr>
              <w:t>3 years</w:t>
            </w:r>
          </w:p>
        </w:tc>
      </w:tr>
      <w:tr>
        <w:trPr>
          <w:trHeight w:val="183"/>
        </w:trPr>
        <w:tc>
          <w:tcPr>
            <w:tcW w:w="6880" w:type="dxa"/>
            <w:vAlign w:val="bottom"/>
          </w:tcPr>
          <w:p>
            <w:pPr>
              <w:spacing w:after="0" w:line="183" w:lineRule="exact"/>
              <w:rPr>
                <w:sz w:val="20"/>
                <w:szCs w:val="20"/>
                <w:color w:val="auto"/>
              </w:rPr>
            </w:pPr>
            <w:r>
              <w:rPr>
                <w:rFonts w:ascii="Arial" w:cs="Arial" w:eastAsia="Arial" w:hAnsi="Arial"/>
                <w:sz w:val="17"/>
                <w:szCs w:val="17"/>
                <w:color w:val="auto"/>
              </w:rPr>
              <w:t>Laboratory equipment</w:t>
            </w:r>
          </w:p>
        </w:tc>
        <w:tc>
          <w:tcPr>
            <w:tcW w:w="4360" w:type="dxa"/>
            <w:vAlign w:val="bottom"/>
          </w:tcPr>
          <w:p>
            <w:pPr>
              <w:jc w:val="center"/>
              <w:spacing w:after="0" w:line="183" w:lineRule="exact"/>
              <w:rPr>
                <w:sz w:val="20"/>
                <w:szCs w:val="20"/>
                <w:color w:val="auto"/>
              </w:rPr>
            </w:pPr>
            <w:r>
              <w:rPr>
                <w:rFonts w:ascii="Arial" w:cs="Arial" w:eastAsia="Arial" w:hAnsi="Arial"/>
                <w:sz w:val="17"/>
                <w:szCs w:val="17"/>
                <w:color w:val="auto"/>
                <w:w w:val="96"/>
              </w:rPr>
              <w:t>5 years</w:t>
            </w:r>
          </w:p>
        </w:tc>
      </w:tr>
      <w:tr>
        <w:trPr>
          <w:trHeight w:val="183"/>
        </w:trPr>
        <w:tc>
          <w:tcPr>
            <w:tcW w:w="6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Office furniture</w:t>
            </w:r>
          </w:p>
        </w:tc>
        <w:tc>
          <w:tcPr>
            <w:tcW w:w="43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w w:val="96"/>
              </w:rPr>
              <w:t>5 years</w:t>
            </w:r>
          </w:p>
        </w:tc>
      </w:tr>
      <w:tr>
        <w:trPr>
          <w:trHeight w:val="198"/>
        </w:trPr>
        <w:tc>
          <w:tcPr>
            <w:tcW w:w="68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4360" w:type="dxa"/>
            <w:vAlign w:val="bottom"/>
          </w:tcPr>
          <w:p>
            <w:pPr>
              <w:jc w:val="center"/>
              <w:spacing w:after="0"/>
              <w:rPr>
                <w:sz w:val="20"/>
                <w:szCs w:val="20"/>
                <w:color w:val="auto"/>
              </w:rPr>
            </w:pPr>
            <w:r>
              <w:rPr>
                <w:rFonts w:ascii="Arial" w:cs="Arial" w:eastAsia="Arial" w:hAnsi="Arial"/>
                <w:sz w:val="17"/>
                <w:szCs w:val="17"/>
                <w:color w:val="auto"/>
                <w:w w:val="97"/>
              </w:rPr>
              <w:t>lesser of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46"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 To date, no impairments have been recognized for these assets.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46"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The Company accounts for its leases under ASC Topic 842, Leases (“ASC 842”). At the inception of an arrangement, the Company determines whether the arrangement is or contains a lease based on the unique facts and circumstances present in the arrangement. Leases with a term greater than 12 months are recognized on the balance sheet as ROU assets and current and non-current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material leases on a quarterly basis.</w:t>
      </w:r>
    </w:p>
    <w:p>
      <w:pPr>
        <w:spacing w:after="0" w:line="144"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48" w:right="3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which the Company could borrow on a collateralized basis the amount of the lease payments in the same currency, for a similar term, in a similar economic environment. In transition to ASC 842, the Company utilized the remaining lease term of its lease in determining the appropriate incremental borrowing rate.</w:t>
      </w:r>
    </w:p>
    <w:p>
      <w:pPr>
        <w:spacing w:after="0" w:line="143" w:lineRule="exact"/>
        <w:rPr>
          <w:sz w:val="20"/>
          <w:szCs w:val="20"/>
          <w:color w:val="auto"/>
        </w:rPr>
      </w:pPr>
    </w:p>
    <w:p>
      <w:pPr>
        <w:ind w:right="780"/>
        <w:spacing w:after="0" w:line="233" w:lineRule="auto"/>
        <w:rPr>
          <w:sz w:val="20"/>
          <w:szCs w:val="20"/>
          <w:color w:val="auto"/>
        </w:rPr>
      </w:pPr>
      <w:r>
        <w:rPr>
          <w:rFonts w:ascii="Arial" w:cs="Arial" w:eastAsia="Arial" w:hAnsi="Arial"/>
          <w:sz w:val="17"/>
          <w:szCs w:val="17"/>
          <w:color w:val="auto"/>
        </w:rPr>
        <w:t>For all asset classes of its leases, the Company has elected to account for the lease and non-lease components together for existing classes of underlying assets.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33"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December 31,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liabilities have been established.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33"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Research and development costs are charged to expense as incurred. Research and development costs consist of expenses incurred in performing research and development activities, including salaries and benefits, materials and supplies, preclinical expenses, stock-based compensation expense, depreciation of equipment, contract services, facilities, and other outside expenses. Costs for external development activities are recognized based on an evaluation of the progress to completion of specific tasks using information provided to the Company by its vendors. Payments for these activities are based on the terms of the individual arrangements, which may differ from the pattern of costs incurred, and are reflected in the consolidated financial statements as prepaid expense or accrued research and development expense.</w:t>
      </w:r>
    </w:p>
    <w:p>
      <w:pPr>
        <w:spacing w:after="0" w:line="144" w:lineRule="exact"/>
        <w:rPr>
          <w:sz w:val="20"/>
          <w:szCs w:val="20"/>
          <w:color w:val="auto"/>
        </w:rPr>
      </w:pPr>
    </w:p>
    <w:p>
      <w:pPr>
        <w:ind w:right="520"/>
        <w:spacing w:after="0" w:line="233" w:lineRule="auto"/>
        <w:rPr>
          <w:sz w:val="20"/>
          <w:szCs w:val="20"/>
          <w:color w:val="auto"/>
        </w:rPr>
      </w:pPr>
      <w:r>
        <w:rPr>
          <w:rFonts w:ascii="Arial" w:cs="Arial" w:eastAsia="Arial" w:hAnsi="Arial"/>
          <w:sz w:val="17"/>
          <w:szCs w:val="17"/>
          <w:color w:val="auto"/>
        </w:rPr>
        <w:t>Nonrefundable advance payments for goods or services to be received in the future for use in research and development activities are recorded as prepaid expenses and expensed as the related goods are delivered or the services are performed.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Incentive</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Company is eligible to participate in an Australian research and development tax incentive program under which the Company is eligible to receive a cash refund from the Australian Taxation Office for a percentage of the research and development costs expended by the Company in Australia. The cash refund is available to companies with an annual aggregate revenue of less than $20.0 million (Australian) during the reimbursable period. Under the program, 43.5% of eligible research and development expenses incurred by the Company through its subsidiary in Australia are reimbursed.</w:t>
      </w:r>
    </w:p>
    <w:p>
      <w:pPr>
        <w:spacing w:after="0" w:line="126"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Company’s estimate of the cash refund it expects to receive related to the Australian research and development tax incentive program is included in other assets in the accompanying consolidated balance sheet and such amounts are recorded as research and development incentive income in the statement of operations. The Company recognizes research and development incentive income when there is reasonable assurance that the income will be received, the relevant expenditure has been incurred, and the consideration can be reliably measured. The Company has recorded a research and development incentive receivable of $0.4 million and other income from Australian research and development incentives of $0.4 million for the year ended December 31, 2018 related to refundable research and development incentive program payments in Australia.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To date, the Company has earned revenue solely under the license agreement with Novo Nordisk A/S.</w:t>
      </w:r>
    </w:p>
    <w:p>
      <w:pPr>
        <w:spacing w:after="0" w:line="126"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Company enters into certain agreements that are within the scope of ASC 606, under which the Company licenses, may license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320" w:top="448" w:right="3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The promised goods or services in the Company’s arrangements typically consist of a license, or option to license, rights to the Company’s intellectual property or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30"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4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 Company’s contracts often include development and regulatory milestone payments that are as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collaboration and other research and development revenue in the period of adjustment.</w:t>
      </w:r>
    </w:p>
    <w:p>
      <w:pPr>
        <w:spacing w:after="0" w:line="144" w:lineRule="exact"/>
        <w:rPr>
          <w:sz w:val="20"/>
          <w:szCs w:val="20"/>
          <w:color w:val="auto"/>
        </w:rPr>
      </w:pPr>
    </w:p>
    <w:p>
      <w:pPr>
        <w:ind w:right="380"/>
        <w:spacing w:after="0" w:line="228"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or strategic alliance arrangements.</w:t>
      </w:r>
    </w:p>
    <w:p>
      <w:pPr>
        <w:spacing w:after="0" w:line="145"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48" w:right="3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amounts allocated are consistent with the amounts the Company would expect to receive for the satisfaction of each performance obligation.</w:t>
      </w:r>
    </w:p>
    <w:p>
      <w:pPr>
        <w:spacing w:after="0" w:line="144"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42"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33"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The functional currency for the Company’s wholly owned foreign subsidiary, Keros Australia, is the United States dollar. All foreign currency transaction gains and losses are recognized in the consolidated statement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33"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made available for evaluation by the chief operating decision maker (“CODM”) in making decisions regarding resource allocation and assessing performance. The CODM is the Company’s chief executive officer. The Company manages its operations as a single segment for the purposes of assessing performance and making operating decisions. The Company’s singular concentration is focused on the discovery and development of breakthrough therapeutics for neuromuscular diseases.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33"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 xml:space="preserve">Due to the absence of an active market for the Company’s common stock, the Company utilized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to estimate the fair value of its common stock. In determining the exercise prices for options granted, the Company has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33" w:lineRule="exact"/>
        <w:rPr>
          <w:sz w:val="20"/>
          <w:szCs w:val="20"/>
          <w:color w:val="auto"/>
        </w:rPr>
      </w:pPr>
    </w:p>
    <w:p>
      <w:pPr>
        <w:ind w:right="160"/>
        <w:spacing w:after="0" w:line="227" w:lineRule="auto"/>
        <w:rPr>
          <w:sz w:val="20"/>
          <w:szCs w:val="20"/>
          <w:color w:val="auto"/>
        </w:rPr>
      </w:pPr>
      <w:r>
        <w:rPr>
          <w:rFonts w:ascii="Arial" w:cs="Arial" w:eastAsia="Arial" w:hAnsi="Arial"/>
          <w:sz w:val="17"/>
          <w:szCs w:val="17"/>
          <w:color w:val="auto"/>
        </w:rPr>
        <w:t>The Company has classified convertible preferred stock, referred to as preferred stock, as temporary equity in the accompanying consolidated balance sheet due to terms that allow for redemption of the shares in cash upon certain change in control events that are outside of the Company’s control, including sale or transfer of control of the Company as holders of the preferred stock could cause redemption of the shares in these situations. The Company does not accrete the carrying values of the preferred stock to the redemption values since a liquidation event was not considered probable as of December 31, 2018. Subsequent adjustments of the carrying values to the ultimate redemption values will be made only when it becomes probable that such a liquidation event will occur.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33" w:lineRule="exact"/>
        <w:rPr>
          <w:sz w:val="20"/>
          <w:szCs w:val="20"/>
          <w:color w:val="auto"/>
        </w:rPr>
      </w:pPr>
    </w:p>
    <w:p>
      <w:pPr>
        <w:ind w:right="340"/>
        <w:spacing w:after="0" w:line="228" w:lineRule="auto"/>
        <w:rPr>
          <w:sz w:val="20"/>
          <w:szCs w:val="20"/>
          <w:color w:val="auto"/>
        </w:rPr>
      </w:pPr>
      <w:r>
        <w:rPr>
          <w:rFonts w:ascii="Arial" w:cs="Arial" w:eastAsia="Arial" w:hAnsi="Arial"/>
          <w:sz w:val="17"/>
          <w:szCs w:val="17"/>
          <w:color w:val="auto"/>
        </w:rPr>
        <w:t>The Company accounts for all stock-based payment awards granted to employees and non-employees as stock-based compensation expense at fair value. The Company’s stock-based payments include stock options and grants of common stock, including common stock subject to vesting. The measurement date for employee awards is the date of grant, and stock-based compensation costs are recognized as expense over the employees’ requisite service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20"/>
          </w:cols>
          <w:pgMar w:left="320" w:top="448" w:right="3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period, which is the vesting period, on a straight-line basis. Prior to the adoption of Accounting Standards Update (“ASU”) No. 2018-07, “Compensation— Stock Compensation (Topic 718): Improvements to Nonemployee Share-Based Payment Accounting” (“ASU No. 2018-07”) as discussed below under “Recently Adopted Accounting Pronouncements”, the measurement date for non-employee awards was generally the date the services were completed, resulting in financial reporting period adjustments to stock-based compensation during the vesting terms for changes in the fair value of the awards. Since the adoption of ASU 2018-07,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 of operations based on the function to which the related services are provided. The Company recognizes stock-based compensation expense for the portion of awards that have vested. Forfeitures are recorded as they occur.</w:t>
      </w:r>
    </w:p>
    <w:p>
      <w:pPr>
        <w:spacing w:after="0" w:line="130"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option-pricing model. The Company has historically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33"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Comprehensive loss is defined as the change in equity of a business enterprise during a period from transactions and other events and circumstances from non-owner sources. Comprehensive loss is equal to net loss for all periods presented.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33"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Basic net loss per share and diluted net loss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44"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48" w:right="3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for the year ended December 31, 2018.</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2"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No. 2014-09,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with Customers (Topic 606) </w:t>
      </w:r>
      <w:r>
        <w:rPr>
          <w:rFonts w:ascii="Arial" w:cs="Arial" w:eastAsia="Arial" w:hAnsi="Arial"/>
          <w:sz w:val="15"/>
          <w:szCs w:val="15"/>
          <w:color w:val="auto"/>
        </w:rPr>
        <w:t>(“ASU No. 2014-09”), which modifies how all entities recognize revenue, and consolidates into one ASC (ASC Topic 606,</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Revenue from Contracts with Customers) the current guidance found in ASC Topic 605, and various other revenue accounting standards for specialized transactions and industries. In August 2015, the FASB issued ASU No. 2015-14, </w:t>
      </w:r>
      <w:r>
        <w:rPr>
          <w:rFonts w:ascii="Arial" w:cs="Arial" w:eastAsia="Arial" w:hAnsi="Arial"/>
          <w:sz w:val="15"/>
          <w:szCs w:val="15"/>
          <w:i w:val="1"/>
          <w:iCs w:val="1"/>
          <w:color w:val="auto"/>
        </w:rPr>
        <w:t>Revenue from Contracts with Customers (Topic 606): Deferral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Effective Date </w:t>
      </w:r>
      <w:r>
        <w:rPr>
          <w:rFonts w:ascii="Arial" w:cs="Arial" w:eastAsia="Arial" w:hAnsi="Arial"/>
          <w:sz w:val="15"/>
          <w:szCs w:val="15"/>
          <w:color w:val="auto"/>
        </w:rPr>
        <w:t>(“ASU No. 2015-14”), which defers the effective date of ASU No. 2014-09 by one year and was issued in contemplation of ASU</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No. 2014-09.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The Company early adopted this guidance on January 1, 2018, applying the full retrospective method to all contracts that were not completed as of January 1, 2018. As such, there is no impact to the Company’s audited consolidated financial statements as a result of this adoption. To date, the Company has earned revenue solely under the collaboration and license agreement with Novo Nordisk A/S. For greater detail around the accounting for the revenue related to this agreement refer to Note 14.</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 June 2018, the FASB issued ASU No. 2018-07, “</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These amendments expand the scope of Topic 718,</w:t>
      </w:r>
      <w:r>
        <w:rPr>
          <w:rFonts w:ascii="Arial" w:cs="Arial" w:eastAsia="Arial" w:hAnsi="Arial"/>
          <w:sz w:val="15"/>
          <w:szCs w:val="15"/>
          <w:i w:val="1"/>
          <w:iCs w:val="1"/>
          <w:color w:val="auto"/>
        </w:rPr>
        <w:t xml:space="preserve"> Compensation—Stock Compensation </w:t>
      </w:r>
      <w:r>
        <w:rPr>
          <w:rFonts w:ascii="Arial" w:cs="Arial" w:eastAsia="Arial" w:hAnsi="Arial"/>
          <w:sz w:val="15"/>
          <w:szCs w:val="15"/>
          <w:color w:val="auto"/>
        </w:rPr>
        <w:t>to include stock-based payments issued</w:t>
      </w:r>
      <w:r>
        <w:rPr>
          <w:rFonts w:ascii="Arial" w:cs="Arial" w:eastAsia="Arial" w:hAnsi="Arial"/>
          <w:sz w:val="15"/>
          <w:szCs w:val="15"/>
          <w:i w:val="1"/>
          <w:iCs w:val="1"/>
          <w:color w:val="auto"/>
        </w:rPr>
        <w:t xml:space="preserve"> </w:t>
      </w:r>
      <w:r>
        <w:rPr>
          <w:rFonts w:ascii="Arial" w:cs="Arial" w:eastAsia="Arial" w:hAnsi="Arial"/>
          <w:sz w:val="15"/>
          <w:szCs w:val="15"/>
          <w:color w:val="auto"/>
        </w:rPr>
        <w:t>to nonemployees for goods or services. Consequently, the accounting for stock-based payments to nonemployees and employees will be substantially aligned. The ASU supersedes Subtopic 505-50, Equity—Equity-Based Payments to Non-Employees. This standard is effective for public companies for annual periods beginning after December 15, 2018, including interim periods within those fiscal years, with early adoption permitted as long as ASU</w:t>
      </w:r>
    </w:p>
    <w:p>
      <w:pPr>
        <w:spacing w:after="0" w:line="1" w:lineRule="exact"/>
        <w:rPr>
          <w:sz w:val="20"/>
          <w:szCs w:val="20"/>
          <w:color w:val="auto"/>
        </w:rPr>
      </w:pPr>
    </w:p>
    <w:p>
      <w:pPr>
        <w:ind w:right="900"/>
        <w:spacing w:after="0" w:line="233" w:lineRule="auto"/>
        <w:rPr>
          <w:sz w:val="20"/>
          <w:szCs w:val="20"/>
          <w:color w:val="auto"/>
        </w:rPr>
      </w:pPr>
      <w:r>
        <w:rPr>
          <w:rFonts w:ascii="Arial" w:cs="Arial" w:eastAsia="Arial" w:hAnsi="Arial"/>
          <w:sz w:val="17"/>
          <w:szCs w:val="17"/>
          <w:color w:val="auto"/>
        </w:rPr>
        <w:t>No. 2014-09 has been adopted by the Company. The new standard was early adopted by the Company on January 1, 2018. Adoption of ASU No. 2018-07 did not have a material impact on the Company’s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48" w:right="3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96"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ACTIVE MARKETS</w:t>
            </w:r>
          </w:p>
        </w:tc>
        <w:tc>
          <w:tcPr>
            <w:tcW w:w="16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3"/>
                <w:szCs w:val="13"/>
                <w:color w:val="auto"/>
              </w:rPr>
            </w:pPr>
          </w:p>
        </w:tc>
        <w:tc>
          <w:tcPr>
            <w:tcW w:w="168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SIGNIFICANT OTHER</w:t>
            </w:r>
          </w:p>
        </w:tc>
        <w:tc>
          <w:tcPr>
            <w:tcW w:w="0" w:type="dxa"/>
            <w:vAlign w:val="bottom"/>
          </w:tcPr>
          <w:p>
            <w:pPr>
              <w:spacing w:after="0"/>
              <w:rPr>
                <w:sz w:val="1"/>
                <w:szCs w:val="1"/>
                <w:color w:val="auto"/>
              </w:rPr>
            </w:pPr>
          </w:p>
        </w:tc>
      </w:tr>
      <w:tr>
        <w:trPr>
          <w:trHeight w:val="157"/>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8"/>
              </w:rPr>
              <w:t>DESCRIPTION</w:t>
            </w:r>
          </w:p>
        </w:tc>
        <w:tc>
          <w:tcPr>
            <w:tcW w:w="3760" w:type="dxa"/>
            <w:vAlign w:val="bottom"/>
            <w:vMerge w:val="restart"/>
          </w:tcPr>
          <w:p>
            <w:pPr>
              <w:spacing w:after="0"/>
              <w:rPr>
                <w:sz w:val="13"/>
                <w:szCs w:val="13"/>
                <w:color w:val="auto"/>
              </w:rPr>
            </w:pPr>
          </w:p>
        </w:tc>
        <w:tc>
          <w:tcPr>
            <w:tcW w:w="140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5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8"/>
              </w:rPr>
              <w:t>FOR IDENTICAL</w:t>
            </w:r>
          </w:p>
        </w:tc>
        <w:tc>
          <w:tcPr>
            <w:tcW w:w="12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OBSERVABLE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OBSERVABLE</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66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ASSETS (LEVEL 1)</w:t>
            </w: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INPUTS (LEVEL 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INPUTS (LEVEL 3)</w:t>
            </w:r>
          </w:p>
        </w:tc>
        <w:tc>
          <w:tcPr>
            <w:tcW w:w="0" w:type="dxa"/>
            <w:vAlign w:val="bottom"/>
          </w:tcPr>
          <w:p>
            <w:pPr>
              <w:spacing w:after="0"/>
              <w:rPr>
                <w:sz w:val="1"/>
                <w:szCs w:val="1"/>
                <w:color w:val="auto"/>
              </w:rPr>
            </w:pPr>
          </w:p>
        </w:tc>
      </w:tr>
      <w:tr>
        <w:trPr>
          <w:trHeight w:val="156"/>
        </w:trPr>
        <w:tc>
          <w:tcPr>
            <w:tcW w:w="47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7"/>
                <w:szCs w:val="17"/>
                <w:i w:val="1"/>
                <w:iCs w:val="1"/>
                <w:color w:val="auto"/>
              </w:rPr>
              <w:t>Asset</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20" w:type="dxa"/>
            <w:vAlign w:val="bottom"/>
            <w:gridSpan w:val="2"/>
          </w:tcPr>
          <w:p>
            <w:pPr>
              <w:spacing w:after="0" w:line="183" w:lineRule="exact"/>
              <w:rPr>
                <w:sz w:val="20"/>
                <w:szCs w:val="20"/>
                <w:color w:val="auto"/>
              </w:rPr>
            </w:pPr>
            <w:r>
              <w:rPr>
                <w:rFonts w:ascii="Arial" w:cs="Arial" w:eastAsia="Arial" w:hAnsi="Arial"/>
                <w:sz w:val="17"/>
                <w:szCs w:val="17"/>
                <w:color w:val="auto"/>
              </w:rPr>
              <w:t>Money market funds</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3" w:lineRule="exact"/>
              <w:rPr>
                <w:sz w:val="20"/>
                <w:szCs w:val="20"/>
                <w:color w:val="auto"/>
              </w:rPr>
            </w:pPr>
            <w:r>
              <w:rPr>
                <w:rFonts w:ascii="Arial" w:cs="Arial" w:eastAsia="Arial" w:hAnsi="Arial"/>
                <w:sz w:val="17"/>
                <w:szCs w:val="17"/>
                <w:color w:val="auto"/>
              </w:rPr>
              <w:t>18,356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18,356</w:t>
            </w:r>
          </w:p>
        </w:tc>
        <w:tc>
          <w:tcPr>
            <w:tcW w:w="12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1520" w:type="dxa"/>
            <w:vAlign w:val="bottom"/>
            <w:gridSpan w:val="2"/>
          </w:tcPr>
          <w:p>
            <w:pPr>
              <w:ind w:left="1220"/>
              <w:spacing w:after="0" w:line="183"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Total financial assets</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18,356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18,356</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ind w:left="1220"/>
              <w:spacing w:after="0" w:line="18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Preferred stock tranche obligation</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(2,392)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ind w:left="1220"/>
              <w:spacing w:after="0" w:line="18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(2,392)</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240"/>
              <w:spacing w:after="0"/>
              <w:rPr>
                <w:sz w:val="20"/>
                <w:szCs w:val="20"/>
                <w:color w:val="auto"/>
              </w:rPr>
            </w:pPr>
            <w:r>
              <w:rPr>
                <w:rFonts w:ascii="Arial" w:cs="Arial" w:eastAsia="Arial" w:hAnsi="Arial"/>
                <w:sz w:val="17"/>
                <w:szCs w:val="17"/>
                <w:color w:val="auto"/>
              </w:rPr>
              <w:t>Total financial liabilities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gridSpan w:val="2"/>
            <w:vMerge w:val="continue"/>
          </w:tcPr>
          <w:p>
            <w:pPr>
              <w:spacing w:after="0"/>
              <w:rPr>
                <w:sz w:val="16"/>
                <w:szCs w:val="16"/>
                <w:color w:val="auto"/>
              </w:rPr>
            </w:pP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(2,392)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gridSpan w:val="2"/>
          </w:tcPr>
          <w:p>
            <w:pPr>
              <w:ind w:left="122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(2,392)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120"/>
        <w:spacing w:after="0" w:line="271" w:lineRule="auto"/>
        <w:rPr>
          <w:sz w:val="20"/>
          <w:szCs w:val="20"/>
          <w:color w:val="auto"/>
        </w:rPr>
      </w:pPr>
      <w:r>
        <w:rPr>
          <w:rFonts w:ascii="Arial" w:cs="Arial" w:eastAsia="Arial" w:hAnsi="Arial"/>
          <w:sz w:val="15"/>
          <w:szCs w:val="15"/>
          <w:color w:val="auto"/>
        </w:rPr>
        <w:t>There have been no transfers between fair value levels during the year ended December 31, 2018. The Company’s Preferred Stock Tranche Obligation (defined below) is carried at fair value determined according to Level 3 inputs in the fair value hierarchy as described below. The carrying values of other current assets, accounts payable and accrued expenses approximate their fair values due to the short-term nature of these assets and liabilities.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 Tranche Obligation</w:t>
      </w:r>
    </w:p>
    <w:p>
      <w:pPr>
        <w:spacing w:after="0" w:line="3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Company determined that its obligation to issue, and the Company’s investors’ obligation to purchase additional shares of convertible preferred stock at a fixed price (i.e. the issuance price) in subsequent tranches following the initial closings of the series A, series A-1, and series B-1 convertible preferred stock (“Series A Preferred Stock,” “Series A-1 Preferred Stock,” “Series B-1 Preferred Stock”, referred to collectively with the “Series B-2 Preferred Stock” as the “Preferred Stock”) financings represented a freestanding financial instrument (the “Preferred Stock Tranche Obligation”). The freestanding financial instrument was classified as a liability on the Company’s consolidated balance sheet and initially recorded at fair value, with changes in fair value for each reporting period recognized in other income, net in the consolidated statement of operations (see Note 8).</w:t>
      </w:r>
    </w:p>
    <w:p>
      <w:pPr>
        <w:spacing w:after="0" w:line="12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connection with the Company’s initial issuances of Series A Preferred Stock, Series A-1 Preferred Stock and Series B-1 Preferred Stock in April 2016, April 2017 and November 2018, respectively, (see Note 8) the Company recognized the Preferred Stock Tranche Obligation at the fair value related to each issuance, which was determined based on significant inputs not observable in the market, which represented a Level 3 measurement within the fair value hierarchy. The initial fair value of each obligation was estimated based on results of a valuation performed. The obligation is remeasured prior to the issuance of subsequent tranches, and at each subsequent reporting period, as well as immediately prior to when the obligation is settled.</w:t>
      </w:r>
    </w:p>
    <w:p>
      <w:pPr>
        <w:spacing w:after="0" w:line="125"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The Preferred Stock Tranche Obligation was determined using the binomial pricing model, which takes into account the probability of achievement and failure of tranche milestones and issuance of subsequent shares. The Preferred Stock Tranche Obligation is calculated as the difference between the future value of the Series B-2 Preferred Stock at the time the tranche milestone is met, estimated using the binomial pricing model, and the contractual purchase price for the Series B-2 Preferred Stock. The future value of the Series B-2 Preferred Stock was estimated by back-solving the future price of the Series B-2 Preferred Stock such that the initial proceeds of the Series B-1 Preferred Stock financing equaled the value of the Preferred Stock Tranche Obligation plus the standalone price paid for Series B-1 Preferred Stock.</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The Preferred Stock Tranche Obligation value is discounted back to the initial issuance date and adjusted for probability of the tranche milestone achievement. In determining the fair values of the tranche obligations, estimates and assumptions impacting fair value include the estimated future values of the Company’s Series B-2 Preferred Stock, discount rates, estimated time to liquidity, and probability of tranche closing/milestone achievement.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40"/>
          </w:cols>
          <w:pgMar w:left="320" w:top="448" w:right="3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20"/>
        <w:spacing w:after="0" w:line="228" w:lineRule="auto"/>
        <w:rPr>
          <w:sz w:val="20"/>
          <w:szCs w:val="20"/>
          <w:color w:val="auto"/>
        </w:rPr>
      </w:pPr>
      <w:r>
        <w:rPr>
          <w:rFonts w:ascii="Arial" w:cs="Arial" w:eastAsia="Arial" w:hAnsi="Arial"/>
          <w:sz w:val="17"/>
          <w:szCs w:val="17"/>
          <w:color w:val="auto"/>
        </w:rPr>
        <w:t>Company remeasured each tranche obligation at each reporting period and prior to settlement. Upon issuance of tranches two and three of Series A Preferred Stock and Series A-1 Preferred Stock, the Preferred Stock Tranche Obligation associated with Series A Preferred Stock and Series A-1 Preferred Stock were settled in 2017. The following reflects the significant quantitative inputs used in the valuation of the Preferred Stock Tranche Obligation at issuance on November 9, 2018 and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71367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NOVEMBER 9,</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62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Stand-alone Series B-1 Preferred Stock price (spot price)</w:t>
            </w: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3.3557</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3.3557</w:t>
            </w:r>
          </w:p>
        </w:tc>
        <w:tc>
          <w:tcPr>
            <w:tcW w:w="200" w:type="dxa"/>
            <w:vAlign w:val="bottom"/>
            <w:shd w:val="clear" w:color="auto" w:fill="CCEEFF"/>
          </w:tcPr>
          <w:p>
            <w:pPr>
              <w:spacing w:after="0"/>
              <w:rPr>
                <w:sz w:val="15"/>
                <w:szCs w:val="15"/>
                <w:color w:val="auto"/>
              </w:rPr>
            </w:pPr>
          </w:p>
        </w:tc>
      </w:tr>
      <w:tr>
        <w:trPr>
          <w:trHeight w:val="183"/>
        </w:trPr>
        <w:tc>
          <w:tcPr>
            <w:tcW w:w="6220" w:type="dxa"/>
            <w:vAlign w:val="bottom"/>
          </w:tcPr>
          <w:p>
            <w:pPr>
              <w:spacing w:after="0" w:line="183" w:lineRule="exact"/>
              <w:rPr>
                <w:sz w:val="20"/>
                <w:szCs w:val="20"/>
                <w:color w:val="auto"/>
              </w:rPr>
            </w:pPr>
            <w:r>
              <w:rPr>
                <w:rFonts w:ascii="Arial" w:cs="Arial" w:eastAsia="Arial" w:hAnsi="Arial"/>
                <w:sz w:val="17"/>
                <w:szCs w:val="17"/>
                <w:color w:val="auto"/>
              </w:rPr>
              <w:t>Estimated future value of Series B-2 Preferred Stock</w:t>
            </w:r>
          </w:p>
        </w:tc>
        <w:tc>
          <w:tcPr>
            <w:tcW w:w="2240" w:type="dxa"/>
            <w:vAlign w:val="bottom"/>
            <w:gridSpan w:val="2"/>
          </w:tcPr>
          <w:p>
            <w:pPr>
              <w:ind w:left="2040"/>
              <w:spacing w:after="0" w:line="183" w:lineRule="exact"/>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3.7546</w:t>
            </w:r>
          </w:p>
        </w:tc>
        <w:tc>
          <w:tcPr>
            <w:tcW w:w="22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3.7546</w:t>
            </w: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17.00%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17.50%</w:t>
            </w:r>
          </w:p>
        </w:tc>
      </w:tr>
      <w:tr>
        <w:trPr>
          <w:trHeight w:val="183"/>
        </w:trPr>
        <w:tc>
          <w:tcPr>
            <w:tcW w:w="6220" w:type="dxa"/>
            <w:vAlign w:val="bottom"/>
          </w:tcPr>
          <w:p>
            <w:pPr>
              <w:spacing w:after="0" w:line="183" w:lineRule="exact"/>
              <w:rPr>
                <w:sz w:val="20"/>
                <w:szCs w:val="20"/>
                <w:color w:val="auto"/>
              </w:rPr>
            </w:pPr>
            <w:r>
              <w:rPr>
                <w:rFonts w:ascii="Arial" w:cs="Arial" w:eastAsia="Arial" w:hAnsi="Arial"/>
                <w:sz w:val="17"/>
                <w:szCs w:val="17"/>
                <w:color w:val="auto"/>
              </w:rPr>
              <w:t>Time to liquidity (years)</w:t>
            </w: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1.14</w:t>
            </w:r>
          </w:p>
        </w:tc>
        <w:tc>
          <w:tcPr>
            <w:tcW w:w="220" w:type="dxa"/>
            <w:vAlign w:val="bottom"/>
          </w:tcPr>
          <w:p>
            <w:pPr>
              <w:spacing w:after="0"/>
              <w:rPr>
                <w:sz w:val="15"/>
                <w:szCs w:val="15"/>
                <w:color w:val="auto"/>
              </w:rPr>
            </w:pPr>
          </w:p>
        </w:tc>
        <w:tc>
          <w:tcPr>
            <w:tcW w:w="100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1.00</w:t>
            </w: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Probability of tranche closing</w:t>
            </w: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3" w:lineRule="exact"/>
        <w:rPr>
          <w:sz w:val="20"/>
          <w:szCs w:val="20"/>
          <w:color w:val="auto"/>
        </w:rPr>
      </w:pPr>
    </w:p>
    <w:p>
      <w:pPr>
        <w:ind w:right="280"/>
        <w:spacing w:after="0" w:line="230" w:lineRule="auto"/>
        <w:rPr>
          <w:sz w:val="20"/>
          <w:szCs w:val="20"/>
          <w:color w:val="auto"/>
        </w:rPr>
      </w:pPr>
      <w:r>
        <w:rPr>
          <w:rFonts w:ascii="Arial" w:cs="Arial" w:eastAsia="Arial" w:hAnsi="Arial"/>
          <w:sz w:val="17"/>
          <w:szCs w:val="17"/>
          <w:color w:val="auto"/>
        </w:rPr>
        <w:t>A change in the assumptions related to the valuation of the Preferred Stock Tranche Obligation could have a significant impact on the value of the obligation. The purchase price of the Preferred Stock at initial issuance, and all subsequent issuances was higher than the fair value of the Company’s common stock.</w:t>
      </w:r>
    </w:p>
    <w:p>
      <w:pPr>
        <w:spacing w:after="0" w:line="143" w:lineRule="exact"/>
        <w:rPr>
          <w:sz w:val="20"/>
          <w:szCs w:val="20"/>
          <w:color w:val="auto"/>
        </w:rPr>
      </w:pPr>
    </w:p>
    <w:p>
      <w:pPr>
        <w:ind w:right="700"/>
        <w:spacing w:after="0" w:line="233" w:lineRule="auto"/>
        <w:rPr>
          <w:sz w:val="20"/>
          <w:szCs w:val="20"/>
          <w:color w:val="auto"/>
        </w:rPr>
      </w:pPr>
      <w:r>
        <w:rPr>
          <w:rFonts w:ascii="Arial" w:cs="Arial" w:eastAsia="Arial" w:hAnsi="Arial"/>
          <w:sz w:val="17"/>
          <w:szCs w:val="17"/>
          <w:color w:val="auto"/>
        </w:rPr>
        <w:t>The following table sets forth a summary of changes in the fair value of the Company’s Preferred Stock Tranche Obligation for which fair value is determined by Level 3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r>
      <w:tr>
        <w:trPr>
          <w:trHeight w:val="168"/>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w w:val="99"/>
              </w:rPr>
              <w:t>TRANCHE OBLIGATION</w:t>
            </w:r>
          </w:p>
        </w:tc>
      </w:tr>
      <w:tr>
        <w:trPr>
          <w:trHeight w:val="176"/>
        </w:trPr>
        <w:tc>
          <w:tcPr>
            <w:tcW w:w="96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Balance as of January 1, 2018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183"/>
        </w:trPr>
        <w:tc>
          <w:tcPr>
            <w:tcW w:w="9600" w:type="dxa"/>
            <w:vAlign w:val="bottom"/>
          </w:tcPr>
          <w:p>
            <w:pPr>
              <w:ind w:left="240"/>
              <w:spacing w:after="0" w:line="183" w:lineRule="exact"/>
              <w:rPr>
                <w:sz w:val="20"/>
                <w:szCs w:val="20"/>
                <w:color w:val="auto"/>
              </w:rPr>
            </w:pPr>
            <w:r>
              <w:rPr>
                <w:rFonts w:ascii="Arial" w:cs="Arial" w:eastAsia="Arial" w:hAnsi="Arial"/>
                <w:sz w:val="17"/>
                <w:szCs w:val="17"/>
                <w:color w:val="auto"/>
              </w:rPr>
              <w:t>Issuance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2,349</w:t>
            </w:r>
          </w:p>
        </w:tc>
        <w:tc>
          <w:tcPr>
            <w:tcW w:w="20" w:type="dxa"/>
            <w:vAlign w:val="bottom"/>
          </w:tcPr>
          <w:p>
            <w:pPr>
              <w:spacing w:after="0"/>
              <w:rPr>
                <w:sz w:val="15"/>
                <w:szCs w:val="15"/>
                <w:color w:val="auto"/>
              </w:rPr>
            </w:pPr>
          </w:p>
        </w:tc>
      </w:tr>
      <w:tr>
        <w:trPr>
          <w:trHeight w:val="183"/>
        </w:trPr>
        <w:tc>
          <w:tcPr>
            <w:tcW w:w="960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Change in fair value</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b w:val="1"/>
                <w:bCs w:val="1"/>
                <w:color w:val="auto"/>
              </w:rPr>
              <w:t>Balance as of December 31, 2018</w:t>
            </w:r>
          </w:p>
        </w:tc>
        <w:tc>
          <w:tcPr>
            <w:tcW w:w="1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2,392</w:t>
            </w:r>
          </w:p>
        </w:tc>
        <w:tc>
          <w:tcPr>
            <w:tcW w:w="20" w:type="dxa"/>
            <w:vAlign w:val="bottom"/>
          </w:tcPr>
          <w:p>
            <w:pPr>
              <w:spacing w:after="0"/>
              <w:rPr>
                <w:sz w:val="16"/>
                <w:szCs w:val="16"/>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9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ind w:right="480"/>
        <w:spacing w:after="0" w:line="227" w:lineRule="auto"/>
        <w:rPr>
          <w:sz w:val="20"/>
          <w:szCs w:val="20"/>
          <w:color w:val="auto"/>
        </w:rPr>
      </w:pPr>
      <w:r>
        <w:rPr>
          <w:rFonts w:ascii="Arial" w:cs="Arial" w:eastAsia="Arial" w:hAnsi="Arial"/>
          <w:sz w:val="17"/>
          <w:szCs w:val="17"/>
          <w:color w:val="auto"/>
        </w:rPr>
        <w:t>Fluctuations in the fair value of the Company’s Preferred Stock is the primary cause for the significant changes in fair value of the Preferred Stock Tranche Obligation. In 2018, the enterprise value of the Company was determined using the Market Approach, specifically the Subject Company Transaction Method, which considers all share class rights and preferences, as of the date of the most recent financing. During 2018, the Company closed the Series B-1 Preferred Stock financing and as part of the Company’s strategy began considering the pursuit of longer term liquidity options including a potential initial public offering, which caused an increase in the value of the Series B-1 Preferred Stock while reducing the value of the Preferred Stock Tranche Obligation, which relates to the future closing of Series B-2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PREPAID EXPENSES AND OTHER CURRENT ASSETS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as of December 31, 2018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4620" w:type="dxa"/>
            <w:vAlign w:val="bottom"/>
            <w:tcBorders>
              <w:bottom w:val="single" w:sz="8" w:color="CCEEFF"/>
            </w:tcBorders>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Prepaid service contracts</w:t>
            </w:r>
          </w:p>
        </w:tc>
        <w:tc>
          <w:tcPr>
            <w:tcW w:w="5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2,018</w:t>
            </w:r>
          </w:p>
        </w:tc>
        <w:tc>
          <w:tcPr>
            <w:tcW w:w="60" w:type="dxa"/>
            <w:vAlign w:val="bottom"/>
            <w:shd w:val="clear" w:color="auto" w:fill="CCEEFF"/>
          </w:tcPr>
          <w:p>
            <w:pPr>
              <w:spacing w:after="0"/>
              <w:rPr>
                <w:sz w:val="15"/>
                <w:szCs w:val="15"/>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7"/>
                <w:szCs w:val="17"/>
                <w:color w:val="auto"/>
              </w:rPr>
              <w:t>Prepaid professional services</w:t>
            </w: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126</w:t>
            </w:r>
          </w:p>
        </w:tc>
      </w:tr>
      <w:tr>
        <w:trPr>
          <w:trHeight w:val="183"/>
        </w:trPr>
        <w:tc>
          <w:tcPr>
            <w:tcW w:w="4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Prepaid tax</w:t>
            </w:r>
          </w:p>
        </w:tc>
        <w:tc>
          <w:tcPr>
            <w:tcW w:w="5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44</w:t>
            </w:r>
          </w:p>
        </w:tc>
      </w:tr>
      <w:tr>
        <w:trPr>
          <w:trHeight w:val="189"/>
        </w:trPr>
        <w:tc>
          <w:tcPr>
            <w:tcW w:w="4620" w:type="dxa"/>
            <w:vAlign w:val="bottom"/>
          </w:tcPr>
          <w:p>
            <w:pPr>
              <w:spacing w:after="0" w:line="183" w:lineRule="exact"/>
              <w:rPr>
                <w:sz w:val="20"/>
                <w:szCs w:val="20"/>
                <w:color w:val="auto"/>
              </w:rPr>
            </w:pPr>
            <w:r>
              <w:rPr>
                <w:rFonts w:ascii="Arial" w:cs="Arial" w:eastAsia="Arial" w:hAnsi="Arial"/>
                <w:sz w:val="17"/>
                <w:szCs w:val="17"/>
                <w:color w:val="auto"/>
              </w:rPr>
              <w:t>Other</w:t>
            </w:r>
          </w:p>
        </w:tc>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84</w:t>
            </w:r>
          </w:p>
        </w:tc>
        <w:tc>
          <w:tcPr>
            <w:tcW w:w="60" w:type="dxa"/>
            <w:vAlign w:val="bottom"/>
          </w:tcPr>
          <w:p>
            <w:pPr>
              <w:spacing w:after="0"/>
              <w:rPr>
                <w:sz w:val="16"/>
                <w:szCs w:val="16"/>
                <w:color w:val="auto"/>
              </w:rPr>
            </w:pPr>
          </w:p>
        </w:tc>
      </w:tr>
      <w:tr>
        <w:trPr>
          <w:trHeight w:val="183"/>
        </w:trPr>
        <w:tc>
          <w:tcPr>
            <w:tcW w:w="46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 prepaid expenses and other current assets</w:t>
            </w:r>
          </w:p>
        </w:tc>
        <w:tc>
          <w:tcPr>
            <w:tcW w:w="53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4"/>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2,272</w:t>
            </w:r>
          </w:p>
        </w:tc>
        <w:tc>
          <w:tcPr>
            <w:tcW w:w="60" w:type="dxa"/>
            <w:vAlign w:val="bottom"/>
            <w:shd w:val="clear" w:color="auto" w:fill="CCEEFF"/>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46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52"/>
        </w:trPr>
        <w:tc>
          <w:tcPr>
            <w:tcW w:w="4620" w:type="dxa"/>
            <w:vAlign w:val="bottom"/>
          </w:tcPr>
          <w:p>
            <w:pPr>
              <w:spacing w:after="0"/>
              <w:rPr>
                <w:sz w:val="24"/>
                <w:szCs w:val="24"/>
                <w:color w:val="auto"/>
              </w:rPr>
            </w:pPr>
          </w:p>
        </w:tc>
        <w:tc>
          <w:tcPr>
            <w:tcW w:w="5640" w:type="dxa"/>
            <w:vAlign w:val="bottom"/>
            <w:gridSpan w:val="2"/>
          </w:tcPr>
          <w:p>
            <w:pPr>
              <w:jc w:val="right"/>
              <w:ind w:right="4404"/>
              <w:spacing w:after="0"/>
              <w:rPr>
                <w:sz w:val="20"/>
                <w:szCs w:val="20"/>
                <w:color w:val="auto"/>
              </w:rPr>
            </w:pPr>
            <w:r>
              <w:rPr>
                <w:rFonts w:ascii="Arial" w:cs="Arial" w:eastAsia="Arial" w:hAnsi="Arial"/>
                <w:sz w:val="16"/>
                <w:szCs w:val="16"/>
                <w:color w:val="auto"/>
              </w:rPr>
              <w:t>F-16</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48" w:right="3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as of December 31, 2018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9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76"/>
        </w:trPr>
        <w:tc>
          <w:tcPr>
            <w:tcW w:w="9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Computer equipment and software</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4"/>
              <w:spacing w:after="0" w:line="176"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9140" w:type="dxa"/>
            <w:vAlign w:val="bottom"/>
          </w:tcPr>
          <w:p>
            <w:pPr>
              <w:spacing w:after="0" w:line="183" w:lineRule="exact"/>
              <w:rPr>
                <w:sz w:val="20"/>
                <w:szCs w:val="20"/>
                <w:color w:val="auto"/>
              </w:rPr>
            </w:pPr>
            <w:r>
              <w:rPr>
                <w:rFonts w:ascii="Arial" w:cs="Arial" w:eastAsia="Arial" w:hAnsi="Arial"/>
                <w:sz w:val="17"/>
                <w:szCs w:val="17"/>
                <w:color w:val="auto"/>
              </w:rPr>
              <w:t>Laboratory equipment</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610</w:t>
            </w:r>
          </w:p>
        </w:tc>
        <w:tc>
          <w:tcPr>
            <w:tcW w:w="60" w:type="dxa"/>
            <w:vAlign w:val="bottom"/>
          </w:tcPr>
          <w:p>
            <w:pPr>
              <w:spacing w:after="0"/>
              <w:rPr>
                <w:sz w:val="15"/>
                <w:szCs w:val="15"/>
                <w:color w:val="auto"/>
              </w:rPr>
            </w:pPr>
          </w:p>
        </w:tc>
      </w:tr>
      <w:tr>
        <w:trPr>
          <w:trHeight w:val="183"/>
        </w:trPr>
        <w:tc>
          <w:tcPr>
            <w:tcW w:w="9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Office furniture</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5"/>
                <w:szCs w:val="15"/>
                <w:color w:val="auto"/>
              </w:rPr>
            </w:pPr>
          </w:p>
        </w:tc>
      </w:tr>
      <w:tr>
        <w:trPr>
          <w:trHeight w:val="183"/>
        </w:trPr>
        <w:tc>
          <w:tcPr>
            <w:tcW w:w="9140" w:type="dxa"/>
            <w:vAlign w:val="bottom"/>
          </w:tcPr>
          <w:p>
            <w:pPr>
              <w:spacing w:after="0" w:line="183" w:lineRule="exact"/>
              <w:rPr>
                <w:sz w:val="20"/>
                <w:szCs w:val="20"/>
                <w:color w:val="auto"/>
              </w:rPr>
            </w:pPr>
            <w:r>
              <w:rPr>
                <w:rFonts w:ascii="Arial" w:cs="Arial" w:eastAsia="Arial" w:hAnsi="Arial"/>
                <w:sz w:val="17"/>
                <w:szCs w:val="17"/>
                <w:color w:val="auto"/>
              </w:rPr>
              <w:t>Leasehold improvements</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219</w:t>
            </w:r>
          </w:p>
        </w:tc>
        <w:tc>
          <w:tcPr>
            <w:tcW w:w="60" w:type="dxa"/>
            <w:vAlign w:val="bottom"/>
          </w:tcPr>
          <w:p>
            <w:pPr>
              <w:spacing w:after="0"/>
              <w:rPr>
                <w:sz w:val="15"/>
                <w:szCs w:val="15"/>
                <w:color w:val="auto"/>
              </w:rPr>
            </w:pPr>
          </w:p>
        </w:tc>
      </w:tr>
      <w:tr>
        <w:trPr>
          <w:trHeight w:val="26"/>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91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891</w:t>
            </w:r>
          </w:p>
        </w:tc>
        <w:tc>
          <w:tcPr>
            <w:tcW w:w="60" w:type="dxa"/>
            <w:vAlign w:val="bottom"/>
            <w:shd w:val="clear" w:color="auto" w:fill="CCEEFF"/>
          </w:tcPr>
          <w:p>
            <w:pPr>
              <w:spacing w:after="0"/>
              <w:rPr>
                <w:sz w:val="15"/>
                <w:szCs w:val="15"/>
                <w:color w:val="auto"/>
              </w:rPr>
            </w:pPr>
          </w:p>
        </w:tc>
      </w:tr>
      <w:tr>
        <w:trPr>
          <w:trHeight w:val="183"/>
        </w:trPr>
        <w:tc>
          <w:tcPr>
            <w:tcW w:w="9140" w:type="dxa"/>
            <w:vAlign w:val="bottom"/>
          </w:tcPr>
          <w:p>
            <w:pPr>
              <w:spacing w:after="0" w:line="183" w:lineRule="exact"/>
              <w:rPr>
                <w:sz w:val="20"/>
                <w:szCs w:val="20"/>
                <w:color w:val="auto"/>
              </w:rPr>
            </w:pPr>
            <w:r>
              <w:rPr>
                <w:rFonts w:ascii="Arial" w:cs="Arial" w:eastAsia="Arial" w:hAnsi="Arial"/>
                <w:sz w:val="17"/>
                <w:szCs w:val="17"/>
                <w:color w:val="auto"/>
              </w:rPr>
              <w:t>Less: Accumulated depreciation</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(246)</w:t>
            </w:r>
          </w:p>
        </w:tc>
      </w:tr>
      <w:tr>
        <w:trPr>
          <w:trHeight w:val="26"/>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91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Property and equipment, net</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4"/>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645</w:t>
            </w:r>
          </w:p>
        </w:tc>
        <w:tc>
          <w:tcPr>
            <w:tcW w:w="60" w:type="dxa"/>
            <w:vAlign w:val="bottom"/>
            <w:shd w:val="clear" w:color="auto" w:fill="CCEEFF"/>
          </w:tcPr>
          <w:p>
            <w:pPr>
              <w:spacing w:after="0"/>
              <w:rPr>
                <w:sz w:val="15"/>
                <w:szCs w:val="15"/>
                <w:color w:val="auto"/>
              </w:rPr>
            </w:pPr>
          </w:p>
        </w:tc>
      </w:tr>
      <w:tr>
        <w:trPr>
          <w:trHeight w:val="20"/>
        </w:trPr>
        <w:tc>
          <w:tcPr>
            <w:tcW w:w="9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9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41"/>
        </w:trPr>
        <w:tc>
          <w:tcPr>
            <w:tcW w:w="9140" w:type="dxa"/>
            <w:vAlign w:val="bottom"/>
          </w:tcPr>
          <w:p>
            <w:pPr>
              <w:spacing w:after="0"/>
              <w:rPr>
                <w:sz w:val="20"/>
                <w:szCs w:val="20"/>
                <w:color w:val="auto"/>
              </w:rPr>
            </w:pPr>
            <w:r>
              <w:rPr>
                <w:rFonts w:ascii="Arial" w:cs="Arial" w:eastAsia="Arial" w:hAnsi="Arial"/>
                <w:sz w:val="17"/>
                <w:szCs w:val="17"/>
                <w:color w:val="auto"/>
              </w:rPr>
              <w:t>Depreciation expense for the year ended December 31, 2018 was $0.2 million.</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9140" w:type="dxa"/>
            <w:vAlign w:val="bottom"/>
          </w:tcPr>
          <w:p>
            <w:pPr>
              <w:spacing w:after="0"/>
              <w:rPr>
                <w:sz w:val="20"/>
                <w:szCs w:val="20"/>
                <w:color w:val="auto"/>
              </w:rPr>
            </w:pPr>
            <w:r>
              <w:rPr>
                <w:rFonts w:ascii="Arial" w:cs="Arial" w:eastAsia="Arial" w:hAnsi="Arial"/>
                <w:sz w:val="17"/>
                <w:szCs w:val="17"/>
                <w:b w:val="1"/>
                <w:bCs w:val="1"/>
                <w:color w:val="auto"/>
              </w:rPr>
              <w:t>6. ACCRUED EXPENSES AND OTHER CURRENT LIABILITIES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9140" w:type="dxa"/>
            <w:vAlign w:val="bottom"/>
          </w:tcPr>
          <w:p>
            <w:pPr>
              <w:spacing w:after="0"/>
              <w:rPr>
                <w:sz w:val="20"/>
                <w:szCs w:val="20"/>
                <w:color w:val="auto"/>
              </w:rPr>
            </w:pPr>
            <w:r>
              <w:rPr>
                <w:rFonts w:ascii="Arial" w:cs="Arial" w:eastAsia="Arial" w:hAnsi="Arial"/>
                <w:sz w:val="17"/>
                <w:szCs w:val="17"/>
                <w:color w:val="auto"/>
              </w:rPr>
              <w:t>Accrued expenses and other current liabilities as of December 31, 2018 consisted of the following (in thousands):</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0"/>
        </w:trPr>
        <w:tc>
          <w:tcPr>
            <w:tcW w:w="9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60"/>
        </w:trPr>
        <w:tc>
          <w:tcPr>
            <w:tcW w:w="9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9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76"/>
        </w:trPr>
        <w:tc>
          <w:tcPr>
            <w:tcW w:w="9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Accrued studies</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431</w:t>
            </w:r>
          </w:p>
        </w:tc>
        <w:tc>
          <w:tcPr>
            <w:tcW w:w="60" w:type="dxa"/>
            <w:vAlign w:val="bottom"/>
            <w:shd w:val="clear" w:color="auto" w:fill="CCEEFF"/>
          </w:tcPr>
          <w:p>
            <w:pPr>
              <w:spacing w:after="0"/>
              <w:rPr>
                <w:sz w:val="15"/>
                <w:szCs w:val="15"/>
                <w:color w:val="auto"/>
              </w:rPr>
            </w:pPr>
          </w:p>
        </w:tc>
      </w:tr>
      <w:tr>
        <w:trPr>
          <w:trHeight w:val="183"/>
        </w:trPr>
        <w:tc>
          <w:tcPr>
            <w:tcW w:w="9140" w:type="dxa"/>
            <w:vAlign w:val="bottom"/>
          </w:tcPr>
          <w:p>
            <w:pPr>
              <w:spacing w:after="0" w:line="183" w:lineRule="exact"/>
              <w:rPr>
                <w:sz w:val="20"/>
                <w:szCs w:val="20"/>
                <w:color w:val="auto"/>
              </w:rPr>
            </w:pPr>
            <w:r>
              <w:rPr>
                <w:rFonts w:ascii="Arial" w:cs="Arial" w:eastAsia="Arial" w:hAnsi="Arial"/>
                <w:sz w:val="17"/>
                <w:szCs w:val="17"/>
                <w:color w:val="auto"/>
              </w:rPr>
              <w:t>Accrued compensation and benefits</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rPr>
              <w:t>41</w:t>
            </w:r>
          </w:p>
        </w:tc>
      </w:tr>
      <w:tr>
        <w:trPr>
          <w:trHeight w:val="183"/>
        </w:trPr>
        <w:tc>
          <w:tcPr>
            <w:tcW w:w="9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tax</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284</w:t>
            </w:r>
          </w:p>
        </w:tc>
      </w:tr>
      <w:tr>
        <w:trPr>
          <w:trHeight w:val="189"/>
        </w:trPr>
        <w:tc>
          <w:tcPr>
            <w:tcW w:w="9140" w:type="dxa"/>
            <w:vAlign w:val="bottom"/>
          </w:tcPr>
          <w:p>
            <w:pPr>
              <w:spacing w:after="0" w:line="183" w:lineRule="exact"/>
              <w:rPr>
                <w:sz w:val="20"/>
                <w:szCs w:val="20"/>
                <w:color w:val="auto"/>
              </w:rPr>
            </w:pPr>
            <w:r>
              <w:rPr>
                <w:rFonts w:ascii="Arial" w:cs="Arial" w:eastAsia="Arial" w:hAnsi="Arial"/>
                <w:sz w:val="17"/>
                <w:szCs w:val="17"/>
                <w:color w:val="auto"/>
              </w:rPr>
              <w:t>Other</w:t>
            </w:r>
          </w:p>
        </w:tc>
        <w:tc>
          <w:tcPr>
            <w:tcW w:w="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46</w:t>
            </w:r>
          </w:p>
        </w:tc>
        <w:tc>
          <w:tcPr>
            <w:tcW w:w="60" w:type="dxa"/>
            <w:vAlign w:val="bottom"/>
          </w:tcPr>
          <w:p>
            <w:pPr>
              <w:spacing w:after="0"/>
              <w:rPr>
                <w:sz w:val="16"/>
                <w:szCs w:val="16"/>
                <w:color w:val="auto"/>
              </w:rPr>
            </w:pPr>
          </w:p>
        </w:tc>
      </w:tr>
      <w:tr>
        <w:trPr>
          <w:trHeight w:val="183"/>
        </w:trPr>
        <w:tc>
          <w:tcPr>
            <w:tcW w:w="91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 accrued expenses and other current liabilities</w:t>
            </w:r>
          </w:p>
        </w:tc>
        <w:tc>
          <w:tcPr>
            <w:tcW w:w="1120" w:type="dxa"/>
            <w:vAlign w:val="bottom"/>
            <w:gridSpan w:val="2"/>
            <w:shd w:val="clear" w:color="auto" w:fill="CCEEFF"/>
          </w:tcPr>
          <w:p>
            <w:pPr>
              <w:jc w:val="right"/>
              <w:ind w:right="84"/>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802</w:t>
            </w:r>
          </w:p>
        </w:tc>
      </w:tr>
      <w:tr>
        <w:trPr>
          <w:trHeight w:val="20"/>
        </w:trPr>
        <w:tc>
          <w:tcPr>
            <w:tcW w:w="9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9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Accrued compensation and benefits consists primarily of accrued vacation and accrued 401k withholding.</w:t>
      </w:r>
    </w:p>
    <w:p>
      <w:pPr>
        <w:spacing w:after="0" w:line="179" w:lineRule="exact"/>
        <w:rPr>
          <w:sz w:val="20"/>
          <w:szCs w:val="20"/>
          <w:color w:val="auto"/>
        </w:rPr>
      </w:pPr>
    </w:p>
    <w:p>
      <w:pPr>
        <w:ind w:right="8700" w:firstLine="4"/>
        <w:spacing w:after="0" w:line="330" w:lineRule="auto"/>
        <w:tabs>
          <w:tab w:leader="none" w:pos="19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LICENSE AGREEMENTS </w:t>
      </w:r>
      <w:r>
        <w:rPr>
          <w:rFonts w:ascii="Arial" w:cs="Arial" w:eastAsia="Arial" w:hAnsi="Arial"/>
          <w:sz w:val="16"/>
          <w:szCs w:val="16"/>
          <w:b w:val="1"/>
          <w:bCs w:val="1"/>
          <w:i w:val="1"/>
          <w:iCs w:val="1"/>
          <w:color w:val="auto"/>
        </w:rPr>
        <w:t>Massachusetts General Hospital</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On April 5, 2016, the Company entered into an exclusive patent license agreement with The General Hospital Corporation d/b/a Massachusetts General Hospital (“MGH”). Under the license agreement with MGH (as amended in May 2017 and February 2018, the “MGH Agreement”), the Company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The Company is required to use commercially reasonable efforts to develop and commercialize licensed products and processes and must achieve certain required diligence milestones.</w:t>
      </w:r>
    </w:p>
    <w:p>
      <w:pPr>
        <w:spacing w:after="0" w:line="128"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Under the terms of the MGH Agreement, the Company paid an initial license payment of $0.1 million and reimbursed MGH approximately $0.3 million of prior patent prosecution expenses related to the licensed patents. The Company also issued MGH an aggregate of 778,432 shares of its common stock. Additionally, the Company is required to pay a low to mid-five digit annual maintenance fee prior to the first commercial sale of its first product or process, a mid-five digit annual maintenance fee after the first commercial sale of its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The Company is also obligated to pay tiered royalties on net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40"/>
          </w:cols>
          <w:pgMar w:left="320" w:top="448" w:right="3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sales of licensed products ranging in the low-single digits to mid-single digits. The royalty rates are subject to up to a maximum 50% reduction for lack of a valid claim, in the event that it is necessary for the Company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The Company is also obligated to pay a percentage of non-royalty related payments received by it from sublicensees ranging in the low-double digits and a change of control fee equal to a low-single digit percentage of the payments received as part of any completed transaction up to a low seven-digit amount.</w:t>
      </w:r>
    </w:p>
    <w:p>
      <w:pPr>
        <w:spacing w:after="0" w:line="14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MGH Agreement expires upon expiry of the last remaining royalty obligation for a licensed product or process. Under the MGH Agreement, MGH may terminate the agreement upon the Company’s uncured material breach or insolvency, a challenge by the Company of the licensed patents and certain other specified breaches of the MGH Agreement. The Company may terminate the agreement for any reason upon specified prior written notice to MGH.</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Novo Nordisk A/S</w:t>
      </w:r>
    </w:p>
    <w:p>
      <w:pPr>
        <w:spacing w:after="0" w:line="33"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In addition, on December 14, 2017, the Company entered into a research collaboration and exclusive license agreement with Novo Nordisk A/S. Refer to Note 14, Revenue from Contracts with Customers, for more information regarding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CONVERTIBLE PREFERRED STOCK</w:t>
      </w:r>
    </w:p>
    <w:p>
      <w:pPr>
        <w:spacing w:after="0" w:line="96"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On April 15, 2016, the Company authorized the sale and issuance of up to 10,000,000 shares of $0.0001 par value Series A Preferred Stock. The Series A Preferred Stock financing was structured to close in three tranches, whose issuance is dependent on the achievement of certain research and development milestones agreed upon by the Company’s board of directors (the “Board”). On April 15, 2016, the Company issued 3,333,333 shares of Series A Preferred Stock at $1.00 per share for gross proceeds of $3.3 million. Issuance costs were $68,000. The second tranche was contingent upon the achievement of the first milestone. The first milestone was completed on April 15, 2017 and the Company issued 3,333,333 shares of Series A Preferred Stock at $1.00 per share for gross proceeds of $3.3 million. The third tranche was contingent upon achievement of the second milestone. The completion of a second milestone was unanimously waived by the Board on October 25, 2017, and on November 3, 2017, the Company issued 3,333,334 shares of Series A Preferred Stock at $1.00 per share for gross proceeds of $3.3 million. Issuance costs related to the second and third tranches were $23,000.</w:t>
      </w:r>
    </w:p>
    <w:p>
      <w:pPr>
        <w:spacing w:after="0" w:line="145"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On August 16, 2016, the Company authorized the sale and issuance of up to 800,000 shares of $0.0001 par value Series A-1 Preferred Stock. The Series A-1 Preferred Stock financing was structured to close in three tranches. On August 16, 2016, the Company issued 266,667 shares of Series A-1 Preferred Stock at $1.25 per share for gross proceeds of $0.3 million. The issuance costs were immaterial. The second tranche was contingent upon the achievement of the first milestone. The first milestone was completed on April 15, 2017 and the Company issued 266,667 shares of Series A-1 Preferred Stock at $1.25 per share for gross proceeds of $0.3 million. The third tranche was contingent upon achievement of the second milestone. The completion of a second milestone was unanimously waived by the Company’s Board on October 25, 2017 and, on November 3, 2017, the Company issued 266,666 shares of Series A-1 Preferred Stock at $1.25 per share for gross proceeds of $0.3 million. Issuance costs related to the second and third tranches were $7,000.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On November 9, 2018, the Company authorized the sale and issuance of up to 3,427,004 shares of $0.0001 par value Series B-1 Preferred Stock and up</w:t>
      </w:r>
    </w:p>
    <w:p>
      <w:pPr>
        <w:spacing w:after="0" w:line="236" w:lineRule="auto"/>
        <w:rPr>
          <w:sz w:val="20"/>
          <w:szCs w:val="20"/>
          <w:color w:val="auto"/>
        </w:rPr>
      </w:pPr>
      <w:r>
        <w:rPr>
          <w:rFonts w:ascii="Arial" w:cs="Arial" w:eastAsia="Arial" w:hAnsi="Arial"/>
          <w:sz w:val="17"/>
          <w:szCs w:val="17"/>
          <w:color w:val="auto"/>
        </w:rPr>
        <w:t>to 3,062,891 shares of $0.0001 par value Series B-2 Preferred Stock. The Series B-1/B-2 Preferred Stock financing was structured to close in two</w:t>
      </w:r>
    </w:p>
    <w:p>
      <w:pPr>
        <w:spacing w:after="0" w:line="225" w:lineRule="auto"/>
        <w:rPr>
          <w:sz w:val="20"/>
          <w:szCs w:val="20"/>
          <w:color w:val="auto"/>
        </w:rPr>
      </w:pPr>
      <w:r>
        <w:rPr>
          <w:rFonts w:ascii="Arial" w:cs="Arial" w:eastAsia="Arial" w:hAnsi="Arial"/>
          <w:sz w:val="17"/>
          <w:szCs w:val="17"/>
          <w:color w:val="auto"/>
        </w:rPr>
        <w:t>tranches. On November 9, 2018, the Company issued 3,427,004 shares of Series B-1 Preferred Stock at $3.3557 per share for gross proceeds of</w:t>
      </w:r>
    </w:p>
    <w:p>
      <w:pPr>
        <w:spacing w:after="0"/>
        <w:rPr>
          <w:sz w:val="20"/>
          <w:szCs w:val="20"/>
          <w:color w:val="auto"/>
        </w:rPr>
      </w:pPr>
      <w:r>
        <w:rPr>
          <w:rFonts w:ascii="Arial" w:cs="Arial" w:eastAsia="Arial" w:hAnsi="Arial"/>
          <w:sz w:val="15"/>
          <w:szCs w:val="15"/>
          <w:color w:val="auto"/>
        </w:rPr>
        <w:t>$11.5 million. Issuance costs were $45,000 and the Preferred Stock Tranche Obligation was $2.3 million. As part of the Company’s Series B-1 Preferred</w:t>
      </w:r>
    </w:p>
    <w:p>
      <w:pPr>
        <w:spacing w:after="0" w:line="236" w:lineRule="auto"/>
        <w:rPr>
          <w:sz w:val="20"/>
          <w:szCs w:val="20"/>
          <w:color w:val="auto"/>
        </w:rPr>
      </w:pPr>
      <w:r>
        <w:rPr>
          <w:rFonts w:ascii="Arial" w:cs="Arial" w:eastAsia="Arial" w:hAnsi="Arial"/>
          <w:sz w:val="17"/>
          <w:szCs w:val="17"/>
          <w:color w:val="auto"/>
        </w:rPr>
        <w:t>Stock issuance, a portion of the shares were issued to entities affiliated with Pontifax, entities affiliated with Partners Innovation Fund, and Arkin Bio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Ventures Limited Partnership, who are affiliates of members of our Board. There were no material transactions with these parties other than the equity</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investment in 2018. The second tranche, referred to as the B-1/B-2 Milestone Closing, is contingent upon the Company successfully completing its first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phase I single ascending dose clinical trial in normal healthy volunteers.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20"/>
          </w:cols>
          <w:pgMar w:left="320" w:top="448" w:right="35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Upon the B-1/B-2 Milestone Closing, the Company will issue 3,062,891 shares of Series B-2 Preferred Stock at $3.7546 per share for gross proceeds of $11.5 million.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Preferred Stock consisted of the following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9"/>
              </w:rPr>
              <w:t>PREFERRED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4380" w:type="dxa"/>
            <w:vAlign w:val="bottom"/>
          </w:tcPr>
          <w:p>
            <w:pPr>
              <w:spacing w:after="0"/>
              <w:rPr>
                <w:sz w:val="13"/>
                <w:szCs w:val="13"/>
                <w:color w:val="auto"/>
              </w:rPr>
            </w:pPr>
          </w:p>
        </w:tc>
        <w:tc>
          <w:tcPr>
            <w:tcW w:w="140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STOCK ISSUED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COMMON STOCK</w:t>
            </w:r>
          </w:p>
        </w:tc>
      </w:tr>
      <w:tr>
        <w:trPr>
          <w:trHeight w:val="157"/>
        </w:trPr>
        <w:tc>
          <w:tcPr>
            <w:tcW w:w="4380" w:type="dxa"/>
            <w:vAlign w:val="bottom"/>
          </w:tcPr>
          <w:p>
            <w:pPr>
              <w:spacing w:after="0"/>
              <w:rPr>
                <w:sz w:val="13"/>
                <w:szCs w:val="13"/>
                <w:color w:val="auto"/>
              </w:rPr>
            </w:pPr>
          </w:p>
        </w:tc>
        <w:tc>
          <w:tcPr>
            <w:tcW w:w="14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7"/>
              </w:rPr>
              <w:t>STOCK</w:t>
            </w:r>
          </w:p>
        </w:tc>
        <w:tc>
          <w:tcPr>
            <w:tcW w:w="11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AND</w:t>
            </w:r>
          </w:p>
        </w:tc>
        <w:tc>
          <w:tcPr>
            <w:tcW w:w="360" w:type="dxa"/>
            <w:vAlign w:val="bottom"/>
          </w:tcPr>
          <w:p>
            <w:pPr>
              <w:spacing w:after="0"/>
              <w:rPr>
                <w:sz w:val="13"/>
                <w:szCs w:val="13"/>
                <w:color w:val="auto"/>
              </w:rPr>
            </w:pPr>
          </w:p>
        </w:tc>
        <w:tc>
          <w:tcPr>
            <w:tcW w:w="12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CARRYING</w:t>
            </w:r>
          </w:p>
        </w:tc>
        <w:tc>
          <w:tcPr>
            <w:tcW w:w="14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12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ISSUABLE UPON</w:t>
            </w:r>
          </w:p>
        </w:tc>
      </w:tr>
      <w:tr>
        <w:trPr>
          <w:trHeight w:val="168"/>
        </w:trPr>
        <w:tc>
          <w:tcPr>
            <w:tcW w:w="438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AUTHORIZED</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OUTSTANDING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CONVERSION</w:t>
            </w:r>
          </w:p>
        </w:tc>
      </w:tr>
      <w:tr>
        <w:trPr>
          <w:trHeight w:val="176"/>
        </w:trPr>
        <w:tc>
          <w:tcPr>
            <w:tcW w:w="43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Series A Preferred Stock</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10,000,000</w:t>
            </w:r>
          </w:p>
        </w:tc>
        <w:tc>
          <w:tcPr>
            <w:tcW w:w="4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10,000,000</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9,891</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11,471</w:t>
            </w:r>
          </w:p>
        </w:tc>
        <w:tc>
          <w:tcPr>
            <w:tcW w:w="5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10,000,000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3"/>
        </w:trPr>
        <w:tc>
          <w:tcPr>
            <w:tcW w:w="4380" w:type="dxa"/>
            <w:vAlign w:val="bottom"/>
          </w:tcPr>
          <w:p>
            <w:pPr>
              <w:spacing w:after="0" w:line="183" w:lineRule="exact"/>
              <w:rPr>
                <w:sz w:val="20"/>
                <w:szCs w:val="20"/>
                <w:color w:val="auto"/>
              </w:rPr>
            </w:pPr>
            <w:r>
              <w:rPr>
                <w:rFonts w:ascii="Arial" w:cs="Arial" w:eastAsia="Arial" w:hAnsi="Arial"/>
                <w:sz w:val="17"/>
                <w:szCs w:val="17"/>
                <w:color w:val="auto"/>
              </w:rPr>
              <w:t>Series A-1 Preferred Stock</w:t>
            </w:r>
          </w:p>
        </w:tc>
        <w:tc>
          <w:tcPr>
            <w:tcW w:w="1400" w:type="dxa"/>
            <w:vAlign w:val="bottom"/>
            <w:gridSpan w:val="2"/>
          </w:tcPr>
          <w:p>
            <w:pPr>
              <w:jc w:val="right"/>
              <w:ind w:right="480"/>
              <w:spacing w:after="0" w:line="183" w:lineRule="exact"/>
              <w:rPr>
                <w:sz w:val="20"/>
                <w:szCs w:val="20"/>
                <w:color w:val="auto"/>
              </w:rPr>
            </w:pPr>
            <w:r>
              <w:rPr>
                <w:rFonts w:ascii="Arial" w:cs="Arial" w:eastAsia="Arial" w:hAnsi="Arial"/>
                <w:sz w:val="17"/>
                <w:szCs w:val="17"/>
                <w:color w:val="auto"/>
              </w:rPr>
              <w:t>800,000</w:t>
            </w:r>
          </w:p>
        </w:tc>
        <w:tc>
          <w:tcPr>
            <w:tcW w:w="11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800,000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80"/>
              <w:spacing w:after="0" w:line="183" w:lineRule="exact"/>
              <w:rPr>
                <w:sz w:val="20"/>
                <w:szCs w:val="20"/>
                <w:color w:val="auto"/>
              </w:rPr>
            </w:pPr>
            <w:r>
              <w:rPr>
                <w:rFonts w:ascii="Arial" w:cs="Arial" w:eastAsia="Arial" w:hAnsi="Arial"/>
                <w:sz w:val="17"/>
                <w:szCs w:val="17"/>
                <w:color w:val="auto"/>
              </w:rPr>
              <w:t>944</w:t>
            </w:r>
          </w:p>
        </w:tc>
        <w:tc>
          <w:tcPr>
            <w:tcW w:w="160" w:type="dxa"/>
            <w:vAlign w:val="bottom"/>
          </w:tcPr>
          <w:p>
            <w:pPr>
              <w:spacing w:after="0"/>
              <w:rPr>
                <w:sz w:val="15"/>
                <w:szCs w:val="15"/>
                <w:color w:val="auto"/>
              </w:rPr>
            </w:pPr>
          </w:p>
        </w:tc>
        <w:tc>
          <w:tcPr>
            <w:tcW w:w="1260" w:type="dxa"/>
            <w:vAlign w:val="bottom"/>
            <w:gridSpan w:val="2"/>
          </w:tcPr>
          <w:p>
            <w:pPr>
              <w:jc w:val="right"/>
              <w:ind w:right="500"/>
              <w:spacing w:after="0" w:line="183" w:lineRule="exact"/>
              <w:rPr>
                <w:sz w:val="20"/>
                <w:szCs w:val="20"/>
                <w:color w:val="auto"/>
              </w:rPr>
            </w:pPr>
            <w:r>
              <w:rPr>
                <w:rFonts w:ascii="Arial" w:cs="Arial" w:eastAsia="Arial" w:hAnsi="Arial"/>
                <w:sz w:val="17"/>
                <w:szCs w:val="17"/>
                <w:color w:val="auto"/>
              </w:rPr>
              <w:t>1,091</w:t>
            </w: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800,000</w:t>
            </w: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B-1 Preferred Stock</w:t>
            </w:r>
          </w:p>
        </w:tc>
        <w:tc>
          <w:tcPr>
            <w:tcW w:w="140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3,427,004</w:t>
            </w:r>
          </w:p>
        </w:tc>
        <w:tc>
          <w:tcPr>
            <w:tcW w:w="11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3,427,004</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9,106</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500"/>
              <w:spacing w:after="0" w:line="183" w:lineRule="exact"/>
              <w:rPr>
                <w:sz w:val="20"/>
                <w:szCs w:val="20"/>
                <w:color w:val="auto"/>
              </w:rPr>
            </w:pPr>
            <w:r>
              <w:rPr>
                <w:rFonts w:ascii="Arial" w:cs="Arial" w:eastAsia="Arial" w:hAnsi="Arial"/>
                <w:sz w:val="17"/>
                <w:szCs w:val="17"/>
                <w:color w:val="auto"/>
              </w:rPr>
              <w:t>11,676</w:t>
            </w:r>
          </w:p>
        </w:tc>
        <w:tc>
          <w:tcPr>
            <w:tcW w:w="12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3,427,004</w:t>
            </w:r>
          </w:p>
        </w:tc>
      </w:tr>
      <w:tr>
        <w:trPr>
          <w:trHeight w:val="183"/>
        </w:trPr>
        <w:tc>
          <w:tcPr>
            <w:tcW w:w="4380" w:type="dxa"/>
            <w:vAlign w:val="bottom"/>
          </w:tcPr>
          <w:p>
            <w:pPr>
              <w:spacing w:after="0" w:line="183" w:lineRule="exact"/>
              <w:rPr>
                <w:sz w:val="20"/>
                <w:szCs w:val="20"/>
                <w:color w:val="auto"/>
              </w:rPr>
            </w:pPr>
            <w:r>
              <w:rPr>
                <w:rFonts w:ascii="Arial" w:cs="Arial" w:eastAsia="Arial" w:hAnsi="Arial"/>
                <w:sz w:val="17"/>
                <w:szCs w:val="17"/>
                <w:color w:val="auto"/>
              </w:rPr>
              <w:t>Series B-2 Preferred Stock</w:t>
            </w: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3,062,891</w:t>
            </w:r>
          </w:p>
        </w:tc>
        <w:tc>
          <w:tcPr>
            <w:tcW w:w="4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500"/>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r>
      <w:tr>
        <w:trPr>
          <w:trHeight w:val="26"/>
        </w:trPr>
        <w:tc>
          <w:tcPr>
            <w:tcW w:w="4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17,289,895</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14,227,004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19,941</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00"/>
              <w:spacing w:after="0" w:line="183" w:lineRule="exact"/>
              <w:rPr>
                <w:sz w:val="20"/>
                <w:szCs w:val="20"/>
                <w:color w:val="auto"/>
              </w:rPr>
            </w:pPr>
            <w:r>
              <w:rPr>
                <w:rFonts w:ascii="Arial" w:cs="Arial" w:eastAsia="Arial" w:hAnsi="Arial"/>
                <w:sz w:val="17"/>
                <w:szCs w:val="17"/>
                <w:color w:val="auto"/>
              </w:rPr>
              <w:t>24,238</w:t>
            </w:r>
          </w:p>
        </w:tc>
        <w:tc>
          <w:tcPr>
            <w:tcW w:w="12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14,227,004</w:t>
            </w:r>
          </w:p>
        </w:tc>
      </w:tr>
      <w:tr>
        <w:trPr>
          <w:trHeight w:val="20"/>
        </w:trPr>
        <w:tc>
          <w:tcPr>
            <w:tcW w:w="4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4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rights and privileges of the Preferred Stockholders as of December 31, 2018.</w:t>
      </w:r>
    </w:p>
    <w:p>
      <w:pPr>
        <w:spacing w:after="0" w:line="126" w:lineRule="exact"/>
        <w:rPr>
          <w:sz w:val="20"/>
          <w:szCs w:val="20"/>
          <w:color w:val="auto"/>
        </w:rPr>
      </w:pPr>
    </w:p>
    <w:p>
      <w:pPr>
        <w:jc w:val="both"/>
        <w:ind w:right="320"/>
        <w:spacing w:after="0" w:line="237"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Shares of Preferred Stock are convertible, at the option of the holder, at any time, into shares of common stock. The number of shares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dividing the original issuance price by the conversion price. As such, the shares of Preferred Stock effectively convert on a one-for-one basis. These rights terminate in the event of a liquidation or winding up of the Company. No fractional shares will be issued.</w:t>
      </w:r>
    </w:p>
    <w:p>
      <w:pPr>
        <w:spacing w:after="0" w:line="126" w:lineRule="exact"/>
        <w:rPr>
          <w:sz w:val="20"/>
          <w:szCs w:val="20"/>
          <w:color w:val="auto"/>
        </w:rPr>
      </w:pPr>
    </w:p>
    <w:p>
      <w:pPr>
        <w:spacing w:after="0" w:line="229"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While the Preferred Stock is not redeemable, the shares are redeemable for cash in certain change of control events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beyond the control of the Company. In the event of any liquidation or Deemed Liquation Event (as defined in the articles of incorporation), the Preferred Stockholders are entitled to the greater of (i) the original issue price of the Preferred Stock plus any accrued dividends not yet paid plus any other dividends declared and unpaid or ii) the amount payable had all classes of shares been converted to common stock. In the event of a Deemed Liquidation Event, if the assets of the Company available for distribution are insufficient to pay the Preferred Stockholders in the full amount they are entitled, the Preferred Stockholders shall share ratably in any distribution of the assets available for distribution in proportion to the number of shares of Preferred Stock that they hold. Note that in relation to the above, the holders of Series B-1/B-2 Preferred Stock are entitled to be paid out prior to the holders of common stock, Series A Preferred Stock and Series A-1 Preferred Stock.</w:t>
      </w:r>
    </w:p>
    <w:p>
      <w:pPr>
        <w:spacing w:after="0" w:line="127" w:lineRule="exact"/>
        <w:rPr>
          <w:sz w:val="20"/>
          <w:szCs w:val="20"/>
          <w:color w:val="auto"/>
        </w:rPr>
      </w:pPr>
    </w:p>
    <w:p>
      <w:pPr>
        <w:spacing w:after="0" w:line="230"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accrue at a rate of $0.08, $0.10, $0.268456 and $0.300368 per share, per year on the anniversary of the issuance date for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Series A-1 Preferred Stock, Series B-1 Preferred Stock and Series B-2 Preferred Stock, respectively. Dividends are cumulative; however, accrued dividends will be payable only if and when declared by the Board. Dividends on other classes of the Company’s stock may not be declared or paid unless the Preferred Stockholders are first paid (i) all dividends accrued and not yet paid plus (ii) the product of (a) dividends declared on an as converted basis and (b) Preferred Stock on an as converted basis. That is, if the Company declared dividends on outstanding common stock, Preferred Stockholders would receive both the dividends owed for the Preferred Stock plus that which would be owed if the Preferred Stock were converted to common stock. No dividends have been declared through December 31, 2018.</w:t>
      </w:r>
    </w:p>
    <w:p>
      <w:pPr>
        <w:spacing w:after="0" w:line="125" w:lineRule="exact"/>
        <w:rPr>
          <w:sz w:val="20"/>
          <w:szCs w:val="20"/>
          <w:color w:val="auto"/>
        </w:rPr>
      </w:pPr>
    </w:p>
    <w:p>
      <w:pPr>
        <w:jc w:val="both"/>
        <w:ind w:right="14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outstanding shares of Preferred Stock shall be entitled to cast the number of votes equal to the number of whole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into which the shares of Preferred Stock held by such holder are convertible as of the record date for determining stockholders entitled to vote on such matter. Preferred Stockholders and common stockholders vote together as a single class.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COMMON STOCK</w:t>
      </w:r>
    </w:p>
    <w:p>
      <w:pPr>
        <w:spacing w:after="0" w:line="82"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As of December 31, 2018, the Company’s certificate of incorporation, authorized the Company to issue 27,000,000 shares of $0.0001 par value common stock. The voting, dividend and liquidation rights of the holders of the Company’s common stock are subject to and qualified by the rights, powers and preference of the holders of the Preferred Stock set forth above.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40"/>
          </w:cols>
          <w:pgMar w:left="320" w:top="448" w:right="3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Each share of common stock entitles the holder to one vote, together with the holders of Preferred Stock, on all matters submitted to the stockholders for a vote. As of December 31, 2018, no cash dividends have been declared or paid.</w:t>
      </w:r>
    </w:p>
    <w:p>
      <w:pPr>
        <w:spacing w:after="0" w:line="143"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As of December 31, 2018, the Company has reserved the following shares of common stock for potential conversion of outstanding Preferred Stock, the vesting of restricted stock and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100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76"/>
        </w:trPr>
        <w:tc>
          <w:tcPr>
            <w:tcW w:w="100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Preferred Stock</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14,227,004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10000" w:type="dxa"/>
            <w:vAlign w:val="bottom"/>
          </w:tcPr>
          <w:p>
            <w:pPr>
              <w:spacing w:after="0" w:line="183" w:lineRule="exact"/>
              <w:rPr>
                <w:sz w:val="20"/>
                <w:szCs w:val="20"/>
                <w:color w:val="auto"/>
              </w:rPr>
            </w:pPr>
            <w:r>
              <w:rPr>
                <w:rFonts w:ascii="Arial" w:cs="Arial" w:eastAsia="Arial" w:hAnsi="Arial"/>
                <w:sz w:val="17"/>
                <w:szCs w:val="17"/>
                <w:color w:val="auto"/>
              </w:rPr>
              <w:t>Unvested restricted stock</w:t>
            </w:r>
          </w:p>
        </w:tc>
        <w:tc>
          <w:tcPr>
            <w:tcW w:w="12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300,000</w:t>
            </w:r>
          </w:p>
        </w:tc>
        <w:tc>
          <w:tcPr>
            <w:tcW w:w="40" w:type="dxa"/>
            <w:vAlign w:val="bottom"/>
          </w:tcPr>
          <w:p>
            <w:pPr>
              <w:spacing w:after="0"/>
              <w:rPr>
                <w:sz w:val="15"/>
                <w:szCs w:val="15"/>
                <w:color w:val="auto"/>
              </w:rPr>
            </w:pPr>
          </w:p>
        </w:tc>
      </w:tr>
      <w:tr>
        <w:trPr>
          <w:trHeight w:val="183"/>
        </w:trPr>
        <w:tc>
          <w:tcPr>
            <w:tcW w:w="10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to purchase common stock</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1,842,708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1000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16,369,712</w:t>
            </w:r>
          </w:p>
        </w:tc>
        <w:tc>
          <w:tcPr>
            <w:tcW w:w="40" w:type="dxa"/>
            <w:vAlign w:val="bottom"/>
          </w:tcPr>
          <w:p>
            <w:pPr>
              <w:spacing w:after="0"/>
              <w:rPr>
                <w:sz w:val="16"/>
                <w:szCs w:val="16"/>
                <w:color w:val="auto"/>
              </w:rPr>
            </w:pPr>
          </w:p>
        </w:tc>
      </w:tr>
      <w:tr>
        <w:trPr>
          <w:trHeight w:val="20"/>
        </w:trPr>
        <w:tc>
          <w:tcPr>
            <w:tcW w:w="10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10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34" w:lineRule="exact"/>
        <w:rPr>
          <w:sz w:val="20"/>
          <w:szCs w:val="20"/>
          <w:color w:val="auto"/>
        </w:rPr>
      </w:pPr>
    </w:p>
    <w:p>
      <w:pPr>
        <w:ind w:right="8220" w:firstLine="4"/>
        <w:spacing w:after="0" w:line="330" w:lineRule="auto"/>
        <w:tabs>
          <w:tab w:leader="none" w:pos="29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6"/>
          <w:szCs w:val="16"/>
          <w:b w:val="1"/>
          <w:bCs w:val="1"/>
          <w:i w:val="1"/>
          <w:iCs w:val="1"/>
          <w:color w:val="auto"/>
        </w:rPr>
        <w:t>2017 Plan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The Company adopted the Keros Therapeutics, Inc. 2017 Stock Incentive Plan (the “2017 Plan”) on February 2, 2017 for the issuance of stock options and other stock-based awards. Originally, the 2017 Plan authorized up to 518,110 of shares of the Company’s common stock to be issued. On December 18, 2017, the 2017 Plan was amended to increase the number of shares of common stock authorized to be issued from 518,110 to 1,500,643. On January 2, 2018, the 2017 Plan was amended to increase the number of shares of common stock authorized to be issued from 1,500,643 to 1,942,643. Shares that are expired, terminated, surrendered or canceled under the 2017 Plan without having been fully exercised will be available for future awards. In addition, shares of common stock that are tendered to the Company by a participant to exercise an award are added to the number of shares of common stock available for the grant of awards. As of December 31, 2018, there were 67,960 shares available for future grant under the 2017 Plan.</w:t>
      </w:r>
    </w:p>
    <w:p>
      <w:pPr>
        <w:spacing w:after="0" w:line="146"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The 2017 Plan is administered by the Board. The exercise prices, vesting and other restrictions are determined at the discretion of the Board, except that the exercise price per share of incentive stock options may not be less than 100% of the fair market value of the common stock on the date of grant. Stock options awarded under the 2017 Plan expire ten years after the grant date, unless the Board sets a shorter term. Vesting periods for awards under the plans are determined at the discretion of the Board. Incentive stock options granted to employees and shares of restricted stock awards granted to employees, officers, members of the Board, advisors, and consultants of the Company typically vest over four years. Non-statutory options and shares of restricted stock awards granted to employees, officers, members of the Board, advisors, and consultants of the Company typically vest over three or four years.</w:t>
      </w:r>
    </w:p>
    <w:p>
      <w:pPr>
        <w:spacing w:after="0" w:line="14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During the year ended December 31, 2018, the Company granted options to purchase 1,569,141 shares of common stock. The Company recorded stock-based compensation expense for options granted of $0.1 million during the year ended December 31, 2018. During the year ended December 31, 2018 the Company granted no shares of restricted stock. The Company recorded stock-based compensation expense for restricted stock of less than $1,000 during the year ended December 31, 2018.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40"/>
          </w:cols>
          <w:pgMar w:left="320" w:top="448" w:right="3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86" w:lineRule="exact"/>
        <w:rPr>
          <w:sz w:val="20"/>
          <w:szCs w:val="20"/>
          <w:color w:val="auto"/>
        </w:rPr>
      </w:pPr>
    </w:p>
    <w:p>
      <w:pPr>
        <w:ind w:right="360"/>
        <w:spacing w:after="0" w:line="233" w:lineRule="auto"/>
        <w:rPr>
          <w:sz w:val="20"/>
          <w:szCs w:val="20"/>
          <w:color w:val="auto"/>
        </w:rPr>
      </w:pPr>
      <w:r>
        <w:rPr>
          <w:rFonts w:ascii="Arial" w:cs="Arial" w:eastAsia="Arial" w:hAnsi="Arial"/>
          <w:sz w:val="17"/>
          <w:szCs w:val="17"/>
          <w:color w:val="auto"/>
        </w:rPr>
        <w:t>The assumptions that the Company used in Black-Scholes option pricing model to determine the grant-date fair value of stock options granted for the year ended 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YEAR ENDED</w:t>
            </w:r>
          </w:p>
        </w:tc>
      </w:tr>
      <w:tr>
        <w:trPr>
          <w:trHeight w:val="157"/>
        </w:trPr>
        <w:tc>
          <w:tcPr>
            <w:tcW w:w="10020" w:type="dxa"/>
            <w:vAlign w:val="bottom"/>
          </w:tcPr>
          <w:p>
            <w:pPr>
              <w:spacing w:after="0"/>
              <w:rPr>
                <w:sz w:val="13"/>
                <w:szCs w:val="13"/>
                <w:color w:val="auto"/>
              </w:rPr>
            </w:pPr>
          </w:p>
        </w:tc>
        <w:tc>
          <w:tcPr>
            <w:tcW w:w="12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8"/>
              </w:rPr>
              <w:t>DECEMBER 31,</w:t>
            </w:r>
          </w:p>
        </w:tc>
      </w:tr>
      <w:tr>
        <w:trPr>
          <w:trHeight w:val="168"/>
        </w:trPr>
        <w:tc>
          <w:tcPr>
            <w:tcW w:w="10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r>
      <w:tr>
        <w:trPr>
          <w:trHeight w:val="176"/>
        </w:trPr>
        <w:tc>
          <w:tcPr>
            <w:tcW w:w="100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risk-free interest rate</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2.70%</w:t>
            </w:r>
          </w:p>
        </w:tc>
      </w:tr>
      <w:tr>
        <w:trPr>
          <w:trHeight w:val="183"/>
        </w:trPr>
        <w:tc>
          <w:tcPr>
            <w:tcW w:w="10020" w:type="dxa"/>
            <w:vAlign w:val="bottom"/>
          </w:tcPr>
          <w:p>
            <w:pPr>
              <w:spacing w:after="0" w:line="183" w:lineRule="exact"/>
              <w:rPr>
                <w:sz w:val="20"/>
                <w:szCs w:val="20"/>
                <w:color w:val="auto"/>
              </w:rPr>
            </w:pPr>
            <w:r>
              <w:rPr>
                <w:rFonts w:ascii="Arial" w:cs="Arial" w:eastAsia="Arial" w:hAnsi="Arial"/>
                <w:sz w:val="17"/>
                <w:szCs w:val="17"/>
                <w:color w:val="auto"/>
              </w:rPr>
              <w:t>Expected term (in years)</w:t>
            </w:r>
          </w:p>
        </w:tc>
        <w:tc>
          <w:tcPr>
            <w:tcW w:w="220" w:type="dxa"/>
            <w:vAlign w:val="bottom"/>
          </w:tcPr>
          <w:p>
            <w:pPr>
              <w:spacing w:after="0"/>
              <w:rPr>
                <w:sz w:val="15"/>
                <w:szCs w:val="15"/>
                <w:color w:val="auto"/>
              </w:rPr>
            </w:pPr>
          </w:p>
        </w:tc>
        <w:tc>
          <w:tcPr>
            <w:tcW w:w="100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5.49</w:t>
            </w:r>
          </w:p>
        </w:tc>
      </w:tr>
      <w:tr>
        <w:trPr>
          <w:trHeight w:val="183"/>
        </w:trPr>
        <w:tc>
          <w:tcPr>
            <w:tcW w:w="10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volatility</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74.55%</w:t>
            </w:r>
          </w:p>
        </w:tc>
      </w:tr>
      <w:tr>
        <w:trPr>
          <w:trHeight w:val="183"/>
        </w:trPr>
        <w:tc>
          <w:tcPr>
            <w:tcW w:w="10020" w:type="dxa"/>
            <w:vAlign w:val="bottom"/>
          </w:tcPr>
          <w:p>
            <w:pPr>
              <w:spacing w:after="0" w:line="183" w:lineRule="exact"/>
              <w:rPr>
                <w:sz w:val="20"/>
                <w:szCs w:val="20"/>
                <w:color w:val="auto"/>
              </w:rPr>
            </w:pPr>
            <w:r>
              <w:rPr>
                <w:rFonts w:ascii="Arial" w:cs="Arial" w:eastAsia="Arial" w:hAnsi="Arial"/>
                <w:sz w:val="17"/>
                <w:szCs w:val="17"/>
                <w:color w:val="auto"/>
              </w:rPr>
              <w:t>Expected dividend yield</w:t>
            </w:r>
          </w:p>
        </w:tc>
        <w:tc>
          <w:tcPr>
            <w:tcW w:w="220" w:type="dxa"/>
            <w:vAlign w:val="bottom"/>
          </w:tcPr>
          <w:p>
            <w:pPr>
              <w:spacing w:after="0"/>
              <w:rPr>
                <w:sz w:val="15"/>
                <w:szCs w:val="15"/>
                <w:color w:val="auto"/>
              </w:rPr>
            </w:pP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0.00%</w:t>
            </w:r>
          </w:p>
        </w:tc>
      </w:tr>
      <w:tr>
        <w:trPr>
          <w:trHeight w:val="183"/>
        </w:trPr>
        <w:tc>
          <w:tcPr>
            <w:tcW w:w="10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Fair value of underlying common stock</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86"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A summary of option activity under the 2017 Plan during the year ended December 31, 2018 is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WEIGHTED-AVERAGE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4420" w:type="dxa"/>
            <w:vAlign w:val="bottom"/>
          </w:tcPr>
          <w:p>
            <w:pPr>
              <w:spacing w:after="0"/>
              <w:rPr>
                <w:sz w:val="13"/>
                <w:szCs w:val="13"/>
                <w:color w:val="auto"/>
              </w:rPr>
            </w:pPr>
          </w:p>
        </w:tc>
        <w:tc>
          <w:tcPr>
            <w:tcW w:w="118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840"/>
              <w:spacing w:after="0" w:line="157" w:lineRule="exact"/>
              <w:rPr>
                <w:sz w:val="20"/>
                <w:szCs w:val="20"/>
                <w:color w:val="auto"/>
              </w:rPr>
            </w:pPr>
            <w:r>
              <w:rPr>
                <w:rFonts w:ascii="Arial" w:cs="Arial" w:eastAsia="Arial" w:hAnsi="Arial"/>
                <w:sz w:val="14"/>
                <w:szCs w:val="14"/>
                <w:b w:val="1"/>
                <w:bCs w:val="1"/>
                <w:color w:val="auto"/>
                <w:w w:val="97"/>
              </w:rPr>
              <w:t>WEIGHTED-</w:t>
            </w:r>
          </w:p>
        </w:tc>
        <w:tc>
          <w:tcPr>
            <w:tcW w:w="182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7"/>
              </w:rPr>
              <w:t>REMAINING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442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820"/>
              <w:spacing w:after="0" w:line="157" w:lineRule="exact"/>
              <w:rPr>
                <w:sz w:val="20"/>
                <w:szCs w:val="20"/>
                <w:color w:val="auto"/>
              </w:rPr>
            </w:pPr>
            <w:r>
              <w:rPr>
                <w:rFonts w:ascii="Arial" w:cs="Arial" w:eastAsia="Arial" w:hAnsi="Arial"/>
                <w:sz w:val="14"/>
                <w:szCs w:val="14"/>
                <w:b w:val="1"/>
                <w:bCs w:val="1"/>
                <w:color w:val="auto"/>
                <w:w w:val="98"/>
              </w:rPr>
              <w:t>AVERAGE</w:t>
            </w:r>
          </w:p>
        </w:tc>
        <w:tc>
          <w:tcPr>
            <w:tcW w:w="182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CONTRACTUAL</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AGGREGATE</w:t>
            </w:r>
          </w:p>
        </w:tc>
      </w:tr>
      <w:tr>
        <w:trPr>
          <w:trHeight w:val="168"/>
        </w:trPr>
        <w:tc>
          <w:tcPr>
            <w:tcW w:w="44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OPTIONS</w:t>
            </w:r>
          </w:p>
        </w:tc>
        <w:tc>
          <w:tcPr>
            <w:tcW w:w="3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TERM (IN YEARS)</w:t>
            </w:r>
          </w:p>
        </w:tc>
        <w:tc>
          <w:tcPr>
            <w:tcW w:w="36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INTRINSIC VALUE</w:t>
            </w:r>
          </w:p>
        </w:tc>
      </w:tr>
      <w:tr>
        <w:trPr>
          <w:trHeight w:val="176"/>
        </w:trPr>
        <w:tc>
          <w:tcPr>
            <w:tcW w:w="44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Outstanding as of December 31, 2017</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420,000</w:t>
            </w:r>
          </w:p>
        </w:tc>
        <w:tc>
          <w:tcPr>
            <w:tcW w:w="3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0.05</w:t>
            </w:r>
          </w:p>
        </w:tc>
        <w:tc>
          <w:tcPr>
            <w:tcW w:w="7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9.20</w:t>
            </w: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37,800</w:t>
            </w:r>
          </w:p>
        </w:tc>
        <w:tc>
          <w:tcPr>
            <w:tcW w:w="40" w:type="dxa"/>
            <w:vAlign w:val="bottom"/>
            <w:tcBorders>
              <w:top w:val="single" w:sz="8" w:color="CCEEFF"/>
            </w:tcBorders>
            <w:shd w:val="clear" w:color="auto" w:fill="CCEEFF"/>
          </w:tcPr>
          <w:p>
            <w:pPr>
              <w:spacing w:after="0"/>
              <w:rPr>
                <w:sz w:val="15"/>
                <w:szCs w:val="15"/>
                <w:color w:val="auto"/>
              </w:rPr>
            </w:pPr>
          </w:p>
        </w:tc>
      </w:tr>
      <w:tr>
        <w:trPr>
          <w:trHeight w:val="183"/>
        </w:trPr>
        <w:tc>
          <w:tcPr>
            <w:tcW w:w="4420" w:type="dxa"/>
            <w:vAlign w:val="bottom"/>
          </w:tcPr>
          <w:p>
            <w:pPr>
              <w:ind w:left="240"/>
              <w:spacing w:after="0" w:line="183" w:lineRule="exact"/>
              <w:rPr>
                <w:sz w:val="20"/>
                <w:szCs w:val="20"/>
                <w:color w:val="auto"/>
              </w:rPr>
            </w:pPr>
            <w:r>
              <w:rPr>
                <w:rFonts w:ascii="Arial" w:cs="Arial" w:eastAsia="Arial" w:hAnsi="Arial"/>
                <w:sz w:val="17"/>
                <w:szCs w:val="17"/>
                <w:color w:val="auto"/>
              </w:rPr>
              <w:t>Granted</w:t>
            </w:r>
          </w:p>
        </w:tc>
        <w:tc>
          <w:tcPr>
            <w:tcW w:w="118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1,569,141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700"/>
              <w:spacing w:after="0" w:line="183" w:lineRule="exact"/>
              <w:rPr>
                <w:sz w:val="20"/>
                <w:szCs w:val="20"/>
                <w:color w:val="auto"/>
              </w:rPr>
            </w:pPr>
            <w:r>
              <w:rPr>
                <w:rFonts w:ascii="Arial" w:cs="Arial" w:eastAsia="Arial" w:hAnsi="Arial"/>
                <w:sz w:val="17"/>
                <w:szCs w:val="17"/>
                <w:color w:val="auto"/>
              </w:rPr>
              <w:t>0.14</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44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Exercised</w:t>
            </w:r>
          </w:p>
        </w:tc>
        <w:tc>
          <w:tcPr>
            <w:tcW w:w="118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(111,975)</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700"/>
              <w:spacing w:after="0" w:line="183" w:lineRule="exact"/>
              <w:rPr>
                <w:sz w:val="20"/>
                <w:szCs w:val="20"/>
                <w:color w:val="auto"/>
              </w:rPr>
            </w:pPr>
            <w:r>
              <w:rPr>
                <w:rFonts w:ascii="Arial" w:cs="Arial" w:eastAsia="Arial" w:hAnsi="Arial"/>
                <w:sz w:val="17"/>
                <w:szCs w:val="17"/>
                <w:color w:val="auto"/>
              </w:rPr>
              <w:t>0.08</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4420" w:type="dxa"/>
            <w:vAlign w:val="bottom"/>
          </w:tcPr>
          <w:p>
            <w:pPr>
              <w:ind w:left="240"/>
              <w:spacing w:after="0" w:line="183" w:lineRule="exact"/>
              <w:rPr>
                <w:sz w:val="20"/>
                <w:szCs w:val="20"/>
                <w:color w:val="auto"/>
              </w:rPr>
            </w:pPr>
            <w:r>
              <w:rPr>
                <w:rFonts w:ascii="Arial" w:cs="Arial" w:eastAsia="Arial" w:hAnsi="Arial"/>
                <w:sz w:val="17"/>
                <w:szCs w:val="17"/>
                <w:color w:val="auto"/>
              </w:rPr>
              <w:t>Cancelled or forfeited</w:t>
            </w:r>
          </w:p>
        </w:tc>
        <w:tc>
          <w:tcPr>
            <w:tcW w:w="1180" w:type="dxa"/>
            <w:vAlign w:val="bottom"/>
            <w:gridSpan w:val="2"/>
          </w:tcPr>
          <w:p>
            <w:pPr>
              <w:jc w:val="right"/>
              <w:ind w:right="340"/>
              <w:spacing w:after="0" w:line="183" w:lineRule="exact"/>
              <w:rPr>
                <w:sz w:val="20"/>
                <w:szCs w:val="20"/>
                <w:color w:val="auto"/>
              </w:rPr>
            </w:pPr>
            <w:r>
              <w:rPr>
                <w:rFonts w:ascii="Arial" w:cs="Arial" w:eastAsia="Arial" w:hAnsi="Arial"/>
                <w:sz w:val="17"/>
                <w:szCs w:val="17"/>
                <w:color w:val="auto"/>
              </w:rPr>
              <w:t>(28,844)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700"/>
              <w:spacing w:after="0" w:line="183" w:lineRule="exact"/>
              <w:rPr>
                <w:sz w:val="20"/>
                <w:szCs w:val="20"/>
                <w:color w:val="auto"/>
              </w:rPr>
            </w:pPr>
            <w:r>
              <w:rPr>
                <w:rFonts w:ascii="Arial" w:cs="Arial" w:eastAsia="Arial" w:hAnsi="Arial"/>
                <w:sz w:val="17"/>
                <w:szCs w:val="17"/>
                <w:color w:val="auto"/>
              </w:rPr>
              <w:t>0.14</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44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Expired</w:t>
            </w:r>
          </w:p>
        </w:tc>
        <w:tc>
          <w:tcPr>
            <w:tcW w:w="118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(5,614)</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700"/>
              <w:spacing w:after="0" w:line="183" w:lineRule="exact"/>
              <w:rPr>
                <w:sz w:val="20"/>
                <w:szCs w:val="20"/>
                <w:color w:val="auto"/>
              </w:rPr>
            </w:pPr>
            <w:r>
              <w:rPr>
                <w:rFonts w:ascii="Arial" w:cs="Arial" w:eastAsia="Arial" w:hAnsi="Arial"/>
                <w:sz w:val="17"/>
                <w:szCs w:val="17"/>
                <w:color w:val="auto"/>
              </w:rPr>
              <w:t>0.14</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7"/>
                <w:szCs w:val="17"/>
                <w:color w:val="auto"/>
              </w:rPr>
              <w:t>Outstanding as of December 31, 2018</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1,842,708</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0.12</w:t>
            </w:r>
          </w:p>
        </w:tc>
        <w:tc>
          <w:tcPr>
            <w:tcW w:w="700" w:type="dxa"/>
            <w:vAlign w:val="bottom"/>
          </w:tcPr>
          <w:p>
            <w:pPr>
              <w:spacing w:after="0"/>
              <w:rPr>
                <w:sz w:val="16"/>
                <w:szCs w:val="16"/>
                <w:color w:val="auto"/>
              </w:rPr>
            </w:pPr>
          </w:p>
        </w:tc>
        <w:tc>
          <w:tcPr>
            <w:tcW w:w="18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9.10</w:t>
            </w:r>
          </w:p>
        </w:tc>
        <w:tc>
          <w:tcPr>
            <w:tcW w:w="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30,611</w:t>
            </w:r>
          </w:p>
        </w:tc>
      </w:tr>
      <w:tr>
        <w:trPr>
          <w:trHeight w:val="20"/>
        </w:trPr>
        <w:tc>
          <w:tcPr>
            <w:tcW w:w="4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442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Options exercisable as of December 31, 2018</w:t>
            </w:r>
          </w:p>
        </w:tc>
        <w:tc>
          <w:tcPr>
            <w:tcW w:w="1180" w:type="dxa"/>
            <w:vAlign w:val="bottom"/>
            <w:gridSpan w:val="2"/>
            <w:shd w:val="clear" w:color="auto" w:fill="CCEEFF"/>
          </w:tcPr>
          <w:p>
            <w:pPr>
              <w:jc w:val="right"/>
              <w:ind w:right="380"/>
              <w:spacing w:after="0" w:line="175" w:lineRule="exact"/>
              <w:rPr>
                <w:sz w:val="20"/>
                <w:szCs w:val="20"/>
                <w:color w:val="auto"/>
              </w:rPr>
            </w:pPr>
            <w:r>
              <w:rPr>
                <w:rFonts w:ascii="Arial" w:cs="Arial" w:eastAsia="Arial" w:hAnsi="Arial"/>
                <w:sz w:val="17"/>
                <w:szCs w:val="17"/>
                <w:color w:val="auto"/>
              </w:rPr>
              <w:t>920,836</w:t>
            </w:r>
          </w:p>
        </w:tc>
        <w:tc>
          <w:tcPr>
            <w:tcW w:w="480" w:type="dxa"/>
            <w:vAlign w:val="bottom"/>
            <w:gridSpan w:val="2"/>
            <w:shd w:val="clear" w:color="auto" w:fill="CCEEFF"/>
          </w:tcPr>
          <w:p>
            <w:pPr>
              <w:ind w:left="340"/>
              <w:spacing w:after="0" w:line="175" w:lineRule="exact"/>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700"/>
              <w:spacing w:after="0" w:line="175" w:lineRule="exact"/>
              <w:rPr>
                <w:sz w:val="20"/>
                <w:szCs w:val="20"/>
                <w:color w:val="auto"/>
              </w:rPr>
            </w:pPr>
            <w:r>
              <w:rPr>
                <w:rFonts w:ascii="Arial" w:cs="Arial" w:eastAsia="Arial" w:hAnsi="Arial"/>
                <w:sz w:val="17"/>
                <w:szCs w:val="17"/>
                <w:color w:val="auto"/>
              </w:rPr>
              <w:t>0.13</w:t>
            </w:r>
          </w:p>
        </w:tc>
        <w:tc>
          <w:tcPr>
            <w:tcW w:w="1820" w:type="dxa"/>
            <w:vAlign w:val="bottom"/>
            <w:gridSpan w:val="2"/>
            <w:shd w:val="clear" w:color="auto" w:fill="CCEEFF"/>
          </w:tcPr>
          <w:p>
            <w:pPr>
              <w:jc w:val="right"/>
              <w:ind w:right="360"/>
              <w:spacing w:after="0" w:line="175" w:lineRule="exact"/>
              <w:rPr>
                <w:sz w:val="20"/>
                <w:szCs w:val="20"/>
                <w:color w:val="auto"/>
              </w:rPr>
            </w:pPr>
            <w:r>
              <w:rPr>
                <w:rFonts w:ascii="Arial" w:cs="Arial" w:eastAsia="Arial" w:hAnsi="Arial"/>
                <w:sz w:val="17"/>
                <w:szCs w:val="17"/>
                <w:color w:val="auto"/>
              </w:rPr>
              <w:t>9.08</w:t>
            </w:r>
          </w:p>
        </w:tc>
        <w:tc>
          <w:tcPr>
            <w:tcW w:w="48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7"/>
                <w:szCs w:val="17"/>
                <w:color w:val="auto"/>
              </w:rPr>
              <w:t>12,105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3" w:lineRule="exact"/>
        <w:rPr>
          <w:sz w:val="20"/>
          <w:szCs w:val="20"/>
          <w:color w:val="auto"/>
        </w:rPr>
      </w:pPr>
    </w:p>
    <w:p>
      <w:pPr>
        <w:ind w:right="440"/>
        <w:spacing w:after="0" w:line="233"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3"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color w:val="auto"/>
        </w:rPr>
        <w:t>The weighted-average grant date fair value of options granted during the year ended December 31, 2018 was $0.1 million. As of December 31, 2018, there was $0.1 million of unrecognized stock-based compensation expense related to unvested stock options. The unrecognized stock-based compensation expense is estimated to be recognized over a period of 2.3 years as of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year ended December 31, 2018 was $0.1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of Restricted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granted shares of restricted common stock with time-based vesting conditions. A summary of restricted stock activity under the 2017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Plan during the year ended December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RESTRICTED STOCK</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Unvested as of December 31, 2017</w:t>
            </w:r>
          </w:p>
        </w:tc>
        <w:tc>
          <w:tcPr>
            <w:tcW w:w="33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525,000</w:t>
            </w: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0.0001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ind w:left="220"/>
              <w:spacing w:after="0" w:line="183" w:lineRule="exact"/>
              <w:rPr>
                <w:sz w:val="20"/>
                <w:szCs w:val="20"/>
                <w:color w:val="auto"/>
              </w:rPr>
            </w:pPr>
            <w:r>
              <w:rPr>
                <w:rFonts w:ascii="Arial" w:cs="Arial" w:eastAsia="Arial" w:hAnsi="Arial"/>
                <w:sz w:val="17"/>
                <w:szCs w:val="17"/>
                <w:color w:val="auto"/>
              </w:rPr>
              <w:t>Vested or released</w:t>
            </w:r>
          </w:p>
        </w:tc>
        <w:tc>
          <w:tcPr>
            <w:tcW w:w="3300" w:type="dxa"/>
            <w:vAlign w:val="bottom"/>
          </w:tcPr>
          <w:p>
            <w:pPr>
              <w:spacing w:after="0"/>
              <w:rPr>
                <w:sz w:val="15"/>
                <w:szCs w:val="15"/>
                <w:color w:val="auto"/>
              </w:rPr>
            </w:pPr>
          </w:p>
        </w:tc>
        <w:tc>
          <w:tcPr>
            <w:tcW w:w="1920" w:type="dxa"/>
            <w:vAlign w:val="bottom"/>
            <w:gridSpan w:val="2"/>
          </w:tcPr>
          <w:p>
            <w:pPr>
              <w:jc w:val="right"/>
              <w:ind w:right="440"/>
              <w:spacing w:after="0" w:line="183" w:lineRule="exact"/>
              <w:rPr>
                <w:sz w:val="20"/>
                <w:szCs w:val="20"/>
                <w:color w:val="auto"/>
              </w:rPr>
            </w:pPr>
            <w:r>
              <w:rPr>
                <w:rFonts w:ascii="Arial" w:cs="Arial" w:eastAsia="Arial" w:hAnsi="Arial"/>
                <w:sz w:val="17"/>
                <w:szCs w:val="17"/>
                <w:color w:val="auto"/>
              </w:rPr>
              <w:t>(225,000)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Unvested as of December 31, 2018</w:t>
            </w:r>
          </w:p>
        </w:tc>
        <w:tc>
          <w:tcPr>
            <w:tcW w:w="330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ind w:right="500"/>
              <w:spacing w:after="0" w:line="183" w:lineRule="exact"/>
              <w:rPr>
                <w:sz w:val="20"/>
                <w:szCs w:val="20"/>
                <w:color w:val="auto"/>
              </w:rPr>
            </w:pPr>
            <w:r>
              <w:rPr>
                <w:rFonts w:ascii="Arial" w:cs="Arial" w:eastAsia="Arial" w:hAnsi="Arial"/>
                <w:sz w:val="17"/>
                <w:szCs w:val="17"/>
                <w:color w:val="auto"/>
              </w:rPr>
              <w:t>300,000</w:t>
            </w:r>
          </w:p>
        </w:tc>
        <w:tc>
          <w:tcPr>
            <w:tcW w:w="560" w:type="dxa"/>
            <w:vAlign w:val="bottom"/>
            <w:gridSpan w:val="2"/>
            <w:shd w:val="clear" w:color="auto" w:fill="CCEEFF"/>
          </w:tcPr>
          <w:p>
            <w:pPr>
              <w:ind w:left="460"/>
              <w:spacing w:after="0" w:line="183"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20" w:type="dxa"/>
            <w:vAlign w:val="bottom"/>
            <w:gridSpan w:val="3"/>
          </w:tcPr>
          <w:p>
            <w:pPr>
              <w:jc w:val="right"/>
              <w:ind w:right="3480"/>
              <w:spacing w:after="0"/>
              <w:rPr>
                <w:sz w:val="20"/>
                <w:szCs w:val="20"/>
                <w:color w:val="auto"/>
              </w:rPr>
            </w:pPr>
            <w:r>
              <w:rPr>
                <w:rFonts w:ascii="Arial" w:cs="Arial" w:eastAsia="Arial" w:hAnsi="Arial"/>
                <w:sz w:val="16"/>
                <w:szCs w:val="16"/>
                <w:color w:val="auto"/>
              </w:rPr>
              <w:t>F-21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0"/>
        <w:spacing w:after="0" w:line="233" w:lineRule="auto"/>
        <w:rPr>
          <w:sz w:val="20"/>
          <w:szCs w:val="20"/>
          <w:color w:val="auto"/>
        </w:rPr>
      </w:pPr>
      <w:r>
        <w:rPr>
          <w:rFonts w:ascii="Arial" w:cs="Arial" w:eastAsia="Arial" w:hAnsi="Arial"/>
          <w:sz w:val="17"/>
          <w:szCs w:val="17"/>
          <w:color w:val="auto"/>
        </w:rPr>
        <w:t>As of December 31, 2018, there was less than $1,000 of unrecognized stock-based compensation expense related to unvested restricted stock. The unrecognized stock-based compensation expense is estimated to be recognized over a period of 1.2 years as of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86"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Total stock-based compensation expense recorded as research and development and general and administrative expenses, respectively, for employees, directors and non-employees during the year ended December 31, 2018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57"/>
        </w:trPr>
        <w:tc>
          <w:tcPr>
            <w:tcW w:w="20" w:type="dxa"/>
            <w:vAlign w:val="bottom"/>
          </w:tcPr>
          <w:p>
            <w:pPr>
              <w:spacing w:after="0"/>
              <w:rPr>
                <w:sz w:val="13"/>
                <w:szCs w:val="13"/>
                <w:color w:val="auto"/>
              </w:rPr>
            </w:pPr>
          </w:p>
        </w:tc>
        <w:tc>
          <w:tcPr>
            <w:tcW w:w="10140" w:type="dxa"/>
            <w:vAlign w:val="bottom"/>
          </w:tcPr>
          <w:p>
            <w:pPr>
              <w:spacing w:after="0"/>
              <w:rPr>
                <w:sz w:val="13"/>
                <w:szCs w:val="13"/>
                <w:color w:val="auto"/>
              </w:rPr>
            </w:pPr>
          </w:p>
        </w:tc>
        <w:tc>
          <w:tcPr>
            <w:tcW w:w="1080" w:type="dxa"/>
            <w:vAlign w:val="bottom"/>
            <w:gridSpan w:val="3"/>
          </w:tcPr>
          <w:p>
            <w:pPr>
              <w:jc w:val="right"/>
              <w:ind w:right="60"/>
              <w:spacing w:after="0" w:line="157" w:lineRule="exact"/>
              <w:rPr>
                <w:sz w:val="20"/>
                <w:szCs w:val="20"/>
                <w:color w:val="auto"/>
              </w:rPr>
            </w:pPr>
            <w:r>
              <w:rPr>
                <w:rFonts w:ascii="Arial" w:cs="Arial" w:eastAsia="Arial" w:hAnsi="Arial"/>
                <w:sz w:val="14"/>
                <w:szCs w:val="14"/>
                <w:b w:val="1"/>
                <w:bCs w:val="1"/>
                <w:color w:val="auto"/>
                <w:w w:val="96"/>
              </w:rPr>
              <w:t>DECEMBER 31,</w:t>
            </w:r>
          </w:p>
        </w:tc>
      </w:tr>
      <w:tr>
        <w:trPr>
          <w:trHeight w:val="168"/>
        </w:trPr>
        <w:tc>
          <w:tcPr>
            <w:tcW w:w="20" w:type="dxa"/>
            <w:vAlign w:val="bottom"/>
          </w:tcPr>
          <w:p>
            <w:pPr>
              <w:spacing w:after="0"/>
              <w:rPr>
                <w:sz w:val="14"/>
                <w:szCs w:val="14"/>
                <w:color w:val="auto"/>
              </w:rPr>
            </w:pPr>
          </w:p>
        </w:tc>
        <w:tc>
          <w:tcPr>
            <w:tcW w:w="10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0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jc w:val="right"/>
              <w:ind w:right="44"/>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0140" w:type="dxa"/>
            <w:vAlign w:val="bottom"/>
          </w:tcPr>
          <w:p>
            <w:pPr>
              <w:spacing w:after="0" w:line="183" w:lineRule="exact"/>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51</w:t>
            </w: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0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stock-based compensation expense</w:t>
            </w:r>
          </w:p>
        </w:tc>
        <w:tc>
          <w:tcPr>
            <w:tcW w:w="220" w:type="dxa"/>
            <w:vAlign w:val="bottom"/>
            <w:shd w:val="clear" w:color="auto" w:fill="CCEEFF"/>
          </w:tcPr>
          <w:p>
            <w:pPr>
              <w:jc w:val="right"/>
              <w:ind w:right="44"/>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81</w:t>
            </w: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96"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On December 22, 2017, the United States enacted the Tax Cuts and Jobs Act (“Tax Reform Legislation”), which made significant changes to U.S. federal income tax law.</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Loss before the provision for income taxes for the year ended December 31, 2018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r>
      <w:tr>
        <w:trPr>
          <w:trHeight w:val="157"/>
        </w:trPr>
        <w:tc>
          <w:tcPr>
            <w:tcW w:w="20" w:type="dxa"/>
            <w:vAlign w:val="bottom"/>
          </w:tcPr>
          <w:p>
            <w:pPr>
              <w:spacing w:after="0"/>
              <w:rPr>
                <w:sz w:val="13"/>
                <w:szCs w:val="13"/>
                <w:color w:val="auto"/>
              </w:rPr>
            </w:pPr>
          </w:p>
        </w:tc>
        <w:tc>
          <w:tcPr>
            <w:tcW w:w="10080" w:type="dxa"/>
            <w:vAlign w:val="bottom"/>
          </w:tcPr>
          <w:p>
            <w:pPr>
              <w:spacing w:after="0"/>
              <w:rPr>
                <w:sz w:val="13"/>
                <w:szCs w:val="13"/>
                <w:color w:val="auto"/>
              </w:rPr>
            </w:pPr>
          </w:p>
        </w:tc>
        <w:tc>
          <w:tcPr>
            <w:tcW w:w="114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8"/>
        </w:trPr>
        <w:tc>
          <w:tcPr>
            <w:tcW w:w="20" w:type="dxa"/>
            <w:vAlign w:val="bottom"/>
          </w:tcPr>
          <w:p>
            <w:pPr>
              <w:spacing w:after="0"/>
              <w:rPr>
                <w:sz w:val="14"/>
                <w:szCs w:val="14"/>
                <w:color w:val="auto"/>
              </w:rPr>
            </w:pPr>
          </w:p>
        </w:tc>
        <w:tc>
          <w:tcPr>
            <w:tcW w:w="100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United States</w:t>
            </w:r>
          </w:p>
        </w:tc>
        <w:tc>
          <w:tcPr>
            <w:tcW w:w="2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(1,286)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0080" w:type="dxa"/>
            <w:vAlign w:val="bottom"/>
          </w:tcPr>
          <w:p>
            <w:pPr>
              <w:spacing w:after="0" w:line="183" w:lineRule="exact"/>
              <w:rPr>
                <w:sz w:val="20"/>
                <w:szCs w:val="20"/>
                <w:color w:val="auto"/>
              </w:rPr>
            </w:pPr>
            <w:r>
              <w:rPr>
                <w:rFonts w:ascii="Arial" w:cs="Arial" w:eastAsia="Arial" w:hAnsi="Arial"/>
                <w:sz w:val="17"/>
                <w:szCs w:val="17"/>
                <w:color w:val="auto"/>
              </w:rPr>
              <w:t>Foreign</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before provision for (benefit from) income taxes</w:t>
            </w:r>
          </w:p>
        </w:tc>
        <w:tc>
          <w:tcPr>
            <w:tcW w:w="2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(1,078)</w:t>
            </w:r>
          </w:p>
        </w:tc>
      </w:tr>
      <w:tr>
        <w:trPr>
          <w:trHeight w:val="20"/>
        </w:trPr>
        <w:tc>
          <w:tcPr>
            <w:tcW w:w="1010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341"/>
        </w:trPr>
        <w:tc>
          <w:tcPr>
            <w:tcW w:w="10100" w:type="dxa"/>
            <w:vAlign w:val="bottom"/>
            <w:gridSpan w:val="2"/>
          </w:tcPr>
          <w:p>
            <w:pPr>
              <w:spacing w:after="0"/>
              <w:rPr>
                <w:sz w:val="20"/>
                <w:szCs w:val="20"/>
                <w:color w:val="auto"/>
              </w:rPr>
            </w:pPr>
            <w:r>
              <w:rPr>
                <w:rFonts w:ascii="Arial" w:cs="Arial" w:eastAsia="Arial" w:hAnsi="Arial"/>
                <w:sz w:val="17"/>
                <w:szCs w:val="17"/>
                <w:color w:val="auto"/>
              </w:rPr>
              <w:t>The components of income tax expense for the year ended December 31, 2018 consisted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10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373"/>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57"/>
        </w:trPr>
        <w:tc>
          <w:tcPr>
            <w:tcW w:w="20" w:type="dxa"/>
            <w:vAlign w:val="bottom"/>
          </w:tcPr>
          <w:p>
            <w:pPr>
              <w:spacing w:after="0"/>
              <w:rPr>
                <w:sz w:val="13"/>
                <w:szCs w:val="13"/>
                <w:color w:val="auto"/>
              </w:rPr>
            </w:pPr>
          </w:p>
        </w:tc>
        <w:tc>
          <w:tcPr>
            <w:tcW w:w="10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68"/>
        </w:trPr>
        <w:tc>
          <w:tcPr>
            <w:tcW w:w="20" w:type="dxa"/>
            <w:vAlign w:val="bottom"/>
          </w:tcPr>
          <w:p>
            <w:pPr>
              <w:spacing w:after="0"/>
              <w:rPr>
                <w:sz w:val="14"/>
                <w:szCs w:val="14"/>
                <w:color w:val="auto"/>
              </w:rPr>
            </w:pPr>
          </w:p>
        </w:tc>
        <w:tc>
          <w:tcPr>
            <w:tcW w:w="100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08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Current income tax expense:</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10080" w:type="dxa"/>
            <w:vAlign w:val="bottom"/>
          </w:tcPr>
          <w:p>
            <w:pPr>
              <w:spacing w:after="0" w:line="183" w:lineRule="exact"/>
              <w:rPr>
                <w:sz w:val="20"/>
                <w:szCs w:val="20"/>
                <w:color w:val="auto"/>
              </w:rPr>
            </w:pPr>
            <w:r>
              <w:rPr>
                <w:rFonts w:ascii="Arial" w:cs="Arial" w:eastAsia="Arial" w:hAnsi="Arial"/>
                <w:sz w:val="17"/>
                <w:szCs w:val="17"/>
                <w:color w:val="auto"/>
              </w:rPr>
              <w:t>United States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257</w:t>
            </w: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income tax expense</w:t>
            </w:r>
          </w:p>
        </w:tc>
        <w:tc>
          <w:tcPr>
            <w:tcW w:w="2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257</w:t>
            </w:r>
          </w:p>
        </w:tc>
      </w:tr>
      <w:tr>
        <w:trPr>
          <w:trHeight w:val="189"/>
        </w:trPr>
        <w:tc>
          <w:tcPr>
            <w:tcW w:w="10100" w:type="dxa"/>
            <w:vAlign w:val="bottom"/>
            <w:gridSpan w:val="2"/>
          </w:tcPr>
          <w:p>
            <w:pPr>
              <w:spacing w:after="0" w:line="189" w:lineRule="exact"/>
              <w:rPr>
                <w:sz w:val="20"/>
                <w:szCs w:val="20"/>
                <w:color w:val="auto"/>
              </w:rPr>
            </w:pPr>
            <w:r>
              <w:rPr>
                <w:rFonts w:ascii="Arial" w:cs="Arial" w:eastAsia="Arial" w:hAnsi="Arial"/>
                <w:sz w:val="17"/>
                <w:szCs w:val="17"/>
                <w:color w:val="auto"/>
              </w:rPr>
              <w:t>Deferred income tax (benefit) expense:</w:t>
            </w: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0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deferred income tax (benefit) expense</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r>
      <w:tr>
        <w:trPr>
          <w:trHeight w:val="189"/>
        </w:trPr>
        <w:tc>
          <w:tcPr>
            <w:tcW w:w="10100" w:type="dxa"/>
            <w:vAlign w:val="bottom"/>
            <w:gridSpan w:val="2"/>
          </w:tcPr>
          <w:p>
            <w:pPr>
              <w:spacing w:after="0" w:line="189" w:lineRule="exact"/>
              <w:rPr>
                <w:sz w:val="20"/>
                <w:szCs w:val="20"/>
                <w:color w:val="auto"/>
              </w:rPr>
            </w:pPr>
            <w:r>
              <w:rPr>
                <w:rFonts w:ascii="Arial" w:cs="Arial" w:eastAsia="Arial" w:hAnsi="Arial"/>
                <w:sz w:val="17"/>
                <w:szCs w:val="17"/>
                <w:color w:val="auto"/>
              </w:rPr>
              <w:t>Total income tax expense</w:t>
            </w:r>
          </w:p>
        </w:tc>
        <w:tc>
          <w:tcPr>
            <w:tcW w:w="26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257</w:t>
            </w: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561"/>
        </w:trPr>
        <w:tc>
          <w:tcPr>
            <w:tcW w:w="20" w:type="dxa"/>
            <w:vAlign w:val="bottom"/>
          </w:tcPr>
          <w:p>
            <w:pPr>
              <w:spacing w:after="0"/>
              <w:rPr>
                <w:sz w:val="24"/>
                <w:szCs w:val="24"/>
                <w:color w:val="auto"/>
              </w:rPr>
            </w:pPr>
          </w:p>
        </w:tc>
        <w:tc>
          <w:tcPr>
            <w:tcW w:w="10080" w:type="dxa"/>
            <w:vAlign w:val="bottom"/>
          </w:tcPr>
          <w:p>
            <w:pPr>
              <w:ind w:left="5440"/>
              <w:spacing w:after="0"/>
              <w:rPr>
                <w:sz w:val="20"/>
                <w:szCs w:val="20"/>
                <w:color w:val="auto"/>
              </w:rPr>
            </w:pPr>
            <w:r>
              <w:rPr>
                <w:rFonts w:ascii="Arial" w:cs="Arial" w:eastAsia="Arial" w:hAnsi="Arial"/>
                <w:sz w:val="16"/>
                <w:szCs w:val="16"/>
                <w:color w:val="auto"/>
              </w:rPr>
              <w:t>F-22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448" w:right="3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A reconciliation of the U.S. federal statutory income tax rate to the Company’s effective income tax rate for the year ended December 31, 2018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2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940" w:type="dxa"/>
            <w:vAlign w:val="bottom"/>
          </w:tcPr>
          <w:p>
            <w:pPr>
              <w:spacing w:after="0"/>
              <w:rPr>
                <w:sz w:val="13"/>
                <w:szCs w:val="13"/>
                <w:color w:val="auto"/>
              </w:rPr>
            </w:pPr>
          </w:p>
        </w:tc>
        <w:tc>
          <w:tcPr>
            <w:tcW w:w="1280" w:type="dxa"/>
            <w:vAlign w:val="bottom"/>
            <w:gridSpan w:val="6"/>
          </w:tcPr>
          <w:p>
            <w:pPr>
              <w:jc w:val="center"/>
              <w:ind w:right="240"/>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Federal income tax (benefit) at statutory rate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tcPr>
          <w:p>
            <w:pPr>
              <w:spacing w:after="0" w:line="183" w:lineRule="exact"/>
              <w:rPr>
                <w:sz w:val="20"/>
                <w:szCs w:val="20"/>
                <w:color w:val="auto"/>
              </w:rPr>
            </w:pPr>
            <w:r>
              <w:rPr>
                <w:rFonts w:ascii="Arial" w:cs="Arial" w:eastAsia="Arial" w:hAnsi="Arial"/>
                <w:sz w:val="17"/>
                <w:szCs w:val="17"/>
                <w:color w:val="auto"/>
              </w:rPr>
              <w:t>Permanent differences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credits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56.5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tcPr>
          <w:p>
            <w:pPr>
              <w:spacing w:after="0" w:line="183" w:lineRule="exact"/>
              <w:rPr>
                <w:sz w:val="20"/>
                <w:szCs w:val="20"/>
                <w:color w:val="auto"/>
              </w:rPr>
            </w:pPr>
            <w:r>
              <w:rPr>
                <w:rFonts w:ascii="Arial" w:cs="Arial" w:eastAsia="Arial" w:hAnsi="Arial"/>
                <w:sz w:val="17"/>
                <w:szCs w:val="17"/>
                <w:color w:val="auto"/>
              </w:rPr>
              <w:t>State income tax, net of federal benefit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28.5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Impact of foreign operations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tcPr>
          <w:p>
            <w:pPr>
              <w:spacing w:after="0" w:line="183" w:lineRule="exact"/>
              <w:rPr>
                <w:sz w:val="20"/>
                <w:szCs w:val="20"/>
                <w:color w:val="auto"/>
              </w:rPr>
            </w:pPr>
            <w:r>
              <w:rPr>
                <w:rFonts w:ascii="Arial" w:cs="Arial" w:eastAsia="Arial" w:hAnsi="Arial"/>
                <w:sz w:val="17"/>
                <w:szCs w:val="17"/>
                <w:color w:val="auto"/>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Change in valuation allowance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(123.6)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7"/>
                <w:szCs w:val="17"/>
                <w:color w:val="auto"/>
              </w:rPr>
              <w:t>Effective tax rate</w:t>
            </w: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0"/>
        </w:trPr>
        <w:tc>
          <w:tcPr>
            <w:tcW w:w="99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9960" w:type="dxa"/>
            <w:vAlign w:val="bottom"/>
            <w:gridSpan w:val="2"/>
          </w:tcPr>
          <w:p>
            <w:pPr>
              <w:spacing w:after="0"/>
              <w:rPr>
                <w:sz w:val="20"/>
                <w:szCs w:val="20"/>
                <w:color w:val="auto"/>
              </w:rPr>
            </w:pPr>
            <w:r>
              <w:rPr>
                <w:rFonts w:ascii="Arial" w:cs="Arial" w:eastAsia="Arial" w:hAnsi="Arial"/>
                <w:sz w:val="17"/>
                <w:szCs w:val="17"/>
                <w:color w:val="auto"/>
              </w:rPr>
              <w:t>Net deferred tax assets as of December 31, 2018 consisted of the following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Research and development credits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541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tcPr>
          <w:p>
            <w:pPr>
              <w:spacing w:after="0" w:line="183" w:lineRule="exact"/>
              <w:rPr>
                <w:sz w:val="20"/>
                <w:szCs w:val="20"/>
                <w:color w:val="auto"/>
              </w:rPr>
            </w:pPr>
            <w:r>
              <w:rPr>
                <w:rFonts w:ascii="Arial" w:cs="Arial" w:eastAsia="Arial" w:hAnsi="Arial"/>
                <w:sz w:val="17"/>
                <w:szCs w:val="17"/>
                <w:color w:val="auto"/>
              </w:rPr>
              <w:t>Accrueds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auto"/>
              </w:rPr>
              <w:t>227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tcPr>
          <w:p>
            <w:pPr>
              <w:spacing w:after="0" w:line="183" w:lineRule="exact"/>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right"/>
              <w:ind w:right="100"/>
              <w:spacing w:after="0" w:line="183" w:lineRule="exact"/>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Intangibles</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960" w:type="dxa"/>
            <w:vAlign w:val="bottom"/>
            <w:gridSpan w:val="2"/>
          </w:tcPr>
          <w:p>
            <w:pPr>
              <w:spacing w:after="0" w:line="189" w:lineRule="exact"/>
              <w:rPr>
                <w:sz w:val="20"/>
                <w:szCs w:val="20"/>
                <w:color w:val="auto"/>
              </w:rPr>
            </w:pPr>
            <w:r>
              <w:rPr>
                <w:rFonts w:ascii="Arial" w:cs="Arial" w:eastAsia="Arial" w:hAnsi="Arial"/>
                <w:sz w:val="17"/>
                <w:szCs w:val="17"/>
                <w:color w:val="auto"/>
              </w:rPr>
              <w:t>Total deferred tax assets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3,611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Valuation allowance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(3,322)</w:t>
            </w:r>
          </w:p>
        </w:tc>
        <w:tc>
          <w:tcPr>
            <w:tcW w:w="0" w:type="dxa"/>
            <w:vAlign w:val="bottom"/>
          </w:tcPr>
          <w:p>
            <w:pPr>
              <w:spacing w:after="0"/>
              <w:rPr>
                <w:sz w:val="1"/>
                <w:szCs w:val="1"/>
                <w:color w:val="auto"/>
              </w:rPr>
            </w:pPr>
          </w:p>
        </w:tc>
      </w:tr>
      <w:tr>
        <w:trPr>
          <w:trHeight w:val="189"/>
        </w:trPr>
        <w:tc>
          <w:tcPr>
            <w:tcW w:w="9960" w:type="dxa"/>
            <w:vAlign w:val="bottom"/>
            <w:gridSpan w:val="2"/>
          </w:tcPr>
          <w:p>
            <w:pPr>
              <w:spacing w:after="0" w:line="189" w:lineRule="exact"/>
              <w:rPr>
                <w:sz w:val="20"/>
                <w:szCs w:val="20"/>
                <w:color w:val="auto"/>
              </w:rPr>
            </w:pPr>
            <w:r>
              <w:rPr>
                <w:rFonts w:ascii="Arial" w:cs="Arial" w:eastAsia="Arial" w:hAnsi="Arial"/>
                <w:sz w:val="17"/>
                <w:szCs w:val="17"/>
                <w:color w:val="auto"/>
              </w:rPr>
              <w:t>Net deferred tax assets</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94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Depreciation</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40"/>
              <w:spacing w:after="0" w:line="175" w:lineRule="exact"/>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89"/>
        </w:trPr>
        <w:tc>
          <w:tcPr>
            <w:tcW w:w="9960" w:type="dxa"/>
            <w:vAlign w:val="bottom"/>
            <w:gridSpan w:val="2"/>
          </w:tcPr>
          <w:p>
            <w:pPr>
              <w:spacing w:after="0" w:line="189" w:lineRule="exact"/>
              <w:rPr>
                <w:sz w:val="20"/>
                <w:szCs w:val="20"/>
                <w:color w:val="auto"/>
              </w:rPr>
            </w:pPr>
            <w:r>
              <w:rPr>
                <w:rFonts w:ascii="Arial" w:cs="Arial" w:eastAsia="Arial" w:hAnsi="Arial"/>
                <w:sz w:val="17"/>
                <w:szCs w:val="17"/>
                <w:color w:val="auto"/>
              </w:rPr>
              <w:t>Net deferred tax assets (liability)</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760"/>
        <w:spacing w:after="0" w:line="233" w:lineRule="auto"/>
        <w:rPr>
          <w:sz w:val="20"/>
          <w:szCs w:val="20"/>
          <w:color w:val="auto"/>
        </w:rPr>
      </w:pPr>
      <w:r>
        <w:rPr>
          <w:rFonts w:ascii="Arial" w:cs="Arial" w:eastAsia="Arial" w:hAnsi="Arial"/>
          <w:sz w:val="17"/>
          <w:szCs w:val="17"/>
          <w:color w:val="auto"/>
        </w:rPr>
        <w:t>As of December 31, 2018, the Company had U.S. federal and state research and development tax credit carryforwards of $0.3 and $0.3 million, respectively. The tax credits begin to expire in 2038.</w:t>
      </w:r>
    </w:p>
    <w:p>
      <w:pPr>
        <w:spacing w:after="0" w:line="143"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research and development credits and deferred revenue. Under the applicable accounting standards, management has considered the Company’s history of losses and concluded that it is more likely than not that the Company will not recognize the benefits of federal and state deferred tax assets. Accordingly, a full valuation allowance was maintained as of December 31, 2018. A change in the Company’s valuation allowance was recorded in 2018, in the amount of $1.3 million due primarily to the generation of additional net deferred tax assets.</w:t>
      </w:r>
    </w:p>
    <w:p>
      <w:pPr>
        <w:spacing w:after="0" w:line="142"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laws and regulations for both federal taxes and the many states in which it operates or does business in.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45"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The Company records tax positions as liabilities and adjusts these liabilities when its judgement changes as a result of the evaluation of new information not previously available. Because of the complexity of some of these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448" w:right="3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uncertainties, the ultimate resolution may result in a payment that is materially different from the Company’s current estimate of the recognized tax benefit liabilities. These differences will be reflected as increases or decreases to income tax expense in the period in which new information is available. As of December 31, 2018, the Company has not recorded any uncertain tax positions in its financial statements.</w:t>
      </w:r>
    </w:p>
    <w:p>
      <w:pPr>
        <w:spacing w:after="0" w:line="143" w:lineRule="exact"/>
        <w:rPr>
          <w:sz w:val="20"/>
          <w:szCs w:val="20"/>
          <w:color w:val="auto"/>
        </w:rPr>
      </w:pPr>
    </w:p>
    <w:p>
      <w:pPr>
        <w:ind w:right="300"/>
        <w:spacing w:after="0" w:line="230" w:lineRule="auto"/>
        <w:rPr>
          <w:sz w:val="20"/>
          <w:szCs w:val="20"/>
          <w:color w:val="auto"/>
        </w:rPr>
      </w:pPr>
      <w:r>
        <w:rPr>
          <w:rFonts w:ascii="Arial" w:cs="Arial" w:eastAsia="Arial" w:hAnsi="Arial"/>
          <w:sz w:val="17"/>
          <w:szCs w:val="17"/>
          <w:color w:val="auto"/>
        </w:rPr>
        <w:t>The Company recognize interest and penalties related to unrecognized tax benefits on the income tax expense line in the accompanying consolidated statement of operations. As of December 31, 2018, no accrued interest or penalties are included on the related tax liability line in the consolidated balance sheet.</w:t>
      </w:r>
    </w:p>
    <w:p>
      <w:pPr>
        <w:spacing w:after="0" w:line="143"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2015, to the present.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LOSS PER SHARE</w:t>
      </w:r>
    </w:p>
    <w:p>
      <w:pPr>
        <w:spacing w:after="0" w:line="96" w:lineRule="exact"/>
        <w:rPr>
          <w:sz w:val="20"/>
          <w:szCs w:val="20"/>
          <w:color w:val="auto"/>
        </w:rPr>
      </w:pPr>
    </w:p>
    <w:p>
      <w:pPr>
        <w:ind w:right="740"/>
        <w:spacing w:after="0" w:line="233" w:lineRule="auto"/>
        <w:rPr>
          <w:sz w:val="20"/>
          <w:szCs w:val="20"/>
          <w:color w:val="auto"/>
        </w:rPr>
      </w:pPr>
      <w:r>
        <w:rPr>
          <w:rFonts w:ascii="Arial" w:cs="Arial" w:eastAsia="Arial" w:hAnsi="Arial"/>
          <w:sz w:val="17"/>
          <w:szCs w:val="17"/>
          <w:color w:val="auto"/>
        </w:rPr>
        <w:t>Basic and diluted loss per share is computed by dividing net loss attributable to common stockholders by the weighted-average common shares outstanding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7"/>
        </w:trPr>
        <w:tc>
          <w:tcPr>
            <w:tcW w:w="1010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10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10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100" w:type="dxa"/>
            <w:vAlign w:val="bottom"/>
          </w:tcPr>
          <w:p>
            <w:pPr>
              <w:ind w:left="240"/>
              <w:spacing w:after="0" w:line="183" w:lineRule="exact"/>
              <w:rPr>
                <w:sz w:val="20"/>
                <w:szCs w:val="20"/>
                <w:color w:val="auto"/>
              </w:rPr>
            </w:pPr>
            <w:r>
              <w:rPr>
                <w:rFonts w:ascii="Arial" w:cs="Arial" w:eastAsia="Arial" w:hAnsi="Arial"/>
                <w:sz w:val="17"/>
                <w:szCs w:val="17"/>
                <w:color w:val="auto"/>
              </w:rPr>
              <w:t>Net loss</w:t>
            </w:r>
          </w:p>
        </w:tc>
        <w:tc>
          <w:tcPr>
            <w:tcW w:w="20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183"/>
        </w:trPr>
        <w:tc>
          <w:tcPr>
            <w:tcW w:w="1010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Less: Accruals of dividends of Preferred Stock</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0"/>
        </w:trPr>
        <w:tc>
          <w:tcPr>
            <w:tcW w:w="10100" w:type="dxa"/>
            <w:vAlign w:val="bottom"/>
            <w:vMerge w:val="restart"/>
          </w:tcPr>
          <w:p>
            <w:pPr>
              <w:ind w:left="500"/>
              <w:spacing w:after="0"/>
              <w:rPr>
                <w:sz w:val="20"/>
                <w:szCs w:val="20"/>
                <w:color w:val="auto"/>
              </w:rPr>
            </w:pPr>
            <w:r>
              <w:rPr>
                <w:rFonts w:ascii="Arial" w:cs="Arial" w:eastAsia="Arial" w:hAnsi="Arial"/>
                <w:sz w:val="17"/>
                <w:szCs w:val="17"/>
                <w:color w:val="auto"/>
              </w:rPr>
              <w:t>Net loss attributable to common stockholders—basic and diluted</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vMerge w:val="continue"/>
          </w:tcPr>
          <w:p>
            <w:pPr>
              <w:spacing w:after="0"/>
              <w:rPr>
                <w:sz w:val="16"/>
                <w:szCs w:val="16"/>
                <w:color w:val="auto"/>
              </w:rPr>
            </w:pPr>
          </w:p>
        </w:tc>
        <w:tc>
          <w:tcPr>
            <w:tcW w:w="2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100" w:type="dxa"/>
            <w:vAlign w:val="bottom"/>
          </w:tcPr>
          <w:p>
            <w:pPr>
              <w:ind w:left="240"/>
              <w:spacing w:after="0" w:line="183" w:lineRule="exact"/>
              <w:rPr>
                <w:sz w:val="20"/>
                <w:szCs w:val="20"/>
                <w:color w:val="auto"/>
              </w:rPr>
            </w:pPr>
            <w:r>
              <w:rPr>
                <w:rFonts w:ascii="Arial" w:cs="Arial" w:eastAsia="Arial" w:hAnsi="Arial"/>
                <w:sz w:val="17"/>
                <w:szCs w:val="17"/>
                <w:color w:val="auto"/>
              </w:rPr>
              <w:t>Weighted-average common stock outstanding</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4,719,371</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2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line="175" w:lineRule="exact"/>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Company’s potentially dilutive securities, which include Preferred Stock, restricted stock, and stock options,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from the computation of diluted net loss per share attributable to common stockholders at December 31, 2018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367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100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76"/>
        </w:trPr>
        <w:tc>
          <w:tcPr>
            <w:tcW w:w="100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Preferred Stock</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14,227,004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3"/>
        </w:trPr>
        <w:tc>
          <w:tcPr>
            <w:tcW w:w="10000" w:type="dxa"/>
            <w:vAlign w:val="bottom"/>
          </w:tcPr>
          <w:p>
            <w:pPr>
              <w:spacing w:after="0" w:line="183" w:lineRule="exact"/>
              <w:rPr>
                <w:sz w:val="20"/>
                <w:szCs w:val="20"/>
                <w:color w:val="auto"/>
              </w:rPr>
            </w:pPr>
            <w:r>
              <w:rPr>
                <w:rFonts w:ascii="Arial" w:cs="Arial" w:eastAsia="Arial" w:hAnsi="Arial"/>
                <w:sz w:val="17"/>
                <w:szCs w:val="17"/>
                <w:color w:val="auto"/>
              </w:rPr>
              <w:t>Unvested restricted stock</w:t>
            </w:r>
          </w:p>
        </w:tc>
        <w:tc>
          <w:tcPr>
            <w:tcW w:w="12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300,000</w:t>
            </w:r>
          </w:p>
        </w:tc>
        <w:tc>
          <w:tcPr>
            <w:tcW w:w="40" w:type="dxa"/>
            <w:vAlign w:val="bottom"/>
          </w:tcPr>
          <w:p>
            <w:pPr>
              <w:spacing w:after="0"/>
              <w:rPr>
                <w:sz w:val="15"/>
                <w:szCs w:val="15"/>
                <w:color w:val="auto"/>
              </w:rPr>
            </w:pPr>
          </w:p>
        </w:tc>
      </w:tr>
      <w:tr>
        <w:trPr>
          <w:trHeight w:val="183"/>
        </w:trPr>
        <w:tc>
          <w:tcPr>
            <w:tcW w:w="10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to purchase common stock</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1,842,708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1000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16,369,712</w:t>
            </w:r>
          </w:p>
        </w:tc>
        <w:tc>
          <w:tcPr>
            <w:tcW w:w="40" w:type="dxa"/>
            <w:vAlign w:val="bottom"/>
          </w:tcPr>
          <w:p>
            <w:pPr>
              <w:spacing w:after="0"/>
              <w:rPr>
                <w:sz w:val="16"/>
                <w:szCs w:val="16"/>
                <w:color w:val="auto"/>
              </w:rPr>
            </w:pPr>
          </w:p>
        </w:tc>
      </w:tr>
      <w:tr>
        <w:trPr>
          <w:trHeight w:val="20"/>
        </w:trPr>
        <w:tc>
          <w:tcPr>
            <w:tcW w:w="10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10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34" w:lineRule="exact"/>
        <w:rPr>
          <w:sz w:val="20"/>
          <w:szCs w:val="20"/>
          <w:color w:val="auto"/>
        </w:rPr>
      </w:pPr>
    </w:p>
    <w:p>
      <w:pPr>
        <w:ind w:right="7700" w:firstLine="4"/>
        <w:spacing w:after="0" w:line="330" w:lineRule="auto"/>
        <w:tabs>
          <w:tab w:leader="none" w:pos="29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6"/>
          <w:szCs w:val="16"/>
          <w:b w:val="1"/>
          <w:bCs w:val="1"/>
          <w:i w:val="1"/>
          <w:iCs w:val="1"/>
          <w:color w:val="auto"/>
        </w:rPr>
        <w:t>Leases</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Company has historically entered into lease arrangements for its facilities and certain equipment. As of December 31, 2018, the Company had one operating lease with required future payments, related to its real estate.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448" w:right="3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 xml:space="preserve">In applying the transition guidance under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(“ASC 842”), early adopted by the Company effective March 1, 2017, the Company determined the classification of its real estate lease to be an operating lease and recorded a ROU asset and lease liability as of the effective date.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Leases</w:t>
      </w:r>
    </w:p>
    <w:p>
      <w:pPr>
        <w:spacing w:after="0" w:line="31" w:lineRule="exact"/>
        <w:rPr>
          <w:sz w:val="20"/>
          <w:szCs w:val="20"/>
          <w:color w:val="auto"/>
        </w:rPr>
      </w:pPr>
    </w:p>
    <w:p>
      <w:pPr>
        <w:jc w:val="both"/>
        <w:ind w:right="200"/>
        <w:spacing w:after="0" w:line="228" w:lineRule="auto"/>
        <w:rPr>
          <w:sz w:val="20"/>
          <w:szCs w:val="20"/>
          <w:color w:val="auto"/>
        </w:rPr>
      </w:pPr>
      <w:r>
        <w:rPr>
          <w:rFonts w:ascii="Arial" w:cs="Arial" w:eastAsia="Arial" w:hAnsi="Arial"/>
          <w:sz w:val="17"/>
          <w:szCs w:val="17"/>
          <w:color w:val="auto"/>
        </w:rPr>
        <w:t>In March 2017, the Company entered into a lease agreement (the “Lexington Lease”) for its headquarters located in Lexington, Massachusetts. In July and August 2019, the Company entered into the first and second amendment, respectively, to its Lexington Lease to expand the rental space to 10,417 square feet. As required under the term of the lease agreement as collateral for the facility lease, the Company had restricted cash of $0.1 million in the form of a certificate of deposit as of December 31, 2018. The Lexington Lease provides for scheduled annual rent increases throughout the lease term and does not include termination or purchase options.</w:t>
      </w:r>
    </w:p>
    <w:p>
      <w:pPr>
        <w:spacing w:after="0" w:line="142"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From time to time, leases may include options to renew the lease after the expiration of the initial lease term. A renewal period is included in the lease term only when it is reasonably certain that the Company will exercise such renewal options. As of December 31, 2018, no renewal options existed that the Company believed were reasonably certain of being exercised.</w:t>
      </w:r>
    </w:p>
    <w:p>
      <w:pPr>
        <w:spacing w:after="0" w:line="143" w:lineRule="exact"/>
        <w:rPr>
          <w:sz w:val="20"/>
          <w:szCs w:val="20"/>
          <w:color w:val="auto"/>
        </w:rPr>
      </w:pPr>
    </w:p>
    <w:p>
      <w:pPr>
        <w:ind w:right="480"/>
        <w:spacing w:after="0" w:line="233" w:lineRule="auto"/>
        <w:rPr>
          <w:sz w:val="20"/>
          <w:szCs w:val="20"/>
          <w:color w:val="auto"/>
        </w:rPr>
      </w:pPr>
      <w:r>
        <w:rPr>
          <w:rFonts w:ascii="Arial" w:cs="Arial" w:eastAsia="Arial" w:hAnsi="Arial"/>
          <w:sz w:val="17"/>
          <w:szCs w:val="17"/>
          <w:color w:val="auto"/>
        </w:rPr>
        <w:t>The following table contains a summary of the lease costs recognized under Topic 842 and other information pertaining to the Company’s operating leases for the year ended December 31,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Lease cost</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7"/>
                <w:szCs w:val="17"/>
                <w:color w:val="auto"/>
              </w:rPr>
              <w:t>Operating lease cost</w:t>
            </w:r>
          </w:p>
        </w:tc>
        <w:tc>
          <w:tcPr>
            <w:tcW w:w="31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Variable payments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Total lease cost</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vMerge w:val="continue"/>
          </w:tcPr>
          <w:p>
            <w:pPr>
              <w:spacing w:after="0"/>
              <w:rPr>
                <w:sz w:val="16"/>
                <w:szCs w:val="16"/>
                <w:color w:val="auto"/>
              </w:rPr>
            </w:pPr>
          </w:p>
        </w:tc>
        <w:tc>
          <w:tcPr>
            <w:tcW w:w="3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Other information</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7"/>
                <w:szCs w:val="17"/>
                <w:color w:val="auto"/>
              </w:rPr>
              <w:t>Operating lease payments</w:t>
            </w:r>
          </w:p>
        </w:tc>
        <w:tc>
          <w:tcPr>
            <w:tcW w:w="31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Operating lease liabilities arising from obtaining ROU assets</w:t>
            </w:r>
          </w:p>
        </w:tc>
        <w:tc>
          <w:tcPr>
            <w:tcW w:w="31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7"/>
                <w:szCs w:val="17"/>
                <w:color w:val="auto"/>
              </w:rPr>
              <w:t>Remaining lease term</w:t>
            </w: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w w:val="93"/>
              </w:rPr>
              <w:t>4 years</w:t>
            </w: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3"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color w:val="auto"/>
        </w:rPr>
        <w:t>The Lexington Lease does not include any variable payments. As the Lexington Lease does not provide an implicit rate, the Company utilized its incremental borrowing rate based on what it would normally pay to borrow on a collateralized basis over a similar term for an amount equal to the lease payments at the commencement date in determining the present value of lease payments. As of December 31, 2018, the Company classified its short-term and long-term operating liabilities as short-term and long-term liabilities on the consolidated balance sheet,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2018, future discounted lease payments under all lease arrangements accounted for under ASC 842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71367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MATURITY OF LEASE LIABILITY</w:t>
            </w: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2019</w:t>
            </w:r>
          </w:p>
        </w:tc>
        <w:tc>
          <w:tcPr>
            <w:tcW w:w="216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Pr>
          <w:p>
            <w:pPr>
              <w:spacing w:after="0" w:line="183" w:lineRule="exact"/>
              <w:rPr>
                <w:sz w:val="20"/>
                <w:szCs w:val="20"/>
                <w:color w:val="auto"/>
              </w:rPr>
            </w:pPr>
            <w:r>
              <w:rPr>
                <w:rFonts w:ascii="Arial" w:cs="Arial" w:eastAsia="Arial" w:hAnsi="Arial"/>
                <w:sz w:val="17"/>
                <w:szCs w:val="17"/>
                <w:color w:val="auto"/>
              </w:rPr>
              <w:t>2020</w:t>
            </w:r>
          </w:p>
        </w:tc>
        <w:tc>
          <w:tcPr>
            <w:tcW w:w="21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2021</w:t>
            </w:r>
          </w:p>
        </w:tc>
        <w:tc>
          <w:tcPr>
            <w:tcW w:w="216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tcPr>
          <w:p>
            <w:pPr>
              <w:spacing w:after="0" w:line="183" w:lineRule="exact"/>
              <w:rPr>
                <w:sz w:val="20"/>
                <w:szCs w:val="20"/>
                <w:color w:val="auto"/>
              </w:rPr>
            </w:pPr>
            <w:r>
              <w:rPr>
                <w:rFonts w:ascii="Arial" w:cs="Arial" w:eastAsia="Arial" w:hAnsi="Arial"/>
                <w:sz w:val="17"/>
                <w:szCs w:val="17"/>
                <w:color w:val="auto"/>
              </w:rPr>
              <w:t>2022</w:t>
            </w:r>
          </w:p>
        </w:tc>
        <w:tc>
          <w:tcPr>
            <w:tcW w:w="216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Total lease payments</w:t>
            </w:r>
          </w:p>
        </w:tc>
        <w:tc>
          <w:tcPr>
            <w:tcW w:w="6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Arial" w:cs="Arial" w:eastAsia="Arial" w:hAnsi="Arial"/>
                <w:sz w:val="17"/>
                <w:szCs w:val="17"/>
                <w:color w:val="auto"/>
              </w:rPr>
              <w:t>Less: imputed interest</w:t>
            </w: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w w:val="95"/>
              </w:rPr>
              <w:t>(124)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Total operating lease liabilities</w:t>
            </w:r>
          </w:p>
        </w:tc>
        <w:tc>
          <w:tcPr>
            <w:tcW w:w="64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7"/>
                <w:szCs w:val="17"/>
                <w:color w:val="auto"/>
              </w:rPr>
              <w:t>Included in the consolidated balance sheet:</w:t>
            </w: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20" w:type="dxa"/>
            <w:vAlign w:val="bottom"/>
            <w:gridSpan w:val="3"/>
            <w:vMerge w:val="continue"/>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Current portion of lease liabilities</w:t>
            </w:r>
          </w:p>
        </w:tc>
        <w:tc>
          <w:tcPr>
            <w:tcW w:w="64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spacing w:after="0" w:line="183" w:lineRule="exact"/>
              <w:rPr>
                <w:sz w:val="20"/>
                <w:szCs w:val="20"/>
                <w:color w:val="auto"/>
              </w:rPr>
            </w:pPr>
            <w:r>
              <w:rPr>
                <w:rFonts w:ascii="Arial" w:cs="Arial" w:eastAsia="Arial" w:hAnsi="Arial"/>
                <w:sz w:val="17"/>
                <w:szCs w:val="17"/>
                <w:color w:val="auto"/>
              </w:rPr>
              <w:t>Lease liabilities</w:t>
            </w:r>
          </w:p>
        </w:tc>
        <w:tc>
          <w:tcPr>
            <w:tcW w:w="6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Total operating lease liabilities</w:t>
            </w:r>
          </w:p>
        </w:tc>
        <w:tc>
          <w:tcPr>
            <w:tcW w:w="64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480" w:type="dxa"/>
            <w:vAlign w:val="bottom"/>
            <w:gridSpan w:val="2"/>
          </w:tcPr>
          <w:p>
            <w:pPr>
              <w:jc w:val="right"/>
              <w:ind w:right="5020"/>
              <w:spacing w:after="0"/>
              <w:rPr>
                <w:sz w:val="20"/>
                <w:szCs w:val="20"/>
                <w:color w:val="auto"/>
              </w:rPr>
            </w:pPr>
            <w:r>
              <w:rPr>
                <w:rFonts w:ascii="Arial" w:cs="Arial" w:eastAsia="Arial" w:hAnsi="Arial"/>
                <w:sz w:val="16"/>
                <w:szCs w:val="16"/>
                <w:color w:val="auto"/>
              </w:rPr>
              <w:t>F-25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Leases</w:t>
      </w:r>
    </w:p>
    <w:p>
      <w:pPr>
        <w:spacing w:after="0" w:line="44"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Company enters into short-term leasing arrangements related to storage of clinical trial materials. The Company did not have any expenses related to these arrangements for the year ended December 31, 2018. As of December 31, 2018, the Company classified its short-term operating lease liabilities within accrued expenses and other current liabilities, as the Company has elected the practical expedient whereby it will not recognize leases with terms of 12 months or less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a party to any litigation and does not have contingency reserves established for any litigation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33"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In connection with the above lease, the Company received a loan from the landlord of $0.2 million related to its tenant improvement allowance. The Company is required to repay interest on the loan of 8.0% for the first 18 months of the lease and will then repay the full amount in installments over the remaining 3.5 year term of the lease, which expires in December 2022.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Future payments under the Company’s loan obligation as of December 31,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367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r>
      <w:tr>
        <w:trPr>
          <w:trHeight w:val="183"/>
        </w:trPr>
        <w:tc>
          <w:tcPr>
            <w:tcW w:w="20" w:type="dxa"/>
            <w:vAlign w:val="bottom"/>
          </w:tcPr>
          <w:p>
            <w:pPr>
              <w:spacing w:after="0"/>
              <w:rPr>
                <w:sz w:val="15"/>
                <w:szCs w:val="15"/>
                <w:color w:val="auto"/>
              </w:rPr>
            </w:pPr>
          </w:p>
        </w:tc>
        <w:tc>
          <w:tcPr>
            <w:tcW w:w="10740" w:type="dxa"/>
            <w:vAlign w:val="bottom"/>
          </w:tcPr>
          <w:p>
            <w:pPr>
              <w:spacing w:after="0" w:line="183" w:lineRule="exact"/>
              <w:rPr>
                <w:sz w:val="20"/>
                <w:szCs w:val="20"/>
                <w:color w:val="auto"/>
              </w:rPr>
            </w:pPr>
            <w:r>
              <w:rPr>
                <w:rFonts w:ascii="Arial" w:cs="Arial" w:eastAsia="Arial" w:hAnsi="Arial"/>
                <w:sz w:val="17"/>
                <w:szCs w:val="17"/>
                <w:color w:val="auto"/>
              </w:rPr>
              <w:t>2020</w:t>
            </w:r>
          </w:p>
        </w:tc>
        <w:tc>
          <w:tcPr>
            <w:tcW w:w="120" w:type="dxa"/>
            <w:vAlign w:val="bottom"/>
          </w:tcPr>
          <w:p>
            <w:pPr>
              <w:spacing w:after="0"/>
              <w:rPr>
                <w:sz w:val="15"/>
                <w:szCs w:val="15"/>
                <w:color w:val="auto"/>
              </w:rPr>
            </w:pP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65</w:t>
            </w:r>
          </w:p>
        </w:tc>
      </w:tr>
      <w:tr>
        <w:trPr>
          <w:trHeight w:val="183"/>
        </w:trPr>
        <w:tc>
          <w:tcPr>
            <w:tcW w:w="20" w:type="dxa"/>
            <w:vAlign w:val="bottom"/>
          </w:tcPr>
          <w:p>
            <w:pPr>
              <w:spacing w:after="0"/>
              <w:rPr>
                <w:sz w:val="15"/>
                <w:szCs w:val="15"/>
                <w:color w:val="auto"/>
              </w:rPr>
            </w:pPr>
          </w:p>
        </w:tc>
        <w:tc>
          <w:tcPr>
            <w:tcW w:w="10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65</w:t>
            </w:r>
          </w:p>
        </w:tc>
      </w:tr>
      <w:tr>
        <w:trPr>
          <w:trHeight w:val="189"/>
        </w:trPr>
        <w:tc>
          <w:tcPr>
            <w:tcW w:w="20" w:type="dxa"/>
            <w:vAlign w:val="bottom"/>
          </w:tcPr>
          <w:p>
            <w:pPr>
              <w:spacing w:after="0"/>
              <w:rPr>
                <w:sz w:val="16"/>
                <w:szCs w:val="16"/>
                <w:color w:val="auto"/>
              </w:rPr>
            </w:pPr>
          </w:p>
        </w:tc>
        <w:tc>
          <w:tcPr>
            <w:tcW w:w="10740" w:type="dxa"/>
            <w:vAlign w:val="bottom"/>
          </w:tcPr>
          <w:p>
            <w:pPr>
              <w:spacing w:after="0" w:line="183" w:lineRule="exact"/>
              <w:rPr>
                <w:sz w:val="20"/>
                <w:szCs w:val="20"/>
                <w:color w:val="auto"/>
              </w:rPr>
            </w:pPr>
            <w:r>
              <w:rPr>
                <w:rFonts w:ascii="Arial" w:cs="Arial" w:eastAsia="Arial" w:hAnsi="Arial"/>
                <w:sz w:val="17"/>
                <w:szCs w:val="17"/>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65</w:t>
            </w: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0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payments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227</w:t>
            </w:r>
          </w:p>
        </w:tc>
      </w:tr>
      <w:tr>
        <w:trPr>
          <w:trHeight w:val="20"/>
        </w:trPr>
        <w:tc>
          <w:tcPr>
            <w:tcW w:w="2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Refer to Note 7, License Agreement, for any potential future milestone or royalty payment amounts. These are not currently probable or estimable.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REVENUE FROM CONTRACTS WITH CUSTOMERS</w:t>
      </w:r>
    </w:p>
    <w:p>
      <w:pPr>
        <w:spacing w:after="0" w:line="8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The Company adopted ASC Topic 606 on January 1, 2018 applying the full retrospective method to all contracts that were not completed as of January 1, 2018. While the timing of future revenue under ASC Topic 606 may differ from the Company’s historical accounting practices under ASC Topic 605, the cumulative effect recognized in the consolidated statement of stockholder’s deficit was $0 because there was no change in timing or measurement of revenue for open contracts at January 1, 2018.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Novo Nordisk</w:t>
      </w:r>
    </w:p>
    <w:p>
      <w:pPr>
        <w:spacing w:after="0" w:line="46"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On December 14, 2017, the Company entered into a research collaboration and exclusive license agreement with Novo Nordisk A/S (“Novo,” agreement referred to as the “Novo Agreement”). The Novo Agreement stipulates that the two parties will work together on the discovery and development of new ligand traps for two years. Under the Novo Agreement, Keros granted Novo an exclusive license to develop and commercialize the licensed products listed as part of Keros’ intellectual property and Novo granted Keros a non-exclusive license to Novo’s intellectual property so that Keros could perform the activities it is responsible for as stated in the Novo Agreement.</w:t>
      </w:r>
    </w:p>
    <w:p>
      <w:pPr>
        <w:spacing w:after="0" w:line="142"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As consideration, the Company received an initial license payment in 2018 from Novo in the amount of $16.0 million. Novo has also paid the Company research collaboration budget funding payments of $2.0 million per each collaboration year, for $4.0 million total. Both of these research collaboration budget funding payments were received in 2018. Additionally, there are performance-based and sales-based milestone payments and sales-based royalties that have been determined to be variable consideration and constrained due to uncertainty of achievement. The sales-based royalties will be included in the transaction price and recognized as revenue once a sale occurs, and performance-based and sales-based milestone payments will be included in the transaction price and recognized as revenue if and when the cumulative revenue associated with the consideration is no longer probable of significant reversal.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448" w:right="3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Novo, is a customer. The Company identified the following material promises at the outset of the Novo Agreement: (1) an exclusive license to use the Company’s intellectual property to conduct research activities; (2) research and development (“R&amp;D”) services for activities under the research plan; (3) an option to extend the Novo Agreement; (4) participation on the joint steering committee (“JSC”); and (5) technology transfer associated with the research and development outputs. The Company determined that these promises were not capable of being distinct from one another and were not distinct in the context of the contract, as the license has no true value without the performance of the R&amp;D activities and the technology transfer and JSC participation depend on these activities. Novo would not be able to use the license without the performance of R&amp;D activities by the Company, as the research is novel in nature and could not be performed by another company. Additionally, the technology transfer is inherently dependent on the outcome of the Company’s R&amp;D activities, and as such is not capable of being distinct. As indicated in number (3) above, Novo may elect to extend the term of the Novo Agreement to a third year on similar terms and conditions, subject to mutual written agreement of Novo and the Company. The Company assessed this option as a potential material right and determined that the additional work would be performed based on negotiated rates at the standalone selling price, and as such these services would not be provided at a significant or incremental discount and the option does not provide Novo with a material right. The Novo Agreement did not contain a significant financing component as of December 31, 2018.</w:t>
      </w:r>
    </w:p>
    <w:p>
      <w:pPr>
        <w:spacing w:after="0" w:line="150"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In accordance with the Company’s ASC 606 assessment, the Novo Agreement was determined to contain a single combined performance obligation made up of the promises above, which does not require further allocation as the entire transaction price is allocated to this performance obligation. The Company determined the contract term of the Novo Agreement to be two years. The Company identified an appropriate measure of progress for the recognition of revenue and determined it would recognize the revenue over the term of the Novo Agreement using an input method based on full-time employee (“FTE”) costs incurred, as this appropriately depicts the company’s performance in satisfaction of the performance obligation. As such, the Company is recognizing the transaction price for its single performance obligation as Novo uses the license and research and development services performed by the Company and as the Company participates on the JSC. Amounts received that have not yet been recognized as revenue are recorded in deferred revenue on the Company’s consolidated balance sheet.</w:t>
      </w:r>
    </w:p>
    <w:p>
      <w:pPr>
        <w:spacing w:after="0" w:line="14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For the year ended December 31, 2018, the Company recognized $10.0 million as revenue in the consolidated statement of operations related to the Novo Agreement. The remaining $10.0 million of consideration has been recorded as current deferred revenue in the consolidated balance sheet and will be recognized according to FTE costs incurred over the remaining term of the Novo Agreement in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96"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Company has completed an evaluation of all subsequent events through January 21, 2020, the date these financial statements were available to be issued. Except as described below, the Company has concluded that no additional subsequent events have occurred that require disclosure.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w:t>
      </w:r>
    </w:p>
    <w:p>
      <w:pPr>
        <w:spacing w:after="0" w:line="4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On April 22, 2019, the Company entered into an exclusive license agreement with LakePharma, Inc. (“LakePharma”) whereby the Company licensed LakePharma’s intellectual property for research and development efforts for a license fee of $0.3 million. The agreement will continue in perpetuity unless terminated by either party. LakePharma may terminate the agreement at any time.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Agreement</w:t>
      </w:r>
    </w:p>
    <w:p>
      <w:pPr>
        <w:spacing w:after="0" w:line="44"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Effective September 1, 2019, the Company entered into an amendment to its operating lease agreement for office space in Lexington, Massachusetts. Following execution of the amendment, monthly rent under the lease, exclusive of operating expenses and real estate taxes, will be $20,000 for the</w:t>
      </w:r>
    </w:p>
    <w:p>
      <w:pPr>
        <w:ind w:right="240"/>
        <w:spacing w:after="0" w:line="233" w:lineRule="auto"/>
        <w:rPr>
          <w:sz w:val="20"/>
          <w:szCs w:val="20"/>
          <w:color w:val="auto"/>
        </w:rPr>
      </w:pPr>
      <w:r>
        <w:rPr>
          <w:rFonts w:ascii="Arial" w:cs="Arial" w:eastAsia="Arial" w:hAnsi="Arial"/>
          <w:sz w:val="17"/>
          <w:szCs w:val="17"/>
          <w:color w:val="auto"/>
        </w:rPr>
        <w:t>13-month period ending September 30, 2020, increasing to $21,000 for the 12-month periods ending September 30, 2021 and 2022 and increasing to $22,000 for the 3-month period ending December 31, 2022. The lease agreement expires December 31, 2022.</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80"/>
          </w:cols>
          <w:pgMar w:left="320" w:top="448" w:right="39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36765" cy="247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67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276860</wp:posOffset>
            </wp:positionV>
            <wp:extent cx="71367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416560</wp:posOffset>
            </wp:positionV>
            <wp:extent cx="2105660" cy="4724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0566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847725</wp:posOffset>
            </wp:positionV>
            <wp:extent cx="22796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152400</wp:posOffset>
            </wp:positionV>
            <wp:extent cx="22796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Joint Book-Running Managers</w:t>
      </w:r>
    </w:p>
    <w:p>
      <w:pPr>
        <w:sectPr>
          <w:pgSz w:w="11900" w:h="16838" w:orient="portrait"/>
          <w:cols w:equalWidth="0" w:num="1">
            <w:col w:w="11240"/>
          </w:cols>
          <w:pgMar w:left="320" w:top="448" w:right="339" w:bottom="1440" w:gutter="0" w:footer="0" w:header="0"/>
        </w:sectPr>
      </w:pP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Jefferies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Piper Sandler</w:t>
      </w:r>
    </w:p>
    <w:p>
      <w:pPr>
        <w:spacing w:after="0" w:line="200" w:lineRule="exact"/>
        <w:rPr>
          <w:sz w:val="20"/>
          <w:szCs w:val="20"/>
          <w:color w:val="auto"/>
        </w:rPr>
      </w:pPr>
    </w:p>
    <w:p>
      <w:pPr>
        <w:sectPr>
          <w:pgSz w:w="11900" w:h="16838" w:orient="portrait"/>
          <w:cols w:equalWidth="0" w:num="3">
            <w:col w:w="4220" w:space="720"/>
            <w:col w:w="3780" w:space="720"/>
            <w:col w:w="1800"/>
          </w:cols>
          <w:pgMar w:left="320" w:top="448" w:right="339" w:bottom="1440" w:gutter="0" w:footer="0" w:header="0"/>
          <w:type w:val="continuous"/>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H.C. Wainwright &amp; Co.</w:t>
      </w:r>
    </w:p>
    <w:p>
      <w:pPr>
        <w:sectPr>
          <w:pgSz w:w="11900" w:h="16838" w:orient="portrait"/>
          <w:cols w:equalWidth="0" w:num="1">
            <w:col w:w="11240"/>
          </w:cols>
          <w:pgMar w:left="320" w:top="4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315595</wp:posOffset>
            </wp:positionV>
            <wp:extent cx="71367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374015</wp:posOffset>
            </wp:positionV>
            <wp:extent cx="7136765" cy="24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6765" cy="2476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type w:val="continuous"/>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9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Inc., or FINRA, filing fee and the 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1244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FINRA filing fee</w:t>
      </w:r>
    </w:p>
    <w:p>
      <w:pPr>
        <w:spacing w:after="0" w:line="225" w:lineRule="auto"/>
        <w:rPr>
          <w:sz w:val="20"/>
          <w:szCs w:val="20"/>
          <w:color w:val="auto"/>
        </w:rPr>
      </w:pPr>
      <w:r>
        <w:rPr>
          <w:rFonts w:ascii="Arial" w:cs="Arial" w:eastAsia="Arial" w:hAnsi="Arial"/>
          <w:sz w:val="17"/>
          <w:szCs w:val="17"/>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162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7"/>
          <w:szCs w:val="17"/>
          <w:color w:val="auto"/>
        </w:rPr>
        <w:t>Blue sky fees and expenses</w:t>
      </w:r>
    </w:p>
    <w:p>
      <w:pPr>
        <w:spacing w:after="0" w:line="224" w:lineRule="auto"/>
        <w:rPr>
          <w:sz w:val="20"/>
          <w:szCs w:val="20"/>
          <w:color w:val="auto"/>
        </w:rPr>
      </w:pPr>
      <w:r>
        <w:rPr>
          <w:rFonts w:ascii="Arial" w:cs="Arial" w:eastAsia="Arial" w:hAnsi="Arial"/>
          <w:sz w:val="17"/>
          <w:szCs w:val="17"/>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Legal fees and expenses</w:t>
      </w:r>
    </w:p>
    <w:p>
      <w:pPr>
        <w:spacing w:after="0" w:line="224" w:lineRule="auto"/>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36765" cy="1162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color w:val="auto"/>
        </w:rPr>
        <w:t>Transfer agent and registrar fees</w:t>
      </w:r>
    </w:p>
    <w:p>
      <w:pPr>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6765" cy="1162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71367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 TO</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BE PAID</w:t>
      </w:r>
    </w:p>
    <w:p>
      <w:pPr>
        <w:ind w:left="780" w:hanging="777"/>
        <w:spacing w:after="0" w:line="224" w:lineRule="auto"/>
        <w:tabs>
          <w:tab w:leader="none" w:pos="7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line="224" w:lineRule="auto"/>
        <w:rPr>
          <w:rFonts w:ascii="Arial" w:cs="Arial" w:eastAsia="Arial" w:hAnsi="Arial"/>
          <w:sz w:val="17"/>
          <w:szCs w:val="17"/>
          <w:color w:val="auto"/>
        </w:rPr>
      </w:pPr>
      <w:r>
        <w:rPr>
          <w:rFonts w:ascii="Arial" w:cs="Arial" w:eastAsia="Arial" w:hAnsi="Arial"/>
          <w:sz w:val="17"/>
          <w:szCs w:val="17"/>
          <w:color w:val="auto"/>
        </w:rPr>
        <w:t>*</w:t>
      </w:r>
    </w:p>
    <w:p>
      <w:pPr>
        <w:ind w:left="78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5384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ind w:left="780" w:hanging="777"/>
        <w:spacing w:after="0"/>
        <w:tabs>
          <w:tab w:leader="none" w:pos="7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5384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8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5384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20" w:space="720"/>
            <w:col w:w="880"/>
          </w:cols>
          <w:pgMar w:left="320" w:top="448" w:right="359" w:bottom="1440" w:gutter="0" w:footer="0" w:header="0"/>
          <w:type w:val="continuous"/>
        </w:sectPr>
      </w:pPr>
    </w:p>
    <w:p>
      <w:pPr>
        <w:spacing w:after="0" w:line="1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To be filed by amendment.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82"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15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14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w:t>
      </w:r>
    </w:p>
    <w:p>
      <w:pPr>
        <w:sectPr>
          <w:pgSz w:w="11900" w:h="16838" w:orient="portrait"/>
          <w:cols w:equalWidth="0" w:num="1">
            <w:col w:w="11220"/>
          </w:cols>
          <w:pgMar w:left="320" w:top="448" w:right="359" w:bottom="1440" w:gutter="0" w:footer="0" w:header="0"/>
          <w:type w:val="continuous"/>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personal benefit. No such provision shall eliminate or limit the liability of a director for any act or omission occurring prior to the date when such provision becomes effective.</w:t>
      </w:r>
    </w:p>
    <w:p>
      <w:pPr>
        <w:spacing w:after="0" w:line="14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Our amended and restated certificate of incorporation that we intend to adopt in connection with this offering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that we intend to adopt in connection with this offering provides that we may indemnify our directors, officers and other agents of the company to the fullest extent permitted by the laws of the State of Delaware and our amended and restated bylaws that we intend to adopt in connection with this offering provide that we are required to indemnify our directors and executive officers to the fullest extent not prohibited by Delaware General Corporate Law. We plan to enter into indemnification agreements with each of our directors and officers in connection with this offering.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151"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Our amended and restated bylaws that we intend to adopt in connection with this offering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145"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9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following list sets forth information regarding all unregistered securities issued by us since January 1, 2017 through the date of the prospectus that is a part of this registration statement: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Common Stock</w:t>
      </w:r>
    </w:p>
    <w:p>
      <w:pPr>
        <w:spacing w:after="0" w:line="46"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In April 2017 and November 2017, we issued and sold an aggregate of 778,432 shares of our common stock to one accredited investor at $0.0001 per share for aggregate consideration of $77.84 in connection with a licensing transaction.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Options to Purchase Common Stock</w:t>
      </w:r>
    </w:p>
    <w:p>
      <w:pPr>
        <w:spacing w:after="0" w:line="46"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From January 1, 2017 through the date of this registration statement, we granted stock options under our 2017 Stock Incentive Plan, as amended, or our 2017 Plan, to purchase up to an aggregate of 2,526,538 shares (net of expirations and cancellations) of our common stock to our employees, directors, and consultants, at a weighted average exercise price of $0.16 per share. From January 1, 2017 through the date of this registration statement, 368,487 shares of our common stock were issued upon the exercise of these options and the payment of approximately $31,558.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Preferred Stock</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November 2018, we issued and sold an aggregate of 3,427,004 shares of Series B-1 preferred stock to nine accredited investors at $3.3557 per share for aggregate consideration of approximately $11.5 million.</w:t>
      </w:r>
    </w:p>
    <w:p>
      <w:pPr>
        <w:sectPr>
          <w:pgSz w:w="11900" w:h="16838" w:orient="portrait"/>
          <w:cols w:equalWidth="0" w:num="1">
            <w:col w:w="11160"/>
          </w:cols>
          <w:pgMar w:left="320" w:top="448" w:right="41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ectPr>
          <w:pgSz w:w="11900" w:h="16838" w:orient="portrait"/>
          <w:cols w:equalWidth="0" w:num="1">
            <w:col w:w="11160"/>
          </w:cols>
          <w:pgMar w:left="320" w:top="448" w:right="4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1367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auto"/>
                <w:w w:val="97"/>
              </w:rPr>
              <w:t>EXHIBIT</w:t>
            </w:r>
          </w:p>
        </w:tc>
        <w:tc>
          <w:tcPr>
            <w:tcW w:w="580" w:type="dxa"/>
            <w:vAlign w:val="bottom"/>
          </w:tcPr>
          <w:p>
            <w:pPr>
              <w:spacing w:after="0"/>
              <w:rPr>
                <w:sz w:val="14"/>
                <w:szCs w:val="14"/>
                <w:color w:val="auto"/>
              </w:rPr>
            </w:pPr>
          </w:p>
        </w:tc>
        <w:tc>
          <w:tcPr>
            <w:tcW w:w="10100" w:type="dxa"/>
            <w:vAlign w:val="bottom"/>
          </w:tcPr>
          <w:p>
            <w:pPr>
              <w:spacing w:after="0"/>
              <w:rPr>
                <w:sz w:val="14"/>
                <w:szCs w:val="14"/>
                <w:color w:val="auto"/>
              </w:rPr>
            </w:pPr>
          </w:p>
        </w:tc>
      </w:tr>
      <w:tr>
        <w:trPr>
          <w:trHeight w:val="174"/>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5"/>
                <w:szCs w:val="15"/>
                <w:color w:val="auto"/>
              </w:rPr>
            </w:pPr>
          </w:p>
        </w:tc>
        <w:tc>
          <w:tcPr>
            <w:tcW w:w="1010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Underwriting Agreement.</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3.1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Amended and Restated Certificate of Incorporation, as amended and as presently in effect.</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3.2</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Bylaws, as presently in effect.</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3.3*</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Amended and Restated Certificate of Incorporation, to be in effect upon closing of this offering.</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3.4*</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Amended and Restated Bylaws, to be in effect upon closing of this offering.</w:t>
            </w:r>
          </w:p>
        </w:tc>
      </w:tr>
      <w:tr>
        <w:trPr>
          <w:trHeight w:val="268"/>
        </w:trPr>
        <w:tc>
          <w:tcPr>
            <w:tcW w:w="560" w:type="dxa"/>
            <w:vAlign w:val="bottom"/>
          </w:tcPr>
          <w:p>
            <w:pPr>
              <w:spacing w:after="0"/>
              <w:rPr>
                <w:sz w:val="20"/>
                <w:szCs w:val="20"/>
                <w:color w:val="auto"/>
              </w:rPr>
            </w:pPr>
            <w:r>
              <w:rPr>
                <w:rFonts w:ascii="Arial" w:cs="Arial" w:eastAsia="Arial" w:hAnsi="Arial"/>
                <w:sz w:val="17"/>
                <w:szCs w:val="17"/>
                <w:color w:val="auto"/>
              </w:rPr>
              <w:t>4.1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w w:val="97"/>
              </w:rPr>
              <w:t>Amended and Restated Investors’ Rights Agreement by and among the registrant and certain of its stockholders, dated as of November 9,</w:t>
            </w:r>
          </w:p>
        </w:tc>
      </w:tr>
      <w:tr>
        <w:trPr>
          <w:trHeight w:val="198"/>
        </w:trPr>
        <w:tc>
          <w:tcPr>
            <w:tcW w:w="560" w:type="dxa"/>
            <w:vAlign w:val="bottom"/>
          </w:tcPr>
          <w:p>
            <w:pPr>
              <w:spacing w:after="0"/>
              <w:rPr>
                <w:sz w:val="17"/>
                <w:szCs w:val="17"/>
                <w:color w:val="auto"/>
              </w:rPr>
            </w:pP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2018.</w:t>
            </w:r>
          </w:p>
        </w:tc>
      </w:tr>
      <w:tr>
        <w:trPr>
          <w:trHeight w:val="304"/>
        </w:trPr>
        <w:tc>
          <w:tcPr>
            <w:tcW w:w="560" w:type="dxa"/>
            <w:vAlign w:val="bottom"/>
          </w:tcPr>
          <w:p>
            <w:pPr>
              <w:spacing w:after="0"/>
              <w:rPr>
                <w:sz w:val="20"/>
                <w:szCs w:val="20"/>
                <w:color w:val="auto"/>
              </w:rPr>
            </w:pPr>
            <w:r>
              <w:rPr>
                <w:rFonts w:ascii="Arial" w:cs="Arial" w:eastAsia="Arial" w:hAnsi="Arial"/>
                <w:sz w:val="17"/>
                <w:szCs w:val="17"/>
                <w:color w:val="auto"/>
              </w:rPr>
              <w:t>4.2*</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Common Stock Certificate.</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5.1*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Opinion of Cooley LLP.</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Indemnity Agreement between the registrant and its directors and officers.</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10.2+</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2017 Stock Incentive Plan, as amended.</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10.3+</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 of Stock Option Grant Notice and Option Agreement for the 2017 Stock Incentive Plan, as amended.</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10.4+*</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2020 Equity Incentive Plan.</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10.5+*</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Forms of Stock Option Grant Notice, Option Agreement and Notice of Exercise for the 2020 Equity Incentive Plan.</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10.6+*</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2020 Employee Stock Purchase Plan.</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10.7+</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Offer Letter Agreement by and between the registrant and Jasbir Seehra, dated as of December 14, 2015.</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10.8+</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Offer Letter Agreement by and between the registrant and Jenn Lachey, dated as of April 20, 2016.</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10.9+</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Offer Letter Agreement by and between the registrant and Claudia Ordonez, dated as of August 20, 2019.</w:t>
            </w:r>
          </w:p>
        </w:tc>
      </w:tr>
      <w:tr>
        <w:trPr>
          <w:trHeight w:val="268"/>
        </w:trPr>
        <w:tc>
          <w:tcPr>
            <w:tcW w:w="560" w:type="dxa"/>
            <w:vAlign w:val="bottom"/>
          </w:tcPr>
          <w:p>
            <w:pPr>
              <w:spacing w:after="0"/>
              <w:rPr>
                <w:sz w:val="20"/>
                <w:szCs w:val="20"/>
                <w:color w:val="auto"/>
              </w:rPr>
            </w:pPr>
            <w:r>
              <w:rPr>
                <w:rFonts w:ascii="Arial" w:cs="Arial" w:eastAsia="Arial" w:hAnsi="Arial"/>
                <w:sz w:val="17"/>
                <w:szCs w:val="17"/>
                <w:color w:val="auto"/>
              </w:rPr>
              <w:t>10.10#</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w w:val="98"/>
              </w:rPr>
              <w:t>Exclusive Patent License Agreement by and between the registrant and The General Hospital Corporation, d/b/a Massachusetts General</w:t>
            </w:r>
          </w:p>
        </w:tc>
      </w:tr>
      <w:tr>
        <w:trPr>
          <w:trHeight w:val="183"/>
        </w:trPr>
        <w:tc>
          <w:tcPr>
            <w:tcW w:w="560" w:type="dxa"/>
            <w:vAlign w:val="bottom"/>
          </w:tcPr>
          <w:p>
            <w:pPr>
              <w:spacing w:after="0"/>
              <w:rPr>
                <w:sz w:val="15"/>
                <w:szCs w:val="15"/>
                <w:color w:val="auto"/>
              </w:rPr>
            </w:pPr>
          </w:p>
        </w:tc>
        <w:tc>
          <w:tcPr>
            <w:tcW w:w="10680" w:type="dxa"/>
            <w:vAlign w:val="bottom"/>
            <w:gridSpan w:val="2"/>
          </w:tcPr>
          <w:p>
            <w:pPr>
              <w:ind w:left="580"/>
              <w:spacing w:after="0" w:line="183" w:lineRule="exact"/>
              <w:rPr>
                <w:sz w:val="20"/>
                <w:szCs w:val="20"/>
                <w:color w:val="auto"/>
              </w:rPr>
            </w:pPr>
            <w:r>
              <w:rPr>
                <w:rFonts w:ascii="Arial" w:cs="Arial" w:eastAsia="Arial" w:hAnsi="Arial"/>
                <w:sz w:val="17"/>
                <w:szCs w:val="17"/>
                <w:color w:val="auto"/>
              </w:rPr>
              <w:t>Hospital, or MGH, dated as of April 5, 2016, as amended by Amendment #1 by and between the registrant and The Brigham and</w:t>
            </w:r>
          </w:p>
        </w:tc>
      </w:tr>
      <w:tr>
        <w:trPr>
          <w:trHeight w:val="198"/>
        </w:trPr>
        <w:tc>
          <w:tcPr>
            <w:tcW w:w="560" w:type="dxa"/>
            <w:vAlign w:val="bottom"/>
          </w:tcPr>
          <w:p>
            <w:pPr>
              <w:spacing w:after="0"/>
              <w:rPr>
                <w:sz w:val="17"/>
                <w:szCs w:val="17"/>
                <w:color w:val="auto"/>
              </w:rPr>
            </w:pP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Women’s Hospital, Inc. on May 2, 2017 and by Amendment #2 by and between the registrant and MGH on February 23, 2018.</w:t>
            </w:r>
          </w:p>
        </w:tc>
      </w:tr>
      <w:tr>
        <w:trPr>
          <w:trHeight w:val="272"/>
        </w:trPr>
        <w:tc>
          <w:tcPr>
            <w:tcW w:w="560" w:type="dxa"/>
            <w:vAlign w:val="bottom"/>
          </w:tcPr>
          <w:p>
            <w:pPr>
              <w:spacing w:after="0"/>
              <w:rPr>
                <w:sz w:val="20"/>
                <w:szCs w:val="20"/>
                <w:color w:val="auto"/>
              </w:rPr>
            </w:pPr>
            <w:r>
              <w:rPr>
                <w:rFonts w:ascii="Arial" w:cs="Arial" w:eastAsia="Arial" w:hAnsi="Arial"/>
                <w:sz w:val="17"/>
                <w:szCs w:val="17"/>
                <w:color w:val="auto"/>
              </w:rPr>
              <w:t>10.11#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Research Collaboration and Exclusive License Agreement by and between the registrant and Novo Nordisk A/S, dated as of</w:t>
            </w:r>
          </w:p>
        </w:tc>
      </w:tr>
      <w:tr>
        <w:trPr>
          <w:trHeight w:val="198"/>
        </w:trPr>
        <w:tc>
          <w:tcPr>
            <w:tcW w:w="560" w:type="dxa"/>
            <w:vAlign w:val="bottom"/>
          </w:tcPr>
          <w:p>
            <w:pPr>
              <w:spacing w:after="0"/>
              <w:rPr>
                <w:sz w:val="17"/>
                <w:szCs w:val="17"/>
                <w:color w:val="auto"/>
              </w:rPr>
            </w:pP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December 14, 2017.</w:t>
            </w:r>
          </w:p>
        </w:tc>
      </w:tr>
      <w:tr>
        <w:trPr>
          <w:trHeight w:val="272"/>
        </w:trPr>
        <w:tc>
          <w:tcPr>
            <w:tcW w:w="560" w:type="dxa"/>
            <w:vAlign w:val="bottom"/>
          </w:tcPr>
          <w:p>
            <w:pPr>
              <w:spacing w:after="0"/>
              <w:rPr>
                <w:sz w:val="20"/>
                <w:szCs w:val="20"/>
                <w:color w:val="auto"/>
              </w:rPr>
            </w:pPr>
            <w:r>
              <w:rPr>
                <w:rFonts w:ascii="Arial" w:cs="Arial" w:eastAsia="Arial" w:hAnsi="Arial"/>
                <w:sz w:val="17"/>
                <w:szCs w:val="17"/>
                <w:color w:val="auto"/>
              </w:rPr>
              <w:t>10.12</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w w:val="98"/>
              </w:rPr>
              <w:t>Lease Agreement by and between the registrant and 128 Spring Street Lexington, LLC, dated March 20, 2017, as amended by the First</w:t>
            </w:r>
          </w:p>
        </w:tc>
      </w:tr>
      <w:tr>
        <w:trPr>
          <w:trHeight w:val="183"/>
        </w:trPr>
        <w:tc>
          <w:tcPr>
            <w:tcW w:w="560" w:type="dxa"/>
            <w:vAlign w:val="bottom"/>
          </w:tcPr>
          <w:p>
            <w:pPr>
              <w:spacing w:after="0"/>
              <w:rPr>
                <w:sz w:val="15"/>
                <w:szCs w:val="15"/>
                <w:color w:val="auto"/>
              </w:rPr>
            </w:pPr>
          </w:p>
        </w:tc>
        <w:tc>
          <w:tcPr>
            <w:tcW w:w="10680" w:type="dxa"/>
            <w:vAlign w:val="bottom"/>
            <w:gridSpan w:val="2"/>
          </w:tcPr>
          <w:p>
            <w:pPr>
              <w:ind w:left="580"/>
              <w:spacing w:after="0" w:line="183" w:lineRule="exact"/>
              <w:rPr>
                <w:sz w:val="20"/>
                <w:szCs w:val="20"/>
                <w:color w:val="auto"/>
              </w:rPr>
            </w:pPr>
            <w:r>
              <w:rPr>
                <w:rFonts w:ascii="Arial" w:cs="Arial" w:eastAsia="Arial" w:hAnsi="Arial"/>
                <w:sz w:val="17"/>
                <w:szCs w:val="17"/>
                <w:color w:val="auto"/>
              </w:rPr>
              <w:t>Amendment to Lease Agreement by and between the registrant and 128 Spring Street Lexington, LLC, dated July 1, 2019 and by the</w:t>
            </w:r>
          </w:p>
        </w:tc>
      </w:tr>
      <w:tr>
        <w:trPr>
          <w:trHeight w:val="198"/>
        </w:trPr>
        <w:tc>
          <w:tcPr>
            <w:tcW w:w="560" w:type="dxa"/>
            <w:vAlign w:val="bottom"/>
          </w:tcPr>
          <w:p>
            <w:pPr>
              <w:spacing w:after="0"/>
              <w:rPr>
                <w:sz w:val="17"/>
                <w:szCs w:val="17"/>
                <w:color w:val="auto"/>
              </w:rPr>
            </w:pP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Second Amendment to Lease Agreement by and between the registrant and 128 Spring Street Lexington, LLC, dated August 8, 2019.</w:t>
            </w:r>
          </w:p>
        </w:tc>
      </w:tr>
      <w:tr>
        <w:trPr>
          <w:trHeight w:val="304"/>
        </w:trPr>
        <w:tc>
          <w:tcPr>
            <w:tcW w:w="560" w:type="dxa"/>
            <w:vAlign w:val="bottom"/>
          </w:tcPr>
          <w:p>
            <w:pPr>
              <w:spacing w:after="0"/>
              <w:rPr>
                <w:sz w:val="20"/>
                <w:szCs w:val="20"/>
                <w:color w:val="auto"/>
              </w:rPr>
            </w:pPr>
            <w:r>
              <w:rPr>
                <w:rFonts w:ascii="Arial" w:cs="Arial" w:eastAsia="Arial" w:hAnsi="Arial"/>
                <w:sz w:val="17"/>
                <w:szCs w:val="17"/>
                <w:color w:val="auto"/>
              </w:rPr>
              <w:t>21.1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Subsidiaries of Keros Therapeutics, Inc.</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23.1*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Consent of Deloitte &amp; Touche LLP, Independent Registered Public Accounting Firm.</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23.2*</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Consent of Cooley LLP (included in Exhibit 5.1)</w:t>
            </w:r>
          </w:p>
        </w:tc>
      </w:tr>
      <w:tr>
        <w:trPr>
          <w:trHeight w:val="300"/>
        </w:trPr>
        <w:tc>
          <w:tcPr>
            <w:tcW w:w="560" w:type="dxa"/>
            <w:vAlign w:val="bottom"/>
          </w:tcPr>
          <w:p>
            <w:pPr>
              <w:spacing w:after="0"/>
              <w:rPr>
                <w:sz w:val="20"/>
                <w:szCs w:val="20"/>
                <w:color w:val="auto"/>
              </w:rPr>
            </w:pPr>
            <w:r>
              <w:rPr>
                <w:rFonts w:ascii="Arial" w:cs="Arial" w:eastAsia="Arial" w:hAnsi="Arial"/>
                <w:sz w:val="17"/>
                <w:szCs w:val="17"/>
                <w:color w:val="auto"/>
              </w:rPr>
              <w:t>24.1</w:t>
            </w:r>
          </w:p>
        </w:tc>
        <w:tc>
          <w:tcPr>
            <w:tcW w:w="10680" w:type="dxa"/>
            <w:vAlign w:val="bottom"/>
            <w:gridSpan w:val="2"/>
          </w:tcPr>
          <w:p>
            <w:pPr>
              <w:ind w:left="580"/>
              <w:spacing w:after="0"/>
              <w:rPr>
                <w:sz w:val="20"/>
                <w:szCs w:val="20"/>
                <w:color w:val="auto"/>
              </w:rPr>
            </w:pPr>
            <w:r>
              <w:rPr>
                <w:rFonts w:ascii="Arial" w:cs="Arial" w:eastAsia="Arial" w:hAnsi="Arial"/>
                <w:sz w:val="17"/>
                <w:szCs w:val="17"/>
                <w:color w:val="auto"/>
              </w:rPr>
              <w:t>Power of Attorney (see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367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To be filed by amendment.</w:t>
      </w:r>
    </w:p>
    <w:p>
      <w:pPr>
        <w:sectPr>
          <w:pgSz w:w="11900" w:h="16838" w:orient="portrait"/>
          <w:cols w:equalWidth="0" w:num="1">
            <w:col w:w="11240"/>
          </w:cols>
          <w:pgMar w:left="320" w:top="448" w:right="3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Indicates management contract or compensatory plan.</w:t>
      </w:r>
    </w:p>
    <w:p>
      <w:pPr>
        <w:ind w:left="440" w:right="100" w:hanging="187"/>
        <w:spacing w:after="0" w:line="243" w:lineRule="auto"/>
        <w:tabs>
          <w:tab w:leader="none" w:pos="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Certain portions of this exhibit (indicated by asterisks) have been omitted because they are not material and would likely cause competitive harm to Keros Therapeutics, Inc. if publicly disclosed.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96"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3"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44" w:lineRule="exact"/>
        <w:rPr>
          <w:sz w:val="20"/>
          <w:szCs w:val="20"/>
          <w:color w:val="auto"/>
        </w:rPr>
      </w:pPr>
    </w:p>
    <w:p>
      <w:pPr>
        <w:ind w:right="60" w:firstLine="4"/>
        <w:spacing w:after="0" w:line="230" w:lineRule="auto"/>
        <w:tabs>
          <w:tab w:leader="none" w:pos="24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2" w:lineRule="exact"/>
        <w:rPr>
          <w:rFonts w:ascii="Arial" w:cs="Arial" w:eastAsia="Arial" w:hAnsi="Arial"/>
          <w:sz w:val="17"/>
          <w:szCs w:val="17"/>
          <w:color w:val="auto"/>
        </w:rPr>
      </w:pPr>
    </w:p>
    <w:p>
      <w:pPr>
        <w:jc w:val="both"/>
        <w:ind w:right="100" w:firstLine="4"/>
        <w:spacing w:after="0" w:line="230" w:lineRule="auto"/>
        <w:tabs>
          <w:tab w:leader="none" w:pos="24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20"/>
          </w:cols>
          <w:pgMar w:left="320" w:top="448" w:right="3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330"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Cambridge, Massachusetts, on the day of , 2020.</w:t>
      </w:r>
    </w:p>
    <w:p>
      <w:pPr>
        <w:spacing w:after="0" w:line="204" w:lineRule="exact"/>
        <w:rPr>
          <w:sz w:val="20"/>
          <w:szCs w:val="20"/>
          <w:color w:val="auto"/>
        </w:rPr>
      </w:pPr>
    </w:p>
    <w:p>
      <w:pPr>
        <w:ind w:left="7160"/>
        <w:spacing w:after="0"/>
        <w:rPr>
          <w:sz w:val="20"/>
          <w:szCs w:val="20"/>
          <w:color w:val="auto"/>
        </w:rPr>
      </w:pPr>
      <w:r>
        <w:rPr>
          <w:rFonts w:ascii="Arial" w:cs="Arial" w:eastAsia="Arial" w:hAnsi="Arial"/>
          <w:sz w:val="17"/>
          <w:szCs w:val="17"/>
          <w:b w:val="1"/>
          <w:bCs w:val="1"/>
          <w:color w:val="auto"/>
        </w:rPr>
        <w:t>KEROS THERAPEUTICS, INC.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-3810</wp:posOffset>
            </wp:positionV>
            <wp:extent cx="25946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7"/>
          <w:szCs w:val="17"/>
          <w:color w:val="auto"/>
        </w:rPr>
        <w:t>Name: Jasbir Seehra, Ph.D.</w:t>
      </w:r>
    </w:p>
    <w:p>
      <w:pPr>
        <w:ind w:left="7160"/>
        <w:spacing w:after="0"/>
        <w:tabs>
          <w:tab w:leader="none" w:pos="7680" w:val="left"/>
        </w:tabs>
        <w:rPr>
          <w:sz w:val="20"/>
          <w:szCs w:val="20"/>
          <w:color w:val="auto"/>
        </w:rPr>
      </w:pPr>
      <w:r>
        <w:rPr>
          <w:rFonts w:ascii="Arial" w:cs="Arial" w:eastAsia="Arial" w:hAnsi="Arial"/>
          <w:sz w:val="17"/>
          <w:szCs w:val="17"/>
          <w:color w:val="auto"/>
        </w:rPr>
        <w:t>Title:</w:t>
        <w:tab/>
        <w:t>Chief Executive Officer and Director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each person whose signature appears below hereby constitutes and appoints Jasbir Seehra, Ph.D. and</w:t>
      </w:r>
    </w:p>
    <w:p>
      <w:pPr>
        <w:ind w:right="40" w:firstLine="922"/>
        <w:spacing w:after="0" w:line="226" w:lineRule="auto"/>
        <w:tabs>
          <w:tab w:leader="none" w:pos="101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and each of them, his true and lawful agent, proxy and attorney-in-fact, with full power of substitution and resubstitution, for him and in his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45"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1367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spacing w:after="0"/>
              <w:rPr>
                <w:sz w:val="14"/>
                <w:szCs w:val="14"/>
                <w:color w:val="auto"/>
              </w:rPr>
            </w:pPr>
          </w:p>
        </w:tc>
        <w:tc>
          <w:tcPr>
            <w:tcW w:w="60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POSITION</w:t>
            </w: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4"/>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0" w:type="dxa"/>
            <w:vAlign w:val="bottom"/>
            <w:gridSpan w:val="3"/>
          </w:tcPr>
          <w:p>
            <w:pPr>
              <w:jc w:val="center"/>
              <w:ind w:right="680"/>
              <w:spacing w:after="0"/>
              <w:rPr>
                <w:sz w:val="20"/>
                <w:szCs w:val="20"/>
                <w:color w:val="auto"/>
              </w:rPr>
            </w:pPr>
            <w:r>
              <w:rPr>
                <w:rFonts w:ascii="Arial" w:cs="Arial" w:eastAsia="Arial" w:hAnsi="Arial"/>
                <w:sz w:val="17"/>
                <w:szCs w:val="17"/>
                <w:color w:val="auto"/>
                <w:w w:val="97"/>
              </w:rPr>
              <w:t>Chief Executive Officer and 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4"/>
        </w:trPr>
        <w:tc>
          <w:tcPr>
            <w:tcW w:w="4160" w:type="dxa"/>
            <w:vAlign w:val="bottom"/>
            <w:tcBorders>
              <w:bottom w:val="single" w:sz="8" w:color="auto"/>
            </w:tcBorders>
            <w:gridSpan w:val="3"/>
          </w:tcPr>
          <w:p>
            <w:pPr>
              <w:spacing w:after="0"/>
              <w:rPr>
                <w:sz w:val="2"/>
                <w:szCs w:val="2"/>
                <w:color w:val="auto"/>
              </w:rPr>
            </w:pPr>
          </w:p>
        </w:tc>
        <w:tc>
          <w:tcPr>
            <w:tcW w:w="6000" w:type="dxa"/>
            <w:vAlign w:val="bottom"/>
            <w:gridSpan w:val="3"/>
            <w:vMerge w:val="restart"/>
          </w:tcPr>
          <w:p>
            <w:pPr>
              <w:jc w:val="center"/>
              <w:ind w:right="68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i w:val="1"/>
                <w:iCs w:val="1"/>
                <w:color w:val="auto"/>
                <w:w w:val="97"/>
              </w:rPr>
              <w:t>Principal Executive Officer</w:t>
            </w:r>
            <w:r>
              <w:rPr>
                <w:rFonts w:ascii="Arial" w:cs="Arial" w:eastAsia="Arial" w:hAnsi="Arial"/>
                <w:sz w:val="17"/>
                <w:szCs w:val="17"/>
                <w:color w:val="auto"/>
                <w:w w:val="97"/>
              </w:rPr>
              <w:t>)</w:t>
            </w: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6"/>
              </w:rPr>
              <w:t>Jasbir Seehra, Ph.D.</w:t>
            </w:r>
          </w:p>
        </w:tc>
        <w:tc>
          <w:tcPr>
            <w:tcW w:w="60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00" w:type="dxa"/>
            <w:vAlign w:val="bottom"/>
            <w:gridSpan w:val="3"/>
          </w:tcPr>
          <w:p>
            <w:pPr>
              <w:jc w:val="center"/>
              <w:ind w:right="7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i w:val="1"/>
                <w:iCs w:val="1"/>
                <w:color w:val="auto"/>
                <w:w w:val="97"/>
              </w:rPr>
              <w:t>Principal Financial Officer and Principal Accounting Officer</w:t>
            </w:r>
            <w:r>
              <w:rPr>
                <w:rFonts w:ascii="Arial" w:cs="Arial" w:eastAsia="Arial" w:hAnsi="Arial"/>
                <w:sz w:val="17"/>
                <w:szCs w:val="17"/>
                <w:color w:val="auto"/>
                <w:w w:val="97"/>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398"/>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gridSpan w:val="2"/>
          </w:tcPr>
          <w:p>
            <w:pPr>
              <w:jc w:val="center"/>
              <w:ind w:right="3040"/>
              <w:spacing w:after="0"/>
              <w:rPr>
                <w:sz w:val="20"/>
                <w:szCs w:val="20"/>
                <w:color w:val="auto"/>
              </w:rPr>
            </w:pPr>
            <w:r>
              <w:rPr>
                <w:rFonts w:ascii="Arial" w:cs="Arial" w:eastAsia="Arial" w:hAnsi="Arial"/>
                <w:sz w:val="17"/>
                <w:szCs w:val="17"/>
                <w:color w:val="auto"/>
                <w:w w:val="97"/>
              </w:rPr>
              <w:t>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7"/>
              </w:rPr>
              <w:t>Zafrira Avnur, Ph.D.</w:t>
            </w: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gridSpan w:val="2"/>
          </w:tcPr>
          <w:p>
            <w:pPr>
              <w:jc w:val="center"/>
              <w:ind w:right="3040"/>
              <w:spacing w:after="0"/>
              <w:rPr>
                <w:sz w:val="20"/>
                <w:szCs w:val="20"/>
                <w:color w:val="auto"/>
              </w:rPr>
            </w:pPr>
            <w:r>
              <w:rPr>
                <w:rFonts w:ascii="Arial" w:cs="Arial" w:eastAsia="Arial" w:hAnsi="Arial"/>
                <w:sz w:val="17"/>
                <w:szCs w:val="17"/>
                <w:color w:val="auto"/>
                <w:w w:val="97"/>
              </w:rPr>
              <w:t>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5"/>
              </w:rPr>
              <w:t>Tomer Kariv</w:t>
            </w: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gridSpan w:val="2"/>
          </w:tcPr>
          <w:p>
            <w:pPr>
              <w:jc w:val="center"/>
              <w:ind w:right="3040"/>
              <w:spacing w:after="0"/>
              <w:rPr>
                <w:sz w:val="20"/>
                <w:szCs w:val="20"/>
                <w:color w:val="auto"/>
              </w:rPr>
            </w:pPr>
            <w:r>
              <w:rPr>
                <w:rFonts w:ascii="Arial" w:cs="Arial" w:eastAsia="Arial" w:hAnsi="Arial"/>
                <w:sz w:val="17"/>
                <w:szCs w:val="17"/>
                <w:color w:val="auto"/>
                <w:w w:val="97"/>
              </w:rPr>
              <w:t>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7"/>
              </w:rPr>
              <w:t>Julius Knowles</w:t>
            </w: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gridSpan w:val="2"/>
          </w:tcPr>
          <w:p>
            <w:pPr>
              <w:jc w:val="center"/>
              <w:ind w:right="3040"/>
              <w:spacing w:after="0"/>
              <w:rPr>
                <w:sz w:val="20"/>
                <w:szCs w:val="20"/>
                <w:color w:val="auto"/>
              </w:rPr>
            </w:pPr>
            <w:r>
              <w:rPr>
                <w:rFonts w:ascii="Arial" w:cs="Arial" w:eastAsia="Arial" w:hAnsi="Arial"/>
                <w:sz w:val="17"/>
                <w:szCs w:val="17"/>
                <w:color w:val="auto"/>
                <w:w w:val="97"/>
              </w:rPr>
              <w:t>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6"/>
              </w:rPr>
              <w:t>Alon Lazarus, Ph.D.</w:t>
            </w: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gridSpan w:val="2"/>
          </w:tcPr>
          <w:p>
            <w:pPr>
              <w:jc w:val="center"/>
              <w:ind w:right="3040"/>
              <w:spacing w:after="0"/>
              <w:rPr>
                <w:sz w:val="20"/>
                <w:szCs w:val="20"/>
                <w:color w:val="auto"/>
              </w:rPr>
            </w:pPr>
            <w:r>
              <w:rPr>
                <w:rFonts w:ascii="Arial" w:cs="Arial" w:eastAsia="Arial" w:hAnsi="Arial"/>
                <w:sz w:val="17"/>
                <w:szCs w:val="17"/>
                <w:color w:val="auto"/>
                <w:w w:val="97"/>
              </w:rPr>
              <w:t>Director</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191"/>
        </w:trPr>
        <w:tc>
          <w:tcPr>
            <w:tcW w:w="416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7"/>
              </w:rPr>
              <w:t>Ran Nussbaum</w:t>
            </w:r>
          </w:p>
        </w:tc>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3.1</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AMENDED AND RESTATED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CERTIFICATE OF INCORPORATION</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OF</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KEROS THERAPEUTICS, INC.</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(Pursuant to Sections 242 and 245 of the</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General Corporation Law of the State of Delaware)</w:t>
      </w:r>
    </w:p>
    <w:p>
      <w:pPr>
        <w:spacing w:after="0" w:line="210" w:lineRule="exact"/>
        <w:rPr>
          <w:sz w:val="20"/>
          <w:szCs w:val="20"/>
          <w:color w:val="auto"/>
        </w:rPr>
      </w:pPr>
    </w:p>
    <w:p>
      <w:pPr>
        <w:ind w:right="180" w:firstLine="426"/>
        <w:spacing w:after="0" w:line="287" w:lineRule="auto"/>
        <w:rPr>
          <w:sz w:val="20"/>
          <w:szCs w:val="20"/>
          <w:color w:val="auto"/>
        </w:rPr>
      </w:pPr>
      <w:r>
        <w:rPr>
          <w:rFonts w:ascii="Arial" w:cs="Arial" w:eastAsia="Arial" w:hAnsi="Arial"/>
          <w:sz w:val="17"/>
          <w:szCs w:val="17"/>
          <w:color w:val="auto"/>
        </w:rPr>
        <w:t>Keros Therapeutics, Inc., a corporation organized and existing under and by virtue of the provisions of the General Corporation Law of the State of Delaware (the “</w:t>
      </w:r>
      <w:r>
        <w:rPr>
          <w:rFonts w:ascii="Arial" w:cs="Arial" w:eastAsia="Arial" w:hAnsi="Arial"/>
          <w:sz w:val="17"/>
          <w:szCs w:val="17"/>
          <w:b w:val="1"/>
          <w:bCs w:val="1"/>
          <w:color w:val="auto"/>
        </w:rPr>
        <w:t>General Corporation Law</w:t>
      </w:r>
      <w:r>
        <w:rPr>
          <w:rFonts w:ascii="Arial" w:cs="Arial" w:eastAsia="Arial" w:hAnsi="Arial"/>
          <w:sz w:val="17"/>
          <w:szCs w:val="17"/>
          <w:color w:val="auto"/>
        </w:rPr>
        <w:t>”),</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DOES HEREBY CERTIFY:</w:t>
      </w:r>
    </w:p>
    <w:p>
      <w:pPr>
        <w:spacing w:after="0" w:line="124" w:lineRule="exact"/>
        <w:rPr>
          <w:sz w:val="20"/>
          <w:szCs w:val="20"/>
          <w:color w:val="auto"/>
        </w:rPr>
      </w:pPr>
    </w:p>
    <w:p>
      <w:pPr>
        <w:ind w:right="480" w:firstLine="957"/>
        <w:spacing w:after="0" w:line="287" w:lineRule="auto"/>
        <w:tabs>
          <w:tab w:leader="none" w:pos="1132"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That the name of this corporation is Keros Therapeutics, Inc., and that this corporation was originally incorporated pursuant to the General Corporation Law on December 9, 2015 under the name Keros Therapeutics, Inc.</w:t>
      </w:r>
    </w:p>
    <w:p>
      <w:pPr>
        <w:spacing w:after="0" w:line="159" w:lineRule="exact"/>
        <w:rPr>
          <w:rFonts w:ascii="Arial" w:cs="Arial" w:eastAsia="Arial" w:hAnsi="Arial"/>
          <w:sz w:val="17"/>
          <w:szCs w:val="17"/>
          <w:b w:val="1"/>
          <w:bCs w:val="1"/>
          <w:color w:val="auto"/>
        </w:rPr>
      </w:pPr>
    </w:p>
    <w:p>
      <w:pPr>
        <w:ind w:right="60" w:firstLine="957"/>
        <w:spacing w:after="0" w:line="266" w:lineRule="auto"/>
        <w:tabs>
          <w:tab w:leader="none" w:pos="1132"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this corporation be amended and restated in its entirety to read as follows: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The name of this corporation is Keros Therapeutics, Inc. (the “</w:t>
      </w:r>
      <w:r>
        <w:rPr>
          <w:rFonts w:ascii="Arial" w:cs="Arial" w:eastAsia="Arial" w:hAnsi="Arial"/>
          <w:sz w:val="17"/>
          <w:szCs w:val="17"/>
          <w:b w:val="1"/>
          <w:bCs w:val="1"/>
          <w:color w:val="auto"/>
        </w:rPr>
        <w:t>Corporation</w:t>
      </w:r>
      <w:r>
        <w:rPr>
          <w:rFonts w:ascii="Arial" w:cs="Arial" w:eastAsia="Arial" w:hAnsi="Arial"/>
          <w:sz w:val="17"/>
          <w:szCs w:val="17"/>
          <w:color w:val="auto"/>
        </w:rPr>
        <w:t>”).</w:t>
      </w:r>
    </w:p>
    <w:p>
      <w:pPr>
        <w:spacing w:after="0" w:line="118" w:lineRule="exact"/>
        <w:rPr>
          <w:sz w:val="20"/>
          <w:szCs w:val="20"/>
          <w:color w:val="auto"/>
        </w:rPr>
      </w:pPr>
    </w:p>
    <w:p>
      <w:pPr>
        <w:ind w:left="420" w:right="160" w:firstLine="920"/>
        <w:spacing w:after="0" w:line="328"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The address of the Corporation’s registered office in the State of Delaware is 9 E. Loockerman Street, Suite 311, Dover,</w:t>
      </w:r>
      <w:r>
        <w:rPr>
          <w:rFonts w:ascii="Arial" w:cs="Arial" w:eastAsia="Arial" w:hAnsi="Arial"/>
          <w:sz w:val="16"/>
          <w:szCs w:val="16"/>
          <w:b w:val="1"/>
          <w:bCs w:val="1"/>
          <w:color w:val="auto"/>
        </w:rPr>
        <w:t xml:space="preserve"> </w:t>
      </w:r>
      <w:r>
        <w:rPr>
          <w:rFonts w:ascii="Arial" w:cs="Arial" w:eastAsia="Arial" w:hAnsi="Arial"/>
          <w:sz w:val="16"/>
          <w:szCs w:val="16"/>
          <w:color w:val="auto"/>
        </w:rPr>
        <w:t>DE 19901, Kent County. The name of the Corporation’s registered agent at such address is Registered Agent Solutions, Inc.</w:t>
      </w:r>
    </w:p>
    <w:p>
      <w:pPr>
        <w:spacing w:after="0" w:line="19" w:lineRule="exact"/>
        <w:rPr>
          <w:sz w:val="20"/>
          <w:szCs w:val="20"/>
          <w:color w:val="auto"/>
        </w:rPr>
      </w:pPr>
    </w:p>
    <w:p>
      <w:pPr>
        <w:ind w:left="420" w:right="380" w:firstLine="920"/>
        <w:spacing w:after="0" w:line="295"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The nature of the business or purposes to be conducted or promoted is to engage in any lawful act or activity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may be organized under the General Corporation Law.</w:t>
      </w:r>
    </w:p>
    <w:p>
      <w:pPr>
        <w:spacing w:after="0" w:line="42" w:lineRule="exact"/>
        <w:rPr>
          <w:sz w:val="20"/>
          <w:szCs w:val="20"/>
          <w:color w:val="auto"/>
        </w:rPr>
      </w:pPr>
    </w:p>
    <w:p>
      <w:pPr>
        <w:jc w:val="both"/>
        <w:ind w:left="420" w:right="220" w:firstLine="920"/>
        <w:spacing w:after="0" w:line="275" w:lineRule="auto"/>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The total number of shares of all classes of stock which the Corporation shall have authority to issue is (i) 27,000,000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and (ii) 17,289,895 shares of Preferred Stock, $0.0001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w:t>
      </w:r>
    </w:p>
    <w:p>
      <w:pPr>
        <w:spacing w:after="0" w:line="169" w:lineRule="exact"/>
        <w:rPr>
          <w:sz w:val="20"/>
          <w:szCs w:val="20"/>
          <w:color w:val="auto"/>
        </w:rPr>
      </w:pPr>
    </w:p>
    <w:p>
      <w:pPr>
        <w:ind w:right="160" w:firstLine="426"/>
        <w:spacing w:after="0" w:line="287" w:lineRule="auto"/>
        <w:rPr>
          <w:sz w:val="20"/>
          <w:szCs w:val="20"/>
          <w:color w:val="auto"/>
        </w:rPr>
      </w:pPr>
      <w:r>
        <w:rPr>
          <w:rFonts w:ascii="Arial" w:cs="Arial" w:eastAsia="Arial" w:hAnsi="Arial"/>
          <w:sz w:val="17"/>
          <w:szCs w:val="17"/>
          <w:color w:val="auto"/>
        </w:rPr>
        <w:t>The following is a statement of the designations and the powers, privileges and rights, and the qualifications, limitations or restrictions thereof in respect of each class of capital stock of the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0"/>
          </w:cols>
          <w:pgMar w:left="620" w:top="121" w:right="619" w:bottom="1440" w:gutter="0" w:footer="0" w:header="0"/>
        </w:sectPr>
      </w:pPr>
    </w:p>
    <w:bookmarkStart w:id="206" w:name="page207"/>
    <w:bookmarkEnd w:id="20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COMMON STOCK</w:t>
      </w:r>
    </w:p>
    <w:p>
      <w:pPr>
        <w:spacing w:after="0" w:line="222" w:lineRule="exact"/>
        <w:rPr>
          <w:sz w:val="20"/>
          <w:szCs w:val="20"/>
          <w:color w:val="auto"/>
        </w:rPr>
      </w:pPr>
    </w:p>
    <w:p>
      <w:pPr>
        <w:ind w:right="120" w:firstLine="424"/>
        <w:spacing w:after="0" w:line="287" w:lineRule="auto"/>
        <w:tabs>
          <w:tab w:leader="none" w:pos="60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Common Stock are subject to and qualified by the rights, powers and preferences of the holders of the Preferred Stock set forth herein.</w:t>
      </w:r>
    </w:p>
    <w:p>
      <w:pPr>
        <w:spacing w:after="0" w:line="159" w:lineRule="exact"/>
        <w:rPr>
          <w:rFonts w:ascii="Arial" w:cs="Arial" w:eastAsia="Arial" w:hAnsi="Arial"/>
          <w:sz w:val="17"/>
          <w:szCs w:val="17"/>
          <w:color w:val="auto"/>
        </w:rPr>
      </w:pPr>
    </w:p>
    <w:p>
      <w:pPr>
        <w:ind w:right="20" w:firstLine="424"/>
        <w:spacing w:after="0" w:line="278" w:lineRule="auto"/>
        <w:tabs>
          <w:tab w:leader="none" w:pos="6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 PREFERRED STOCK</w:t>
      </w:r>
    </w:p>
    <w:p>
      <w:pPr>
        <w:spacing w:after="0" w:line="216" w:lineRule="exact"/>
        <w:rPr>
          <w:sz w:val="20"/>
          <w:szCs w:val="20"/>
          <w:color w:val="auto"/>
        </w:rPr>
      </w:pPr>
    </w:p>
    <w:p>
      <w:pPr>
        <w:ind w:right="40" w:firstLine="426"/>
        <w:spacing w:after="0" w:line="264" w:lineRule="auto"/>
        <w:rPr>
          <w:sz w:val="20"/>
          <w:szCs w:val="20"/>
          <w:color w:val="auto"/>
        </w:rPr>
      </w:pPr>
      <w:r>
        <w:rPr>
          <w:rFonts w:ascii="Arial" w:cs="Arial" w:eastAsia="Arial" w:hAnsi="Arial"/>
          <w:sz w:val="17"/>
          <w:szCs w:val="17"/>
          <w:color w:val="auto"/>
        </w:rPr>
        <w:t>10,000,000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800,000 shares of authorized Preferred Stock of the Corporation are hereby designated “</w:t>
      </w:r>
      <w:r>
        <w:rPr>
          <w:rFonts w:ascii="Arial" w:cs="Arial" w:eastAsia="Arial" w:hAnsi="Arial"/>
          <w:sz w:val="17"/>
          <w:szCs w:val="17"/>
          <w:b w:val="1"/>
          <w:bCs w:val="1"/>
          <w:color w:val="auto"/>
        </w:rPr>
        <w:t>Series A-1 Preferred Stock</w:t>
      </w:r>
      <w:r>
        <w:rPr>
          <w:rFonts w:ascii="Arial" w:cs="Arial" w:eastAsia="Arial" w:hAnsi="Arial"/>
          <w:sz w:val="17"/>
          <w:szCs w:val="17"/>
          <w:color w:val="auto"/>
        </w:rPr>
        <w:t>”; 3,427,004 shares of authorized Preferred Stock of the Corporation are hereby designated “</w:t>
      </w:r>
      <w:r>
        <w:rPr>
          <w:rFonts w:ascii="Arial" w:cs="Arial" w:eastAsia="Arial" w:hAnsi="Arial"/>
          <w:sz w:val="17"/>
          <w:szCs w:val="17"/>
          <w:b w:val="1"/>
          <w:bCs w:val="1"/>
          <w:color w:val="auto"/>
        </w:rPr>
        <w:t>Series B-1 Preferred Stock</w:t>
      </w:r>
      <w:r>
        <w:rPr>
          <w:rFonts w:ascii="Arial" w:cs="Arial" w:eastAsia="Arial" w:hAnsi="Arial"/>
          <w:sz w:val="17"/>
          <w:szCs w:val="17"/>
          <w:color w:val="auto"/>
        </w:rPr>
        <w:t>”; and 3,062,891 shares of authorized Preferred Stock of the Corporation are hereby designated “</w:t>
      </w:r>
      <w:r>
        <w:rPr>
          <w:rFonts w:ascii="Arial" w:cs="Arial" w:eastAsia="Arial" w:hAnsi="Arial"/>
          <w:sz w:val="17"/>
          <w:szCs w:val="17"/>
          <w:b w:val="1"/>
          <w:bCs w:val="1"/>
          <w:color w:val="auto"/>
        </w:rPr>
        <w:t>Series B-2 Preferred Stock</w:t>
      </w:r>
      <w:r>
        <w:rPr>
          <w:rFonts w:ascii="Arial" w:cs="Arial" w:eastAsia="Arial" w:hAnsi="Arial"/>
          <w:sz w:val="17"/>
          <w:szCs w:val="17"/>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78" w:lineRule="exact"/>
        <w:rPr>
          <w:sz w:val="20"/>
          <w:szCs w:val="20"/>
          <w:color w:val="auto"/>
        </w:rPr>
      </w:pPr>
    </w:p>
    <w:p>
      <w:pPr>
        <w:ind w:left="1140" w:hanging="183"/>
        <w:spacing w:after="0"/>
        <w:tabs>
          <w:tab w:leader="none" w:pos="114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2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Series B-1 and B-2 Accruing Dividends</w:t>
      </w:r>
      <w:r>
        <w:rPr>
          <w:rFonts w:ascii="Arial" w:cs="Arial" w:eastAsia="Arial" w:hAnsi="Arial"/>
          <w:sz w:val="16"/>
          <w:szCs w:val="16"/>
          <w:color w:val="auto"/>
        </w:rPr>
        <w:t>. From and after the date of the issuance of any shares of Series B-1 Preferred Stock,</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dividends at the rate per annum of $0.268456 per share shall accrue on such shares of Series B-1 Preferred Stock (subject to appropriate adjustment 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event of any stock dividend, stock split, combination or other similar recapitalization with respect to the Series B-1 Preferred Stock) (the “</w:t>
      </w:r>
      <w:r>
        <w:rPr>
          <w:rFonts w:ascii="Arial" w:cs="Arial" w:eastAsia="Arial" w:hAnsi="Arial"/>
          <w:sz w:val="15"/>
          <w:szCs w:val="15"/>
          <w:b w:val="1"/>
          <w:bCs w:val="1"/>
          <w:color w:val="auto"/>
        </w:rPr>
        <w:t>Series B-1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Accruing Dividends</w:t>
      </w:r>
      <w:r>
        <w:rPr>
          <w:rFonts w:ascii="Arial" w:cs="Arial" w:eastAsia="Arial" w:hAnsi="Arial"/>
          <w:sz w:val="16"/>
          <w:szCs w:val="16"/>
          <w:color w:val="auto"/>
        </w:rPr>
        <w:t>”). From and after the date of the issuance of any shares of Series B-2 Preferred Stock, dividends at the rate per annum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$0.300368 per share shall accrue on such shares of Series B-2 Preferred Stock (subject to appropriate adjustment in the event of any stock dividend,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stock split, combination or other similar recapitalization with respect to the Series A Preferred Stock) (the “</w:t>
      </w:r>
      <w:r>
        <w:rPr>
          <w:rFonts w:ascii="Arial" w:cs="Arial" w:eastAsia="Arial" w:hAnsi="Arial"/>
          <w:sz w:val="16"/>
          <w:szCs w:val="16"/>
          <w:b w:val="1"/>
          <w:bCs w:val="1"/>
          <w:color w:val="auto"/>
        </w:rPr>
        <w:t>Series B-2 Accruing Dividends,</w:t>
      </w:r>
      <w:r>
        <w:rPr>
          <w:rFonts w:ascii="Arial" w:cs="Arial" w:eastAsia="Arial" w:hAnsi="Arial"/>
          <w:sz w:val="16"/>
          <w:szCs w:val="16"/>
          <w:color w:val="auto"/>
        </w:rPr>
        <w:t>” together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with the Series B-1 Accruing Dividends, the “</w:t>
      </w:r>
      <w:r>
        <w:rPr>
          <w:rFonts w:ascii="Arial" w:cs="Arial" w:eastAsia="Arial" w:hAnsi="Arial"/>
          <w:sz w:val="16"/>
          <w:szCs w:val="16"/>
          <w:b w:val="1"/>
          <w:bCs w:val="1"/>
          <w:color w:val="auto"/>
        </w:rPr>
        <w:t>Series B-1/B-2 Preferred Accruing Dividends</w:t>
      </w:r>
      <w:r>
        <w:rPr>
          <w:rFonts w:ascii="Arial" w:cs="Arial" w:eastAsia="Arial" w:hAnsi="Arial"/>
          <w:sz w:val="16"/>
          <w:szCs w:val="16"/>
          <w:color w:val="auto"/>
        </w:rPr>
        <w:t>”). Series B-1/B-2 Preferred Accruing Dividends shall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accrue from day to day, whether or not declared, and shall be cumulative;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620" w:top="271" w:right="639" w:bottom="1440" w:gutter="0" w:footer="0" w:header="0"/>
        </w:sectPr>
      </w:pPr>
    </w:p>
    <w:bookmarkStart w:id="207" w:name="page208"/>
    <w:bookmarkEnd w:id="207"/>
    <w:p>
      <w:pPr>
        <w:ind w:left="2"/>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except as set forth in the following sentence of this </w:t>
      </w:r>
      <w:r>
        <w:rPr>
          <w:rFonts w:ascii="Arial" w:cs="Arial" w:eastAsia="Arial" w:hAnsi="Arial"/>
          <w:sz w:val="15"/>
          <w:szCs w:val="15"/>
          <w:u w:val="single" w:color="auto"/>
          <w:color w:val="auto"/>
        </w:rPr>
        <w:t>Subsection 1.1</w:t>
      </w:r>
      <w:r>
        <w:rPr>
          <w:rFonts w:ascii="Arial" w:cs="Arial" w:eastAsia="Arial" w:hAnsi="Arial"/>
          <w:sz w:val="15"/>
          <w:szCs w:val="15"/>
          <w:color w:val="auto"/>
        </w:rPr>
        <w:t xml:space="preserve"> or in </w:t>
      </w:r>
      <w:r>
        <w:rPr>
          <w:rFonts w:ascii="Arial" w:cs="Arial" w:eastAsia="Arial" w:hAnsi="Arial"/>
          <w:sz w:val="15"/>
          <w:szCs w:val="15"/>
          <w:u w:val="single" w:color="auto"/>
          <w:color w:val="auto"/>
        </w:rPr>
        <w:t>Subsection 2.1.1</w:t>
      </w:r>
      <w:r>
        <w:rPr>
          <w:rFonts w:ascii="Arial" w:cs="Arial" w:eastAsia="Arial" w:hAnsi="Arial"/>
          <w:sz w:val="15"/>
          <w:szCs w:val="15"/>
          <w:color w:val="auto"/>
        </w:rPr>
        <w:t>, such Series B-1/B-2 Preferred Accruing Dividends shall be payable only when, as, and if declared by the Board of Directors and the Corporation shall be under no obligation to pay such Series B-1/B-2 Preferred Accruing Dividends.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B-1 Preferred Stock and the Series B-2 Preferred Stock then outstanding shall first receive, or simultaneously receive, a dividend on each outstanding share of such series of Preferred Stock in an amount at least equal to the greater of (i) the amount of the aggregate Series B-1 /B-2 Preferred Accruing Dividends then accrued on such share of Series B-1 Preferred Stock and Series B-2 Preferred Stock and not previously paid and (ii) (A) in the case of a dividend on Common Stock or any class or series that is convertible into Common Stock, that dividend per share of Series B-1 Preferred Stock and Series B-2 Preferred Stock as would equal the product of (1) the dividend payable on each share of such class or series determined, if applicable, as if all shares of such class or series had been converted into Common Stock and</w:t>
      </w:r>
    </w:p>
    <w:p>
      <w:pPr>
        <w:spacing w:after="0" w:line="2" w:lineRule="exact"/>
        <w:rPr>
          <w:sz w:val="20"/>
          <w:szCs w:val="20"/>
          <w:color w:val="auto"/>
        </w:rPr>
      </w:pPr>
    </w:p>
    <w:p>
      <w:pPr>
        <w:ind w:left="2" w:right="80" w:hanging="2"/>
        <w:spacing w:after="0" w:line="290" w:lineRule="auto"/>
        <w:tabs>
          <w:tab w:leader="none" w:pos="248"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number of shares of Common Stock issuable upon conversion of a share of such series of Preferred Stock, in each case calculated on the record date for determination of holders entitled to receive such dividend or (B) in the case of a dividend on any class or series that is not convertible into Common Stock, at a rate per share of Series B-1 Preferred Stock and Series B-2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w:t>
      </w:r>
    </w:p>
    <w:p>
      <w:pPr>
        <w:spacing w:after="0" w:line="2" w:lineRule="exact"/>
        <w:rPr>
          <w:rFonts w:ascii="Arial" w:cs="Arial" w:eastAsia="Arial" w:hAnsi="Arial"/>
          <w:sz w:val="15"/>
          <w:szCs w:val="15"/>
          <w:color w:val="auto"/>
        </w:rPr>
      </w:pPr>
    </w:p>
    <w:p>
      <w:pPr>
        <w:ind w:left="2" w:right="20" w:hanging="2"/>
        <w:spacing w:after="0" w:line="277" w:lineRule="auto"/>
        <w:tabs>
          <w:tab w:leader="none" w:pos="24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multiplying such fraction by an amount equal to the applicable Original Issue Price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a series of Preferred Stock pursuant to this </w:t>
      </w:r>
      <w:r>
        <w:rPr>
          <w:rFonts w:ascii="Arial" w:cs="Arial" w:eastAsia="Arial" w:hAnsi="Arial"/>
          <w:sz w:val="16"/>
          <w:szCs w:val="16"/>
          <w:u w:val="single" w:color="auto"/>
          <w:color w:val="auto"/>
        </w:rPr>
        <w:t>Subsection 1.1</w:t>
      </w:r>
      <w:r>
        <w:rPr>
          <w:rFonts w:ascii="Arial" w:cs="Arial" w:eastAsia="Arial" w:hAnsi="Arial"/>
          <w:sz w:val="16"/>
          <w:szCs w:val="16"/>
          <w:color w:val="auto"/>
        </w:rPr>
        <w:t xml:space="preserve"> shall be calculated based upon the dividend on the class or series of capital stock that would result in the highest dividend for such series of Preferred Stock. The “</w:t>
      </w:r>
      <w:r>
        <w:rPr>
          <w:rFonts w:ascii="Arial" w:cs="Arial" w:eastAsia="Arial" w:hAnsi="Arial"/>
          <w:sz w:val="16"/>
          <w:szCs w:val="16"/>
          <w:b w:val="1"/>
          <w:bCs w:val="1"/>
          <w:color w:val="auto"/>
        </w:rPr>
        <w:t>Series B-1 Original Issue Price</w:t>
      </w:r>
      <w:r>
        <w:rPr>
          <w:rFonts w:ascii="Arial" w:cs="Arial" w:eastAsia="Arial" w:hAnsi="Arial"/>
          <w:sz w:val="16"/>
          <w:szCs w:val="16"/>
          <w:color w:val="auto"/>
        </w:rPr>
        <w:t>” shall mean $3.3557 per share, subject to appropriate adjustment in the event of any stock dividend, stock split, combination or other similar recapitalization with respect to the Series B-1 Preferred Stock. The “</w:t>
      </w:r>
      <w:r>
        <w:rPr>
          <w:rFonts w:ascii="Arial" w:cs="Arial" w:eastAsia="Arial" w:hAnsi="Arial"/>
          <w:sz w:val="16"/>
          <w:szCs w:val="16"/>
          <w:b w:val="1"/>
          <w:bCs w:val="1"/>
          <w:color w:val="auto"/>
        </w:rPr>
        <w:t>Series B-2 Original Issue Price</w:t>
      </w:r>
      <w:r>
        <w:rPr>
          <w:rFonts w:ascii="Arial" w:cs="Arial" w:eastAsia="Arial" w:hAnsi="Arial"/>
          <w:sz w:val="16"/>
          <w:szCs w:val="16"/>
          <w:color w:val="auto"/>
        </w:rPr>
        <w:t>” shall mean $3.7546 per share, subject to appropriate adjustment in the event of any stock dividend, stock split, combination or other similar recapitalization with respect to the Series B-2 Preferred Stock.</w:t>
      </w:r>
    </w:p>
    <w:p>
      <w:pPr>
        <w:spacing w:after="0" w:line="172" w:lineRule="exact"/>
        <w:rPr>
          <w:sz w:val="20"/>
          <w:szCs w:val="20"/>
          <w:color w:val="auto"/>
        </w:rPr>
      </w:pPr>
    </w:p>
    <w:p>
      <w:pPr>
        <w:ind w:left="2" w:right="20" w:firstLine="1385"/>
        <w:spacing w:after="0" w:line="279"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Series A and A-1 Accruing Dividends</w:t>
      </w:r>
      <w:r>
        <w:rPr>
          <w:rFonts w:ascii="Arial" w:cs="Arial" w:eastAsia="Arial" w:hAnsi="Arial"/>
          <w:sz w:val="16"/>
          <w:szCs w:val="16"/>
          <w:color w:val="auto"/>
        </w:rPr>
        <w:t>. Subject to Subsection 1.1, from and after the date of the issuance of any shares of Series A Preferred Stock, dividends at the rate per annum of $0.08 per share shall accrue on such shares of Series A Preferred Stock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A Accruing Dividends</w:t>
      </w:r>
      <w:r>
        <w:rPr>
          <w:rFonts w:ascii="Arial" w:cs="Arial" w:eastAsia="Arial" w:hAnsi="Arial"/>
          <w:sz w:val="16"/>
          <w:szCs w:val="16"/>
          <w:color w:val="auto"/>
        </w:rPr>
        <w:t>”). From and after the date of the issuance of any shares of Series A-1 Preferred Stock, dividends at the rate per annum of $0.10 per share shall accrue on such shares of Series A-1 Preferred Stock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A-1 Accruing Dividends,</w:t>
      </w:r>
      <w:r>
        <w:rPr>
          <w:rFonts w:ascii="Arial" w:cs="Arial" w:eastAsia="Arial" w:hAnsi="Arial"/>
          <w:sz w:val="16"/>
          <w:szCs w:val="16"/>
          <w:color w:val="auto"/>
        </w:rPr>
        <w:t>” together with the Series A Accruing Dividends, the “</w:t>
      </w:r>
      <w:r>
        <w:rPr>
          <w:rFonts w:ascii="Arial" w:cs="Arial" w:eastAsia="Arial" w:hAnsi="Arial"/>
          <w:sz w:val="16"/>
          <w:szCs w:val="16"/>
          <w:b w:val="1"/>
          <w:bCs w:val="1"/>
          <w:color w:val="auto"/>
        </w:rPr>
        <w:t>Series A/A-1 Preferred Accruing Dividends</w:t>
      </w:r>
      <w:r>
        <w:rPr>
          <w:rFonts w:ascii="Arial" w:cs="Arial" w:eastAsia="Arial" w:hAnsi="Arial"/>
          <w:sz w:val="16"/>
          <w:szCs w:val="16"/>
          <w:color w:val="auto"/>
        </w:rPr>
        <w:t xml:space="preserve">”). Series A/A-1 Preferred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w:t>
      </w:r>
    </w:p>
    <w:p>
      <w:pPr>
        <w:spacing w:after="0" w:line="10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2"/>
          </w:cols>
          <w:pgMar w:left="618" w:top="271" w:right="639" w:bottom="1440" w:gutter="0" w:footer="0" w:header="0"/>
        </w:sectPr>
      </w:pPr>
    </w:p>
    <w:bookmarkStart w:id="208" w:name="page209"/>
    <w:bookmarkEnd w:id="208"/>
    <w:p>
      <w:pPr>
        <w:ind w:left="2"/>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as set forth in the following sentence of this </w:t>
      </w:r>
      <w:r>
        <w:rPr>
          <w:rFonts w:ascii="Arial" w:cs="Arial" w:eastAsia="Arial" w:hAnsi="Arial"/>
          <w:sz w:val="15"/>
          <w:szCs w:val="15"/>
          <w:u w:val="single" w:color="auto"/>
          <w:color w:val="auto"/>
        </w:rPr>
        <w:t>Subsection 1.2</w:t>
      </w:r>
      <w:r>
        <w:rPr>
          <w:rFonts w:ascii="Arial" w:cs="Arial" w:eastAsia="Arial" w:hAnsi="Arial"/>
          <w:sz w:val="15"/>
          <w:szCs w:val="15"/>
          <w:color w:val="auto"/>
        </w:rPr>
        <w:t xml:space="preserve"> or in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such Series A/A-1 Preferred Accruing Dividends shall be payable only when, as, and if declared by the Board of Directors and the Corporation shall be under no obligation to pay such Preferred Accruing Dividends. The Corporation shall not declare, pay or set aside any dividends on shares of any other class or series of capital stock of the Corporation (other than Series B-1/B-2 Preferred Accruing Dividends and dividends on shares of Common Stock payable in shares of Common Stock) unless (in addition to the obtaining of any consents required elsewhere in the Certificate of Incorporation) the holders of the Series A Preferred Stock and the Series A-1 Preferred Stock then outstanding shall first receive, or simultaneously receive, a dividend on each outstanding share of such series of Preferred Stock in an amount at least equal to the greater of (i) the amount of the aggregate Series A/A-1 Preferred Accruing Dividends then accrued on such share of Series A Preferred Stock and Series A-1 Preferred Stock and not previously paid and (ii) (A) in the case of a dividend on Common Stock or any class or series that is convertible into Common Stock, that dividend per share of Series A Preferred Stock and Series A-1 Preferred Stock as would equal the product of</w:t>
      </w:r>
    </w:p>
    <w:p>
      <w:pPr>
        <w:spacing w:after="0" w:line="3" w:lineRule="exact"/>
        <w:rPr>
          <w:sz w:val="20"/>
          <w:szCs w:val="20"/>
          <w:color w:val="auto"/>
        </w:rPr>
      </w:pPr>
    </w:p>
    <w:p>
      <w:pPr>
        <w:ind w:left="2" w:hanging="2"/>
        <w:spacing w:after="0" w:line="294" w:lineRule="auto"/>
        <w:tabs>
          <w:tab w:leader="none" w:pos="248"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dividend payable on each share of such class or series determined, if applicable, as if all shares of such class or series had been converted into Common Stock and (2) the number of shares of Common Stock issuable upon conversion of a share of such series of Preferred Stock, in each case calculated on the record date for determination of holders entitled to receive such dividend or (B) in the case of a dividend on any class or series that is not convertible into Common Stock, at a rate per share of Series A Preferred Stock and Series A-1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(as defined below);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Corporation declares, pays or sets aside, on the same date, a dividend on shares of more than one class or series of capital stock of the Corporation, the dividend payable to the holders of a series of Preferred Stock pursuant to this </w:t>
      </w:r>
      <w:r>
        <w:rPr>
          <w:rFonts w:ascii="Arial" w:cs="Arial" w:eastAsia="Arial" w:hAnsi="Arial"/>
          <w:sz w:val="15"/>
          <w:szCs w:val="15"/>
          <w:u w:val="single" w:color="auto"/>
          <w:color w:val="auto"/>
        </w:rPr>
        <w:t>Subsection 1.2</w:t>
      </w:r>
      <w:r>
        <w:rPr>
          <w:rFonts w:ascii="Arial" w:cs="Arial" w:eastAsia="Arial" w:hAnsi="Arial"/>
          <w:sz w:val="15"/>
          <w:szCs w:val="15"/>
          <w:color w:val="auto"/>
        </w:rPr>
        <w:t xml:space="preserve"> shall be calculated based upon the dividend on the class or series of capital stock that would result in the highest dividend for such series of Preferred Stock. The “</w:t>
      </w:r>
      <w:r>
        <w:rPr>
          <w:rFonts w:ascii="Arial" w:cs="Arial" w:eastAsia="Arial" w:hAnsi="Arial"/>
          <w:sz w:val="15"/>
          <w:szCs w:val="15"/>
          <w:b w:val="1"/>
          <w:bCs w:val="1"/>
          <w:color w:val="auto"/>
        </w:rPr>
        <w:t>Series A Original Issue Price</w:t>
      </w:r>
      <w:r>
        <w:rPr>
          <w:rFonts w:ascii="Arial" w:cs="Arial" w:eastAsia="Arial" w:hAnsi="Arial"/>
          <w:sz w:val="15"/>
          <w:szCs w:val="15"/>
          <w:color w:val="auto"/>
        </w:rPr>
        <w:t>” shall mean $1.00 per share, subject to appropriate adjustment in the event of any stock dividend, stock split, combination or other similar recapitalization with respect to the Series A Preferred Stock. The “</w:t>
      </w:r>
      <w:r>
        <w:rPr>
          <w:rFonts w:ascii="Arial" w:cs="Arial" w:eastAsia="Arial" w:hAnsi="Arial"/>
          <w:sz w:val="15"/>
          <w:szCs w:val="15"/>
          <w:b w:val="1"/>
          <w:bCs w:val="1"/>
          <w:color w:val="auto"/>
        </w:rPr>
        <w:t>Series A-1 Original Issue Price</w:t>
      </w:r>
      <w:r>
        <w:rPr>
          <w:rFonts w:ascii="Arial" w:cs="Arial" w:eastAsia="Arial" w:hAnsi="Arial"/>
          <w:sz w:val="15"/>
          <w:szCs w:val="15"/>
          <w:color w:val="auto"/>
        </w:rPr>
        <w:t>” shall mean $1.25 per share, subject to appropriate adjustment in the event of any stock dividend, stock split, combination or other similar recapitalization with respect to the Series A-1 Preferred Stock.</w:t>
      </w:r>
    </w:p>
    <w:p>
      <w:pPr>
        <w:spacing w:after="0" w:line="165" w:lineRule="exact"/>
        <w:rPr>
          <w:rFonts w:ascii="Arial" w:cs="Arial" w:eastAsia="Arial" w:hAnsi="Arial"/>
          <w:sz w:val="15"/>
          <w:szCs w:val="15"/>
          <w:color w:val="auto"/>
        </w:rPr>
      </w:pPr>
    </w:p>
    <w:p>
      <w:pPr>
        <w:ind w:left="1142" w:hanging="183"/>
        <w:spacing w:after="0"/>
        <w:tabs>
          <w:tab w:leader="none" w:pos="1142"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 Certain Mergers, Consolidations and Asset Sales.</w:t>
      </w:r>
    </w:p>
    <w:p>
      <w:pPr>
        <w:spacing w:after="0" w:line="222" w:lineRule="exact"/>
        <w:rPr>
          <w:sz w:val="20"/>
          <w:szCs w:val="20"/>
          <w:color w:val="auto"/>
        </w:rPr>
      </w:pPr>
    </w:p>
    <w:p>
      <w:pPr>
        <w:ind w:left="1382"/>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Preferred Stock</w:t>
      </w:r>
    </w:p>
    <w:p>
      <w:pPr>
        <w:spacing w:after="0" w:line="222" w:lineRule="exact"/>
        <w:rPr>
          <w:sz w:val="20"/>
          <w:szCs w:val="20"/>
          <w:color w:val="auto"/>
        </w:rPr>
      </w:pPr>
    </w:p>
    <w:p>
      <w:pPr>
        <w:ind w:left="2" w:right="120" w:firstLine="1917"/>
        <w:spacing w:after="0" w:line="264"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Preferential Payments to Holders of Series B-1 and B-2 Preferred Stock</w:t>
      </w:r>
      <w:r>
        <w:rPr>
          <w:rFonts w:ascii="Arial" w:cs="Arial" w:eastAsia="Arial" w:hAnsi="Arial"/>
          <w:sz w:val="17"/>
          <w:szCs w:val="17"/>
          <w:color w:val="auto"/>
        </w:rPr>
        <w:t>. In the event of any voluntary or involuntary liquidation, dissolution or winding up of the Corporation or Deemed Liquidation Event, the holders of shares of Series B-1 Preferred Stock and Series B-2 Preferred Stock then outstanding shall be entitled to be paid out of the assets of the Corporation available for distribution to its stockholders before any payment shall be made to the holders of Common Stock, Series A Preferred Stock or Series A-1 Preferred Stock by reason of their ownership thereof, an amount per share equal to the Original Issue Price applicable to such</w:t>
      </w:r>
    </w:p>
    <w:p>
      <w:pPr>
        <w:spacing w:after="0" w:line="11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2"/>
          </w:cols>
          <w:pgMar w:left="618" w:top="271" w:right="639" w:bottom="1440" w:gutter="0" w:footer="0" w:header="0"/>
        </w:sectPr>
      </w:pPr>
    </w:p>
    <w:bookmarkStart w:id="209" w:name="page210"/>
    <w:bookmarkEnd w:id="209"/>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series of Preferred Stock, plus any Series B-1/B-2 Preferred Accruing Dividends accrued but unpaid thereon, whether or not declared, together with any other dividends declared but unpaid thereon. If upon any such liquidation, dissolution or winding up of the Corporation or Deemed Liquidation Event, the assets of the Corporation available for distribution to its stockholders shall be insufficient to pay the holders of shares of Series B-1 Preferred Stock and Series B-2 Preferred Stock the full amount to which they shall be entitled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the holders of shares of such series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3" w:lineRule="exact"/>
        <w:rPr>
          <w:sz w:val="20"/>
          <w:szCs w:val="20"/>
          <w:color w:val="auto"/>
        </w:rPr>
      </w:pPr>
    </w:p>
    <w:p>
      <w:pPr>
        <w:ind w:firstLine="1917"/>
        <w:spacing w:after="0" w:line="27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Preferential Payments to Holders of Series A and A-1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all preferential amounts required to be paid to the holders of shares of Series B-1 Preferred Stock and Series B-2 Preferred Stock, the holders of shares of Series A Preferred Stock and Series A-1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Original Issue Price applicable to such series of Preferred Stock, plus any Series A/A-1 Preferred Accruing Dividends accrued but unpaid thereon, whether or not declared, together with any other dividends declared but unpaid thereon. If upon any such liquidation, dissolution or winding up of the Corporation or Deemed Liquidation Event, the assets of the Corporation available for distribution to its stockholders shall be insufficient to pay the holders of shares of Series A Preferred Stock and Series A-1 Preferred Stock the full amount to which they shall be entitled under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the holders of shares of such series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6" w:lineRule="exact"/>
        <w:rPr>
          <w:sz w:val="20"/>
          <w:szCs w:val="20"/>
          <w:color w:val="auto"/>
        </w:rPr>
      </w:pPr>
    </w:p>
    <w:p>
      <w:pPr>
        <w:ind w:right="40" w:firstLine="1385"/>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Distribution of Remaining Assets</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The aggregate amount which a holder of a share of Preferred Stock is entitled to receive under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less the amount of any previously paid Distribution Amount (as defined in Section 2.3.5 below) is hereinafter referred to as the “</w:t>
      </w:r>
      <w:r>
        <w:rPr>
          <w:rFonts w:ascii="Arial" w:cs="Arial" w:eastAsia="Arial" w:hAnsi="Arial"/>
          <w:sz w:val="17"/>
          <w:szCs w:val="17"/>
          <w:b w:val="1"/>
          <w:bCs w:val="1"/>
          <w:color w:val="auto"/>
        </w:rPr>
        <w:t>Preferred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620" w:top="271" w:right="679" w:bottom="1440" w:gutter="0" w:footer="0" w:header="0"/>
        </w:sectPr>
      </w:pPr>
    </w:p>
    <w:bookmarkStart w:id="210" w:name="page211"/>
    <w:bookmarkEnd w:id="210"/>
    <w:p>
      <w:pPr>
        <w:ind w:left="1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2.3 </w:t>
      </w:r>
      <w:r>
        <w:rPr>
          <w:rFonts w:ascii="Arial" w:cs="Arial" w:eastAsia="Arial" w:hAnsi="Arial"/>
          <w:sz w:val="17"/>
          <w:szCs w:val="17"/>
          <w:u w:val="single" w:color="auto"/>
          <w:color w:val="auto"/>
        </w:rPr>
        <w:t>Deemed Liquidation Events</w:t>
      </w:r>
      <w:r>
        <w:rPr>
          <w:rFonts w:ascii="Arial" w:cs="Arial" w:eastAsia="Arial" w:hAnsi="Arial"/>
          <w:sz w:val="17"/>
          <w:szCs w:val="17"/>
          <w:color w:val="auto"/>
        </w:rPr>
        <w:t>.</w:t>
      </w:r>
    </w:p>
    <w:p>
      <w:pPr>
        <w:spacing w:after="0" w:line="216" w:lineRule="exact"/>
        <w:rPr>
          <w:sz w:val="20"/>
          <w:szCs w:val="20"/>
          <w:color w:val="auto"/>
        </w:rPr>
      </w:pPr>
    </w:p>
    <w:p>
      <w:pPr>
        <w:ind w:right="180" w:firstLine="1917"/>
        <w:spacing w:after="0" w:line="300"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 at least eighty percent (80%) of the outstanding shares of Preferred Stock (voting together as a single class and not as separate series, and on an as-converted basis) elect otherwise by written notice sent to the Corporation at least two (2) days prior to the effective date of any such event:</w:t>
      </w:r>
    </w:p>
    <w:p>
      <w:pPr>
        <w:spacing w:after="0" w:line="47" w:lineRule="exact"/>
        <w:rPr>
          <w:sz w:val="20"/>
          <w:szCs w:val="20"/>
          <w:color w:val="auto"/>
        </w:rPr>
      </w:pPr>
    </w:p>
    <w:p>
      <w:pPr>
        <w:ind w:left="2580" w:hanging="239"/>
        <w:spacing w:after="0"/>
        <w:tabs>
          <w:tab w:leader="none" w:pos="25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merger or consolidation in which</w:t>
      </w:r>
    </w:p>
    <w:p>
      <w:pPr>
        <w:spacing w:after="0" w:line="130" w:lineRule="exact"/>
        <w:rPr>
          <w:rFonts w:ascii="Arial" w:cs="Arial" w:eastAsia="Arial" w:hAnsi="Arial"/>
          <w:sz w:val="17"/>
          <w:szCs w:val="17"/>
          <w:color w:val="auto"/>
        </w:rPr>
      </w:pPr>
    </w:p>
    <w:p>
      <w:pPr>
        <w:ind w:left="3280" w:hanging="515"/>
        <w:spacing w:after="0"/>
        <w:tabs>
          <w:tab w:leader="none" w:pos="32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Corporation is a constituent party or</w:t>
      </w:r>
    </w:p>
    <w:p>
      <w:pPr>
        <w:spacing w:after="0" w:line="130" w:lineRule="exact"/>
        <w:rPr>
          <w:rFonts w:ascii="Arial" w:cs="Arial" w:eastAsia="Arial" w:hAnsi="Arial"/>
          <w:sz w:val="17"/>
          <w:szCs w:val="17"/>
          <w:color w:val="auto"/>
        </w:rPr>
      </w:pPr>
    </w:p>
    <w:p>
      <w:pPr>
        <w:ind w:left="3280" w:right="20" w:hanging="515"/>
        <w:spacing w:after="0" w:line="287" w:lineRule="auto"/>
        <w:tabs>
          <w:tab w:leader="none" w:pos="32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 subsidiary of the Corporation is a constituent party and the Corporation issues shares of its capital stock pursuant to such merger or consolidation,</w:t>
      </w:r>
    </w:p>
    <w:p>
      <w:pPr>
        <w:spacing w:after="0" w:line="159"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78" w:lineRule="exact"/>
        <w:rPr>
          <w:sz w:val="20"/>
          <w:szCs w:val="20"/>
          <w:color w:val="auto"/>
        </w:rPr>
      </w:pPr>
    </w:p>
    <w:p>
      <w:pPr>
        <w:ind w:right="140" w:firstLine="2341"/>
        <w:spacing w:after="0" w:line="307" w:lineRule="auto"/>
        <w:tabs>
          <w:tab w:leader="none" w:pos="259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consolidation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 or</w:t>
      </w:r>
    </w:p>
    <w:p>
      <w:pPr>
        <w:spacing w:after="0" w:line="149" w:lineRule="exact"/>
        <w:rPr>
          <w:rFonts w:ascii="Arial" w:cs="Arial" w:eastAsia="Arial" w:hAnsi="Arial"/>
          <w:sz w:val="15"/>
          <w:szCs w:val="15"/>
          <w:color w:val="auto"/>
        </w:rPr>
      </w:pPr>
    </w:p>
    <w:p>
      <w:pPr>
        <w:jc w:val="both"/>
        <w:ind w:right="120" w:firstLine="2341"/>
        <w:spacing w:after="0" w:line="266" w:lineRule="auto"/>
        <w:tabs>
          <w:tab w:leader="none" w:pos="25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closing of the sale, transfer or other disposition to any other company, or any other entity or person, of the Corporation’s securities if, after such closing, such other company, entity or person would hold 50% or more of the outstanding voting stock of the Corporation (or the surviving or acquiring entity), provided, however, that a bona fide private equity financing of the Corporation the purpose of which is the financing of the Corporation’s ongoing activities, shall not in itself constitute a Deemed Liquidation Event.</w:t>
      </w:r>
    </w:p>
    <w:p>
      <w:pPr>
        <w:spacing w:after="0" w:line="178"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Effecting a Deemed Liquidation Event</w:t>
      </w:r>
      <w:r>
        <w:rPr>
          <w:rFonts w:ascii="Arial" w:cs="Arial" w:eastAsia="Arial" w:hAnsi="Arial"/>
          <w:sz w:val="17"/>
          <w:szCs w:val="17"/>
          <w:color w:val="auto"/>
        </w:rPr>
        <w:t>.</w:t>
      </w:r>
    </w:p>
    <w:p>
      <w:pPr>
        <w:spacing w:after="0" w:line="222" w:lineRule="exact"/>
        <w:rPr>
          <w:sz w:val="20"/>
          <w:szCs w:val="20"/>
          <w:color w:val="auto"/>
        </w:rPr>
      </w:pPr>
    </w:p>
    <w:p>
      <w:pPr>
        <w:ind w:firstLine="2341"/>
        <w:spacing w:after="0" w:line="324" w:lineRule="auto"/>
        <w:tabs>
          <w:tab w:leader="none" w:pos="25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The Corporation shall not have the power to effect a Deemed Liquidation Event referred to in </w:t>
      </w:r>
      <w:r>
        <w:rPr>
          <w:rFonts w:ascii="Arial" w:cs="Arial" w:eastAsia="Arial" w:hAnsi="Arial"/>
          <w:sz w:val="15"/>
          <w:szCs w:val="15"/>
          <w:u w:val="single" w:color="auto"/>
          <w:color w:val="auto"/>
        </w:rPr>
        <w:t>Subsection 2.3.1(a)(i)</w:t>
      </w:r>
      <w:r>
        <w:rPr>
          <w:rFonts w:ascii="Arial" w:cs="Arial" w:eastAsia="Arial" w:hAnsi="Arial"/>
          <w:sz w:val="15"/>
          <w:szCs w:val="15"/>
          <w:color w:val="auto"/>
        </w:rPr>
        <w:t xml:space="preserve"> unless the agreement or plan of merger or consolidation for such transaction (the “</w:t>
      </w:r>
      <w:r>
        <w:rPr>
          <w:rFonts w:ascii="Arial" w:cs="Arial" w:eastAsia="Arial" w:hAnsi="Arial"/>
          <w:sz w:val="15"/>
          <w:szCs w:val="15"/>
          <w:b w:val="1"/>
          <w:bCs w:val="1"/>
          <w:color w:val="auto"/>
        </w:rPr>
        <w:t>Merger Agreement</w:t>
      </w:r>
      <w:r>
        <w:rPr>
          <w:rFonts w:ascii="Arial" w:cs="Arial" w:eastAsia="Arial" w:hAnsi="Arial"/>
          <w:sz w:val="15"/>
          <w:szCs w:val="15"/>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5"/>
          <w:szCs w:val="15"/>
          <w:u w:val="single" w:color="auto"/>
          <w:color w:val="auto"/>
        </w:rPr>
        <w:t>Subsections 2.1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w:t>
      </w:r>
      <w:r>
        <w:rPr>
          <w:rFonts w:ascii="Arial" w:cs="Arial" w:eastAsia="Arial" w:hAnsi="Arial"/>
          <w:sz w:val="15"/>
          <w:szCs w:val="15"/>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70" w:right="639" w:bottom="1440" w:gutter="0" w:footer="0" w:header="0"/>
        </w:sectPr>
      </w:pPr>
    </w:p>
    <w:bookmarkStart w:id="211" w:name="page212"/>
    <w:bookmarkEnd w:id="211"/>
    <w:p>
      <w:pPr>
        <w:ind w:left="2" w:right="140" w:firstLine="2341"/>
        <w:spacing w:after="0" w:line="299" w:lineRule="auto"/>
        <w:tabs>
          <w:tab w:leader="none" w:pos="2591" w:val="left"/>
        </w:tabs>
        <w:numPr>
          <w:ilvl w:val="1"/>
          <w:numId w:val="1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In the event of a Deemed Liquidation Event referred to in </w:t>
      </w:r>
      <w:r>
        <w:rPr>
          <w:rFonts w:ascii="Arial" w:cs="Arial" w:eastAsia="Arial" w:hAnsi="Arial"/>
          <w:sz w:val="15"/>
          <w:szCs w:val="15"/>
          <w:u w:val="single" w:color="auto"/>
          <w:color w:val="auto"/>
        </w:rPr>
        <w:t>Subsection 2.3.1(a)(ii)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2.3.1(b)</w:t>
      </w:r>
      <w:r>
        <w:rPr>
          <w:rFonts w:ascii="Arial" w:cs="Arial" w:eastAsia="Arial" w:hAnsi="Arial"/>
          <w:sz w:val="15"/>
          <w:szCs w:val="15"/>
          <w:color w:val="auto"/>
        </w:rPr>
        <w:t>, if the Corporation does not effect a dissolution of the Corporation under the General Corporation Law within ninety (90) days after such Deemed Liquidation Event, then</w:t>
      </w:r>
    </w:p>
    <w:p>
      <w:pPr>
        <w:ind w:left="2" w:hanging="2"/>
        <w:spacing w:after="0" w:line="273" w:lineRule="auto"/>
        <w:tabs>
          <w:tab w:leader="none" w:pos="20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(iii) if the holders of at least eighty percent (80%) of the then outstanding shares of Preferred Stock (voting together as a single class and not as separate series, and on an as-converted basis)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(150th)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redeem all outstanding shares of each series of Preferred Stock at a price per share equal to the Preferred Liquidation Amount for each series of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Series A Preferred Stock and the Series A-1 Preferred Stock shall not be redeemed unless and until the holders of Series B-1 Preferred Stock and Series B-2 Preferred Stock have first been paid all amounts due pursuant to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xml:space="preserve">. Notwithstanding the foregoing, in the event of a redemption pursuant to the preceding sentence, (A) if the Available Proceeds are not sufficient to redeem all outstanding shares of Series B-1 Preferred Stock and Series B-2 Preferred Stock, the Corporation shall redeem a pro rata portion of each holder’s shares of Series B-1 Preferred Stock and Series B-2 Preferred Stock to the fullest extent of such Available Proceeds, based on the respective amounts which would otherwise be payable in respect of the shares to be redeemed if the Available Proceeds were sufficient to redeem all such shares, and shall redeem the remaining shares to have been redeemed as soon as practicable after the Corporation has funds legally available therefor and (B) if the Available Proceeds are not sufficient to redeem all outstanding shares of Series A Preferred Stock and Series A-1 Preferred Stock, the Corporation shall redeem a pro rata portion of each holder’s shares of Series A Preferred Stock and Series A-1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w:t>
      </w:r>
    </w:p>
    <w:p>
      <w:pPr>
        <w:spacing w:after="0" w:line="186" w:lineRule="exact"/>
        <w:rPr>
          <w:rFonts w:ascii="Arial" w:cs="Arial" w:eastAsia="Arial" w:hAnsi="Arial"/>
          <w:sz w:val="16"/>
          <w:szCs w:val="16"/>
          <w:color w:val="auto"/>
        </w:rPr>
      </w:pPr>
    </w:p>
    <w:p>
      <w:pPr>
        <w:ind w:left="2" w:right="80" w:firstLine="2341"/>
        <w:spacing w:after="0" w:line="280" w:lineRule="auto"/>
        <w:tabs>
          <w:tab w:leader="none" w:pos="2581"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xml:space="preserve">. On or before the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so designated by the Corporation, and thereupon the applicable redemption price for such shares shall be payable to the order of the person whose name appears on such certificate or certificates as the owner thereof.</w:t>
      </w:r>
    </w:p>
    <w:p>
      <w:pPr>
        <w:spacing w:after="0" w:line="10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2"/>
          </w:cols>
          <w:pgMar w:left="618" w:top="271" w:right="639" w:bottom="1440" w:gutter="0" w:footer="0" w:header="0"/>
        </w:sectPr>
      </w:pPr>
    </w:p>
    <w:bookmarkStart w:id="212" w:name="page213"/>
    <w:bookmarkEnd w:id="212"/>
    <w:p>
      <w:pPr>
        <w:ind w:firstLine="2341"/>
        <w:spacing w:after="0" w:line="262" w:lineRule="auto"/>
        <w:tabs>
          <w:tab w:leader="none" w:pos="2589"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Rights Subsequent to Redemption</w:t>
      </w:r>
      <w:r>
        <w:rPr>
          <w:rFonts w:ascii="Arial" w:cs="Arial" w:eastAsia="Arial" w:hAnsi="Arial"/>
          <w:sz w:val="17"/>
          <w:szCs w:val="17"/>
          <w:color w:val="auto"/>
        </w:rPr>
        <w:t>. If on the Redemption Date the redemption price payable upon redemption of the shares of Preferred Stock to be redeemed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182" w:lineRule="exact"/>
        <w:rPr>
          <w:sz w:val="20"/>
          <w:szCs w:val="20"/>
          <w:color w:val="auto"/>
        </w:rPr>
      </w:pPr>
    </w:p>
    <w:p>
      <w:pPr>
        <w:ind w:right="180" w:firstLine="1917"/>
        <w:spacing w:after="0" w:line="266"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78" w:lineRule="exact"/>
        <w:rPr>
          <w:sz w:val="20"/>
          <w:szCs w:val="20"/>
          <w:color w:val="auto"/>
        </w:rPr>
      </w:pPr>
    </w:p>
    <w:p>
      <w:pPr>
        <w:ind w:right="100" w:firstLine="1917"/>
        <w:spacing w:after="0" w:line="299" w:lineRule="auto"/>
        <w:rPr>
          <w:sz w:val="20"/>
          <w:szCs w:val="20"/>
          <w:color w:val="auto"/>
        </w:rPr>
      </w:pPr>
      <w:r>
        <w:rPr>
          <w:rFonts w:ascii="Arial" w:cs="Arial" w:eastAsia="Arial" w:hAnsi="Arial"/>
          <w:sz w:val="15"/>
          <w:szCs w:val="15"/>
          <w:color w:val="auto"/>
        </w:rPr>
        <w:t xml:space="preserve">2.3.4 </w:t>
      </w:r>
      <w:r>
        <w:rPr>
          <w:rFonts w:ascii="Arial" w:cs="Arial" w:eastAsia="Arial" w:hAnsi="Arial"/>
          <w:sz w:val="15"/>
          <w:szCs w:val="15"/>
          <w:u w:val="single" w:color="auto"/>
          <w:color w:val="auto"/>
        </w:rPr>
        <w:t>Allocation of Escrow and Contingent Consideration</w:t>
      </w:r>
      <w:r>
        <w:rPr>
          <w:rFonts w:ascii="Arial" w:cs="Arial" w:eastAsia="Arial" w:hAnsi="Arial"/>
          <w:sz w:val="15"/>
          <w:szCs w:val="15"/>
          <w:color w:val="auto"/>
        </w:rPr>
        <w:t>. In the event of a Deemed Liquidation Event, if any portion of the consideration payable to the stockholders of the Corporation is payable only upon satisfaction of contingencies (the “</w:t>
      </w:r>
      <w:r>
        <w:rPr>
          <w:rFonts w:ascii="Arial" w:cs="Arial" w:eastAsia="Arial" w:hAnsi="Arial"/>
          <w:sz w:val="15"/>
          <w:szCs w:val="15"/>
          <w:b w:val="1"/>
          <w:bCs w:val="1"/>
          <w:color w:val="auto"/>
        </w:rPr>
        <w:t>Additional Consideration</w:t>
      </w:r>
      <w:r>
        <w:rPr>
          <w:rFonts w:ascii="Arial" w:cs="Arial" w:eastAsia="Arial" w:hAnsi="Arial"/>
          <w:sz w:val="15"/>
          <w:szCs w:val="15"/>
          <w:color w:val="auto"/>
        </w:rPr>
        <w:t>”), the relevant agreement shall provide that (a) the portion of such consideration that is not Additional Consideration (such portion, the “</w:t>
      </w:r>
      <w:r>
        <w:rPr>
          <w:rFonts w:ascii="Arial" w:cs="Arial" w:eastAsia="Arial" w:hAnsi="Arial"/>
          <w:sz w:val="15"/>
          <w:szCs w:val="15"/>
          <w:b w:val="1"/>
          <w:bCs w:val="1"/>
          <w:color w:val="auto"/>
        </w:rPr>
        <w:t>Initial</w:t>
      </w:r>
      <w:r>
        <w:rPr>
          <w:rFonts w:ascii="Arial" w:cs="Arial" w:eastAsia="Arial" w:hAnsi="Arial"/>
          <w:sz w:val="15"/>
          <w:szCs w:val="15"/>
          <w:color w:val="auto"/>
        </w:rPr>
        <w:t xml:space="preserve"> </w:t>
      </w:r>
      <w:r>
        <w:rPr>
          <w:rFonts w:ascii="Arial" w:cs="Arial" w:eastAsia="Arial" w:hAnsi="Arial"/>
          <w:sz w:val="15"/>
          <w:szCs w:val="15"/>
          <w:b w:val="1"/>
          <w:bCs w:val="1"/>
          <w:color w:val="auto"/>
        </w:rPr>
        <w:t>Consideration</w:t>
      </w:r>
      <w:r>
        <w:rPr>
          <w:rFonts w:ascii="Arial" w:cs="Arial" w:eastAsia="Arial" w:hAnsi="Arial"/>
          <w:sz w:val="15"/>
          <w:szCs w:val="15"/>
          <w:color w:val="auto"/>
        </w:rPr>
        <w:t>”) shall be allocated among the holders of capital stock of the Corporation in accordance with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Subsections 2.1</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2.2</w:t>
      </w:r>
      <w:r>
        <w:rPr>
          <w:rFonts w:ascii="Arial" w:cs="Arial" w:eastAsia="Arial" w:hAnsi="Arial"/>
          <w:sz w:val="15"/>
          <w:szCs w:val="15"/>
          <w:b w:val="1"/>
          <w:bCs w:val="1"/>
          <w:color w:val="auto"/>
        </w:rPr>
        <w:t xml:space="preserve"> </w:t>
      </w:r>
      <w:r>
        <w:rPr>
          <w:rFonts w:ascii="Arial" w:cs="Arial" w:eastAsia="Arial" w:hAnsi="Arial"/>
          <w:sz w:val="15"/>
          <w:szCs w:val="15"/>
          <w:color w:val="auto"/>
        </w:rPr>
        <w:t>as if the Initial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5"/>
          <w:szCs w:val="15"/>
          <w:u w:val="single" w:color="auto"/>
          <w:color w:val="auto"/>
        </w:rPr>
        <w:t>Subsections 2.1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w:t>
      </w:r>
      <w:r>
        <w:rPr>
          <w:rFonts w:ascii="Arial" w:cs="Arial" w:eastAsia="Arial" w:hAnsi="Arial"/>
          <w:sz w:val="15"/>
          <w:szCs w:val="15"/>
          <w:color w:val="auto"/>
        </w:rPr>
        <w:t xml:space="preserve"> after taking into account the previous payment of the Initial Consideration as part of the same transaction. For the purposes of this </w:t>
      </w:r>
      <w:r>
        <w:rPr>
          <w:rFonts w:ascii="Arial" w:cs="Arial" w:eastAsia="Arial" w:hAnsi="Arial"/>
          <w:sz w:val="15"/>
          <w:szCs w:val="15"/>
          <w:u w:val="single" w:color="auto"/>
          <w:color w:val="auto"/>
        </w:rPr>
        <w:t>Subsection 2.3.4</w:t>
      </w:r>
      <w:r>
        <w:rPr>
          <w:rFonts w:ascii="Arial" w:cs="Arial" w:eastAsia="Arial" w:hAnsi="Arial"/>
          <w:sz w:val="15"/>
          <w:szCs w:val="15"/>
          <w:color w:val="auto"/>
        </w:rPr>
        <w:t xml:space="preserve"> consideration placed into escrow or retained as holdback to be available for satisfaction of indemnification or similar obligations in connection with such Deemed Liquidation Event shall be deemed to be Additional Consideration.</w:t>
      </w:r>
    </w:p>
    <w:p>
      <w:pPr>
        <w:spacing w:after="0" w:line="155" w:lineRule="exact"/>
        <w:rPr>
          <w:sz w:val="20"/>
          <w:szCs w:val="20"/>
          <w:color w:val="auto"/>
        </w:rPr>
      </w:pPr>
    </w:p>
    <w:p>
      <w:pPr>
        <w:ind w:right="80" w:firstLine="1917"/>
        <w:spacing w:after="0" w:line="304"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u w:val="single" w:color="auto"/>
          <w:color w:val="auto"/>
        </w:rPr>
        <w:t>Distribution Amount</w:t>
      </w:r>
      <w:r>
        <w:rPr>
          <w:rFonts w:ascii="Arial" w:cs="Arial" w:eastAsia="Arial" w:hAnsi="Arial"/>
          <w:sz w:val="15"/>
          <w:szCs w:val="15"/>
          <w:color w:val="auto"/>
        </w:rPr>
        <w:t xml:space="preserve">. In the event that the Board of Directors of the Corporation elects to distribute the proceeds (cash or otherwise) to its stockholders resulting from (a) any sale or other transfer of its securities not deemed a Deemed Liquidation Event referred to in </w:t>
      </w:r>
      <w:r>
        <w:rPr>
          <w:rFonts w:ascii="Arial" w:cs="Arial" w:eastAsia="Arial" w:hAnsi="Arial"/>
          <w:sz w:val="15"/>
          <w:szCs w:val="15"/>
          <w:u w:val="single" w:color="auto"/>
          <w:color w:val="auto"/>
        </w:rPr>
        <w:t>Subsections 2.3.1(a)(ii)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2.3.1(b)</w:t>
      </w:r>
      <w:r>
        <w:rPr>
          <w:rFonts w:ascii="Arial" w:cs="Arial" w:eastAsia="Arial" w:hAnsi="Arial"/>
          <w:sz w:val="15"/>
          <w:szCs w:val="15"/>
          <w:color w:val="auto"/>
        </w:rPr>
        <w:t xml:space="preserve">, or (b) any sale, lease, transfer, exclusive license or other disposition of its assets not deemed a Deemed Liquidation Event referred to in </w:t>
      </w:r>
      <w:r>
        <w:rPr>
          <w:rFonts w:ascii="Arial" w:cs="Arial" w:eastAsia="Arial" w:hAnsi="Arial"/>
          <w:sz w:val="15"/>
          <w:szCs w:val="15"/>
          <w:u w:val="single" w:color="auto"/>
          <w:color w:val="auto"/>
        </w:rPr>
        <w:t>Subsection 2.3(b)</w:t>
      </w:r>
      <w:r>
        <w:rPr>
          <w:rFonts w:ascii="Arial" w:cs="Arial" w:eastAsia="Arial" w:hAnsi="Arial"/>
          <w:sz w:val="15"/>
          <w:szCs w:val="15"/>
          <w:color w:val="auto"/>
        </w:rPr>
        <w:t>, then such proceeds resulting therefrom (including in respect of any ongoing payments, such as a royalty or milestone payment) (a “</w:t>
      </w:r>
      <w:r>
        <w:rPr>
          <w:rFonts w:ascii="Arial" w:cs="Arial" w:eastAsia="Arial" w:hAnsi="Arial"/>
          <w:sz w:val="15"/>
          <w:szCs w:val="15"/>
          <w:b w:val="1"/>
          <w:bCs w:val="1"/>
          <w:color w:val="auto"/>
        </w:rPr>
        <w:t>Distribution Amount</w:t>
      </w:r>
      <w:r>
        <w:rPr>
          <w:rFonts w:ascii="Arial" w:cs="Arial" w:eastAsia="Arial" w:hAnsi="Arial"/>
          <w:sz w:val="15"/>
          <w:szCs w:val="15"/>
          <w:color w:val="auto"/>
        </w:rPr>
        <w:t xml:space="preserve">”) will be distributed in accordance with </w:t>
      </w:r>
      <w:r>
        <w:rPr>
          <w:rFonts w:ascii="Arial" w:cs="Arial" w:eastAsia="Arial" w:hAnsi="Arial"/>
          <w:sz w:val="15"/>
          <w:szCs w:val="15"/>
          <w:u w:val="single" w:color="auto"/>
          <w:color w:val="auto"/>
        </w:rPr>
        <w:t>Subsections 2.1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w:t>
      </w:r>
      <w:r>
        <w:rPr>
          <w:rFonts w:ascii="Arial" w:cs="Arial" w:eastAsia="Arial" w:hAnsi="Arial"/>
          <w:sz w:val="15"/>
          <w:szCs w:val="15"/>
          <w:color w:val="auto"/>
        </w:rPr>
        <w:t xml:space="preserve"> above and deemed an advance payment of the liquidation payments due upon a Deemed Liquidation Event, and not deemed as a dividend declared pursuant to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above.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620" w:top="271" w:right="639" w:bottom="1440" w:gutter="0" w:footer="0" w:header="0"/>
        </w:sectPr>
      </w:pPr>
    </w:p>
    <w:bookmarkStart w:id="213" w:name="page214"/>
    <w:bookmarkEnd w:id="213"/>
    <w:p>
      <w:pPr>
        <w:ind w:left="1140" w:hanging="183"/>
        <w:spacing w:after="0"/>
        <w:tabs>
          <w:tab w:leader="none" w:pos="114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Voting</w:t>
      </w:r>
      <w:r>
        <w:rPr>
          <w:rFonts w:ascii="Arial" w:cs="Arial" w:eastAsia="Arial" w:hAnsi="Arial"/>
          <w:sz w:val="17"/>
          <w:szCs w:val="17"/>
          <w:color w:val="auto"/>
        </w:rPr>
        <w:t>.</w:t>
      </w:r>
    </w:p>
    <w:p>
      <w:pPr>
        <w:spacing w:after="0" w:line="222" w:lineRule="exact"/>
        <w:rPr>
          <w:sz w:val="20"/>
          <w:szCs w:val="20"/>
          <w:color w:val="auto"/>
        </w:rPr>
      </w:pPr>
    </w:p>
    <w:p>
      <w:pPr>
        <w:ind w:firstLine="1385"/>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165" w:lineRule="exact"/>
        <w:rPr>
          <w:sz w:val="20"/>
          <w:szCs w:val="20"/>
          <w:color w:val="auto"/>
        </w:rPr>
      </w:pPr>
    </w:p>
    <w:p>
      <w:pPr>
        <w:ind w:firstLine="1385"/>
        <w:spacing w:after="0" w:line="29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Election of Directors</w:t>
      </w:r>
      <w:r>
        <w:rPr>
          <w:rFonts w:ascii="Arial" w:cs="Arial" w:eastAsia="Arial" w:hAnsi="Arial"/>
          <w:sz w:val="15"/>
          <w:szCs w:val="15"/>
          <w:color w:val="auto"/>
        </w:rPr>
        <w:t>. The holders of record of the shares of Series A Preferred Stock, exclusively and as a separate class, shall be entitled to elect five (5) directors of the Corporation (the “</w:t>
      </w:r>
      <w:r>
        <w:rPr>
          <w:rFonts w:ascii="Arial" w:cs="Arial" w:eastAsia="Arial" w:hAnsi="Arial"/>
          <w:sz w:val="15"/>
          <w:szCs w:val="15"/>
          <w:b w:val="1"/>
          <w:bCs w:val="1"/>
          <w:color w:val="auto"/>
        </w:rPr>
        <w:t>Series A Directors</w:t>
      </w:r>
      <w:r>
        <w:rPr>
          <w:rFonts w:ascii="Arial" w:cs="Arial" w:eastAsia="Arial" w:hAnsi="Arial"/>
          <w:sz w:val="15"/>
          <w:szCs w:val="15"/>
          <w:color w:val="auto"/>
        </w:rPr>
        <w:t>”), the holders of record of the shares of Series B-1 Preferred Stock, exclusively and as a separate class, shall be entitled to elect one (1) director of the Corporation (the “</w:t>
      </w:r>
      <w:r>
        <w:rPr>
          <w:rFonts w:ascii="Arial" w:cs="Arial" w:eastAsia="Arial" w:hAnsi="Arial"/>
          <w:sz w:val="15"/>
          <w:szCs w:val="15"/>
          <w:b w:val="1"/>
          <w:bCs w:val="1"/>
          <w:color w:val="auto"/>
        </w:rPr>
        <w:t>Series B Director,</w:t>
      </w:r>
      <w:r>
        <w:rPr>
          <w:rFonts w:ascii="Arial" w:cs="Arial" w:eastAsia="Arial" w:hAnsi="Arial"/>
          <w:sz w:val="15"/>
          <w:szCs w:val="15"/>
          <w:color w:val="auto"/>
        </w:rPr>
        <w:t>” together with the Series A Directors, the “</w:t>
      </w:r>
      <w:r>
        <w:rPr>
          <w:rFonts w:ascii="Arial" w:cs="Arial" w:eastAsia="Arial" w:hAnsi="Arial"/>
          <w:sz w:val="15"/>
          <w:szCs w:val="15"/>
          <w:b w:val="1"/>
          <w:bCs w:val="1"/>
          <w:color w:val="auto"/>
        </w:rPr>
        <w:t>Preferred Directors</w:t>
      </w:r>
      <w:r>
        <w:rPr>
          <w:rFonts w:ascii="Arial" w:cs="Arial" w:eastAsia="Arial" w:hAnsi="Arial"/>
          <w:sz w:val="15"/>
          <w:szCs w:val="15"/>
          <w:color w:val="auto"/>
        </w:rPr>
        <w:t xml:space="preserve">”) and the holders of record of the shares of Common Stock, exclusively and as a separate class, shall be entitled to elect one (1) 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B-1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5"/>
          <w:szCs w:val="15"/>
          <w:u w:val="single" w:color="auto"/>
          <w:color w:val="auto"/>
        </w:rPr>
        <w:t>Subsection 3.2</w:t>
      </w:r>
      <w:r>
        <w:rPr>
          <w:rFonts w:ascii="Arial" w:cs="Arial" w:eastAsia="Arial" w:hAnsi="Arial"/>
          <w:sz w:val="15"/>
          <w:szCs w:val="15"/>
          <w:color w:val="auto"/>
        </w:rPr>
        <w:t xml:space="preserve"> then any directorship not so filled shall remain vacant until such time as the holders of the Series A Preferred Stock, Series B-1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5"/>
          <w:szCs w:val="15"/>
          <w:u w:val="single" w:color="auto"/>
          <w:color w:val="auto"/>
        </w:rPr>
        <w:t>Subsection 3.2</w:t>
      </w:r>
      <w:r>
        <w:rPr>
          <w:rFonts w:ascii="Arial" w:cs="Arial" w:eastAsia="Arial" w:hAnsi="Arial"/>
          <w:sz w:val="15"/>
          <w:szCs w:val="15"/>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5"/>
          <w:szCs w:val="15"/>
          <w:u w:val="single" w:color="auto"/>
          <w:color w:val="auto"/>
        </w:rPr>
        <w:t>Subsection 3.2</w:t>
      </w:r>
      <w:r>
        <w:rPr>
          <w:rFonts w:ascii="Arial" w:cs="Arial" w:eastAsia="Arial" w:hAnsi="Arial"/>
          <w:sz w:val="15"/>
          <w:szCs w:val="15"/>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620" w:top="271" w:right="639" w:bottom="1440" w:gutter="0" w:footer="0" w:header="0"/>
        </w:sectPr>
      </w:pPr>
    </w:p>
    <w:bookmarkStart w:id="214" w:name="page215"/>
    <w:bookmarkEnd w:id="214"/>
    <w:p>
      <w:pPr>
        <w:ind w:left="1140" w:hanging="183"/>
        <w:spacing w:after="0"/>
        <w:tabs>
          <w:tab w:leader="none" w:pos="114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Optional Conversion</w:t>
      </w:r>
      <w:r>
        <w:rPr>
          <w:rFonts w:ascii="Arial" w:cs="Arial" w:eastAsia="Arial" w:hAnsi="Arial"/>
          <w:sz w:val="17"/>
          <w:szCs w:val="17"/>
          <w:color w:val="auto"/>
        </w:rPr>
        <w: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holders of Preferred Stock shall have conversion rights as follows (the “</w:t>
      </w:r>
      <w:r>
        <w:rPr>
          <w:rFonts w:ascii="Arial" w:cs="Arial" w:eastAsia="Arial" w:hAnsi="Arial"/>
          <w:sz w:val="17"/>
          <w:szCs w:val="17"/>
          <w:b w:val="1"/>
          <w:bCs w:val="1"/>
          <w:color w:val="auto"/>
        </w:rPr>
        <w:t>Conversion Rights</w:t>
      </w:r>
      <w:r>
        <w:rPr>
          <w:rFonts w:ascii="Arial" w:cs="Arial" w:eastAsia="Arial" w:hAnsi="Arial"/>
          <w:sz w:val="17"/>
          <w:szCs w:val="17"/>
          <w:color w:val="auto"/>
        </w:rPr>
        <w:t>”):</w:t>
      </w:r>
    </w:p>
    <w:p>
      <w:pPr>
        <w:spacing w:after="0" w:line="12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Convert</w:t>
      </w:r>
      <w:r>
        <w:rPr>
          <w:rFonts w:ascii="Arial" w:cs="Arial" w:eastAsia="Arial" w:hAnsi="Arial"/>
          <w:sz w:val="17"/>
          <w:szCs w:val="17"/>
          <w:color w:val="auto"/>
        </w:rPr>
        <w:t>.</w:t>
      </w:r>
    </w:p>
    <w:p>
      <w:pPr>
        <w:spacing w:after="0" w:line="222"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Conversion Ratio</w:t>
      </w:r>
      <w:r>
        <w:rPr>
          <w:rFonts w:ascii="Arial" w:cs="Arial" w:eastAsia="Arial" w:hAnsi="Arial"/>
          <w:sz w:val="15"/>
          <w:szCs w:val="15"/>
          <w:color w:val="auto"/>
        </w:rPr>
        <w:t>. Each share of each series of Preferred Stock shall be convertible, at the option of the holder thereof,</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at any time and from time to time, and without the payment of additional consideration by the holder thereof, into such number of fully paid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non-assessable shares of Common Stock as is determined by dividing the applicable Original Issue Price for such series by the applicable Conversion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Price (as defined below) for such series in effect at the time of conversion.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$1.00.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A-1 Conversion Price</w:t>
      </w:r>
      <w:r>
        <w:rPr>
          <w:rFonts w:ascii="Arial" w:cs="Arial" w:eastAsia="Arial" w:hAnsi="Arial"/>
          <w:sz w:val="16"/>
          <w:szCs w:val="16"/>
          <w:color w:val="auto"/>
        </w:rPr>
        <w:t>” shall initially be equal to $1.25. The “</w:t>
      </w:r>
      <w:r>
        <w:rPr>
          <w:rFonts w:ascii="Arial" w:cs="Arial" w:eastAsia="Arial" w:hAnsi="Arial"/>
          <w:sz w:val="16"/>
          <w:szCs w:val="16"/>
          <w:b w:val="1"/>
          <w:bCs w:val="1"/>
          <w:color w:val="auto"/>
        </w:rPr>
        <w:t>Series B-1 Conversion Price</w:t>
      </w:r>
      <w:r>
        <w:rPr>
          <w:rFonts w:ascii="Arial" w:cs="Arial" w:eastAsia="Arial" w:hAnsi="Arial"/>
          <w:sz w:val="16"/>
          <w:szCs w:val="16"/>
          <w:color w:val="auto"/>
        </w:rPr>
        <w:t>” shall initially be equal to $3.3557. The “</w:t>
      </w:r>
      <w:r>
        <w:rPr>
          <w:rFonts w:ascii="Arial" w:cs="Arial" w:eastAsia="Arial" w:hAnsi="Arial"/>
          <w:sz w:val="16"/>
          <w:szCs w:val="16"/>
          <w:b w:val="1"/>
          <w:bCs w:val="1"/>
          <w:color w:val="auto"/>
        </w:rPr>
        <w:t>Series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B-2 Conversion Price</w:t>
      </w:r>
      <w:r>
        <w:rPr>
          <w:rFonts w:ascii="Arial" w:cs="Arial" w:eastAsia="Arial" w:hAnsi="Arial"/>
          <w:sz w:val="16"/>
          <w:szCs w:val="16"/>
          <w:color w:val="auto"/>
        </w:rPr>
        <w:t>” shall initially be equal to $3.7546. The initial Conversion Price for each series of Preferred Stock, and the rate at which such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shares of Preferred Stock may be converted into shares of Common Stock, shall be subject to adjustment as provided below.</w:t>
      </w:r>
    </w:p>
    <w:p>
      <w:pPr>
        <w:spacing w:after="0" w:line="210" w:lineRule="exact"/>
        <w:rPr>
          <w:sz w:val="20"/>
          <w:szCs w:val="20"/>
          <w:color w:val="auto"/>
        </w:rPr>
      </w:pPr>
    </w:p>
    <w:p>
      <w:pPr>
        <w:ind w:firstLine="1917"/>
        <w:spacing w:after="0" w:line="272"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Termination of Conversion Rights</w:t>
      </w:r>
      <w:r>
        <w:rPr>
          <w:rFonts w:ascii="Arial" w:cs="Arial" w:eastAsia="Arial" w:hAnsi="Arial"/>
          <w:sz w:val="17"/>
          <w:szCs w:val="17"/>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71" w:lineRule="exact"/>
        <w:rPr>
          <w:sz w:val="20"/>
          <w:szCs w:val="20"/>
          <w:color w:val="auto"/>
        </w:rPr>
      </w:pPr>
    </w:p>
    <w:p>
      <w:pPr>
        <w:ind w:right="100" w:firstLine="1385"/>
        <w:spacing w:after="0" w:line="28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Mechanics of Conversion</w:t>
      </w:r>
      <w:r>
        <w:rPr>
          <w:rFonts w:ascii="Arial" w:cs="Arial" w:eastAsia="Arial" w:hAnsi="Arial"/>
          <w:sz w:val="17"/>
          <w:szCs w:val="17"/>
          <w:color w:val="auto"/>
        </w:rPr>
        <w:t>.</w:t>
      </w:r>
    </w:p>
    <w:p>
      <w:pPr>
        <w:spacing w:after="0" w:line="222" w:lineRule="exact"/>
        <w:rPr>
          <w:sz w:val="20"/>
          <w:szCs w:val="20"/>
          <w:color w:val="auto"/>
        </w:rPr>
      </w:pPr>
    </w:p>
    <w:p>
      <w:pPr>
        <w:ind w:right="40" w:firstLine="1917"/>
        <w:spacing w:after="0" w:line="27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0"/>
          </w:cols>
          <w:pgMar w:left="620" w:top="271" w:right="639" w:bottom="1440" w:gutter="0" w:footer="0" w:header="0"/>
        </w:sectPr>
      </w:pPr>
    </w:p>
    <w:bookmarkStart w:id="215" w:name="page216"/>
    <w:bookmarkEnd w:id="215"/>
    <w:p>
      <w:pPr>
        <w:ind w:right="6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83" w:lineRule="exact"/>
        <w:rPr>
          <w:sz w:val="20"/>
          <w:szCs w:val="20"/>
          <w:color w:val="auto"/>
        </w:rPr>
      </w:pPr>
    </w:p>
    <w:p>
      <w:pPr>
        <w:ind w:firstLine="1917"/>
        <w:spacing w:after="0" w:line="298" w:lineRule="auto"/>
        <w:rPr>
          <w:sz w:val="20"/>
          <w:szCs w:val="20"/>
          <w:color w:val="auto"/>
        </w:rPr>
      </w:pPr>
      <w:r>
        <w:rPr>
          <w:rFonts w:ascii="Arial" w:cs="Arial" w:eastAsia="Arial" w:hAnsi="Arial"/>
          <w:sz w:val="15"/>
          <w:szCs w:val="15"/>
          <w:color w:val="auto"/>
        </w:rPr>
        <w:t xml:space="preserve">4.3.2 </w:t>
      </w:r>
      <w:r>
        <w:rPr>
          <w:rFonts w:ascii="Arial" w:cs="Arial" w:eastAsia="Arial" w:hAnsi="Arial"/>
          <w:sz w:val="15"/>
          <w:szCs w:val="15"/>
          <w:u w:val="single" w:color="auto"/>
          <w:color w:val="auto"/>
        </w:rPr>
        <w:t>Reservation of Shares</w:t>
      </w:r>
      <w:r>
        <w:rPr>
          <w:rFonts w:ascii="Arial" w:cs="Arial" w:eastAsia="Arial" w:hAnsi="Arial"/>
          <w:sz w:val="15"/>
          <w:szCs w:val="15"/>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applicable to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filly paid and non-assessable shares of Common Stock at such applicable adjusted Conversion Price.</w:t>
      </w:r>
    </w:p>
    <w:p>
      <w:pPr>
        <w:spacing w:after="0" w:line="156" w:lineRule="exact"/>
        <w:rPr>
          <w:sz w:val="20"/>
          <w:szCs w:val="20"/>
          <w:color w:val="auto"/>
        </w:rPr>
      </w:pPr>
    </w:p>
    <w:p>
      <w:pPr>
        <w:ind w:right="80" w:firstLine="1917"/>
        <w:spacing w:after="0" w:line="261"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3" w:lineRule="exact"/>
        <w:rPr>
          <w:sz w:val="20"/>
          <w:szCs w:val="20"/>
          <w:color w:val="auto"/>
        </w:rPr>
      </w:pPr>
    </w:p>
    <w:p>
      <w:pPr>
        <w:ind w:right="20" w:firstLine="1917"/>
        <w:spacing w:after="0" w:line="320"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0"/>
          </w:cols>
          <w:pgMar w:left="620" w:top="271" w:right="639" w:bottom="1440" w:gutter="0" w:footer="0" w:header="0"/>
        </w:sectPr>
      </w:pPr>
    </w:p>
    <w:bookmarkStart w:id="216" w:name="page217"/>
    <w:bookmarkEnd w:id="216"/>
    <w:p>
      <w:pPr>
        <w:ind w:right="60" w:firstLine="1917"/>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4.3.5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Adjustments to Conversion Price for Diluting Issues</w:t>
      </w:r>
      <w:r>
        <w:rPr>
          <w:rFonts w:ascii="Arial" w:cs="Arial" w:eastAsia="Arial" w:hAnsi="Arial"/>
          <w:sz w:val="17"/>
          <w:szCs w:val="17"/>
          <w:color w:val="auto"/>
        </w:rPr>
        <w:t>.</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u w:val="single" w:color="auto"/>
          <w:color w:val="auto"/>
        </w:rPr>
        <w:t>Special Definitions</w:t>
      </w:r>
      <w:r>
        <w:rPr>
          <w:rFonts w:ascii="Arial" w:cs="Arial" w:eastAsia="Arial" w:hAnsi="Arial"/>
          <w:sz w:val="17"/>
          <w:szCs w:val="17"/>
          <w:color w:val="auto"/>
        </w:rPr>
        <w:t>. For purposes of this Article Fourth, the following definitions shall apply:</w:t>
      </w:r>
    </w:p>
    <w:p>
      <w:pPr>
        <w:spacing w:after="0" w:line="11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Convertible Securities.</w:t>
      </w:r>
    </w:p>
    <w:p>
      <w:pPr>
        <w:spacing w:after="0" w:line="20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Series B-1 Original Issue Date</w:t>
      </w:r>
      <w:r>
        <w:rPr>
          <w:rFonts w:ascii="Arial" w:cs="Arial" w:eastAsia="Arial" w:hAnsi="Arial"/>
          <w:sz w:val="16"/>
          <w:szCs w:val="16"/>
          <w:color w:val="auto"/>
        </w:rPr>
        <w:t>” shall mean the date on which the first share of Series B-1 Preferred Stock was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issued.</w:t>
      </w:r>
    </w:p>
    <w:p>
      <w:pPr>
        <w:spacing w:after="0" w:line="204" w:lineRule="exact"/>
        <w:rPr>
          <w:sz w:val="20"/>
          <w:szCs w:val="20"/>
          <w:color w:val="auto"/>
        </w:rPr>
      </w:pPr>
    </w:p>
    <w:p>
      <w:pPr>
        <w:ind w:right="20" w:firstLine="2341"/>
        <w:spacing w:after="0" w:line="295" w:lineRule="auto"/>
        <w:tabs>
          <w:tab w:leader="none" w:pos="25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Securities</w:t>
      </w:r>
      <w:r>
        <w:rPr>
          <w:rFonts w:ascii="Arial" w:cs="Arial" w:eastAsia="Arial" w:hAnsi="Arial"/>
          <w:sz w:val="17"/>
          <w:szCs w:val="17"/>
          <w:color w:val="auto"/>
        </w:rPr>
        <w:t>” shall mean any evidences of indebtedness, shares or other securities directly or indirectly convertible into or exchangeable for Common Stock, but excluding Options.</w:t>
      </w:r>
    </w:p>
    <w:p>
      <w:pPr>
        <w:spacing w:after="0" w:line="146" w:lineRule="exact"/>
        <w:rPr>
          <w:rFonts w:ascii="Arial" w:cs="Arial" w:eastAsia="Arial" w:hAnsi="Arial"/>
          <w:sz w:val="17"/>
          <w:szCs w:val="17"/>
          <w:color w:val="auto"/>
        </w:rPr>
      </w:pPr>
    </w:p>
    <w:p>
      <w:pPr>
        <w:ind w:right="440" w:firstLine="2341"/>
        <w:spacing w:after="0" w:line="269" w:lineRule="auto"/>
        <w:tabs>
          <w:tab w:leader="none" w:pos="259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Shares of Common Stock</w:t>
      </w:r>
      <w:r>
        <w:rPr>
          <w:rFonts w:ascii="Arial" w:cs="Arial" w:eastAsia="Arial" w:hAnsi="Arial"/>
          <w:sz w:val="17"/>
          <w:szCs w:val="17"/>
          <w:color w:val="auto"/>
        </w:rPr>
        <w:t xml:space="preserve">” shall mean all shares of Common Stock issued (or,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below, deemed to be issued) by the Corporation after the Series B-1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7"/>
          <w:szCs w:val="17"/>
          <w:b w:val="1"/>
          <w:bCs w:val="1"/>
          <w:color w:val="auto"/>
        </w:rPr>
        <w:t>Exempted Securities</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ind w:left="3280" w:right="480" w:hanging="619"/>
        <w:spacing w:after="0" w:line="287" w:lineRule="auto"/>
        <w:tabs>
          <w:tab w:leader="none" w:pos="32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 Preferred Stock;</w:t>
      </w:r>
    </w:p>
    <w:p>
      <w:pPr>
        <w:spacing w:after="0" w:line="67" w:lineRule="exact"/>
        <w:rPr>
          <w:rFonts w:ascii="Arial" w:cs="Arial" w:eastAsia="Arial" w:hAnsi="Arial"/>
          <w:sz w:val="17"/>
          <w:szCs w:val="17"/>
          <w:color w:val="auto"/>
        </w:rPr>
      </w:pPr>
    </w:p>
    <w:p>
      <w:pPr>
        <w:ind w:left="3280" w:right="180" w:hanging="619"/>
        <w:spacing w:after="0" w:line="272" w:lineRule="auto"/>
        <w:tabs>
          <w:tab w:leader="none" w:pos="32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7"/>
          <w:szCs w:val="17"/>
          <w:u w:val="single" w:color="auto"/>
          <w:color w:val="auto"/>
        </w:rPr>
        <w:t>Subsection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4.6 4.7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4.8</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3280" w:hanging="619"/>
        <w:spacing w:after="0" w:line="296" w:lineRule="auto"/>
        <w:tabs>
          <w:tab w:leader="none" w:pos="32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 including a majority of the Preferred Directors;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620" w:top="270" w:right="639" w:bottom="1440" w:gutter="0" w:footer="0" w:header="0"/>
        </w:sectPr>
      </w:pPr>
    </w:p>
    <w:bookmarkStart w:id="217" w:name="page218"/>
    <w:bookmarkEnd w:id="217"/>
    <w:p>
      <w:pPr>
        <w:ind w:left="3280" w:right="40" w:hanging="619"/>
        <w:spacing w:after="0" w:line="296" w:lineRule="auto"/>
        <w:tabs>
          <w:tab w:leader="none" w:pos="32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63" w:lineRule="exact"/>
        <w:rPr>
          <w:rFonts w:ascii="Arial" w:cs="Arial" w:eastAsia="Arial" w:hAnsi="Arial"/>
          <w:sz w:val="16"/>
          <w:szCs w:val="16"/>
          <w:color w:val="auto"/>
        </w:rPr>
      </w:pPr>
    </w:p>
    <w:p>
      <w:pPr>
        <w:ind w:left="3280" w:right="80" w:hanging="619"/>
        <w:spacing w:after="0" w:line="266" w:lineRule="auto"/>
        <w:tabs>
          <w:tab w:leader="none" w:pos="3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86" w:lineRule="exact"/>
        <w:rPr>
          <w:rFonts w:ascii="Arial" w:cs="Arial" w:eastAsia="Arial" w:hAnsi="Arial"/>
          <w:sz w:val="17"/>
          <w:szCs w:val="17"/>
          <w:color w:val="auto"/>
        </w:rPr>
      </w:pPr>
    </w:p>
    <w:p>
      <w:pPr>
        <w:ind w:left="3280" w:right="20" w:hanging="619"/>
        <w:spacing w:after="0" w:line="266" w:lineRule="auto"/>
        <w:tabs>
          <w:tab w:leader="none" w:pos="3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issuances are approved by the Board of Directors of the Corporation, including a majority of the Preferred Directors; or</w:t>
      </w:r>
    </w:p>
    <w:p>
      <w:pPr>
        <w:spacing w:after="0" w:line="86" w:lineRule="exact"/>
        <w:rPr>
          <w:rFonts w:ascii="Arial" w:cs="Arial" w:eastAsia="Arial" w:hAnsi="Arial"/>
          <w:sz w:val="17"/>
          <w:szCs w:val="17"/>
          <w:color w:val="auto"/>
        </w:rPr>
      </w:pPr>
    </w:p>
    <w:p>
      <w:pPr>
        <w:ind w:left="3280" w:right="160" w:hanging="619"/>
        <w:spacing w:after="0" w:line="284" w:lineRule="auto"/>
        <w:tabs>
          <w:tab w:leader="none" w:pos="32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 (including, but not limited to, that certain Exclusive Patent License Agreement between the Corporation and The General Hospital Corporation).</w:t>
      </w:r>
    </w:p>
    <w:p>
      <w:pPr>
        <w:spacing w:after="0" w:line="165" w:lineRule="exact"/>
        <w:rPr>
          <w:sz w:val="20"/>
          <w:szCs w:val="20"/>
          <w:color w:val="auto"/>
        </w:rPr>
      </w:pPr>
    </w:p>
    <w:p>
      <w:pPr>
        <w:ind w:firstLine="1917"/>
        <w:spacing w:after="0" w:line="264"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No adjustment in the Conversion Price applicable to a series of Preferred Stock shall be made as the result of the issuance or deemed issuance of Additional Shares of Common Stock if the Corporation receives written notice from the holders of at least eighty percent (80%) of the then outstanding shares of Preferred Stock, (voting together as a single class and not as separate series, and on an as-converted basis) agreeing that no such adjustment shall be made as the result of the issuance or deemed issuance of such Additional Shares of Common Stock.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70" w:right="639" w:bottom="1440" w:gutter="0" w:footer="0" w:header="0"/>
        </w:sectPr>
      </w:pPr>
    </w:p>
    <w:bookmarkStart w:id="218" w:name="page219"/>
    <w:bookmarkEnd w:id="218"/>
    <w:p>
      <w:pPr>
        <w:ind w:left="1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4.4.3 </w:t>
      </w:r>
      <w:r>
        <w:rPr>
          <w:rFonts w:ascii="Arial" w:cs="Arial" w:eastAsia="Arial" w:hAnsi="Arial"/>
          <w:sz w:val="17"/>
          <w:szCs w:val="17"/>
          <w:u w:val="single" w:color="auto"/>
          <w:color w:val="auto"/>
        </w:rPr>
        <w:t>Deemed Issue of Additional Shares of Common Stock</w:t>
      </w:r>
      <w:r>
        <w:rPr>
          <w:rFonts w:ascii="Arial" w:cs="Arial" w:eastAsia="Arial" w:hAnsi="Arial"/>
          <w:sz w:val="17"/>
          <w:szCs w:val="17"/>
          <w:color w:val="auto"/>
        </w:rPr>
        <w:t>.</w:t>
      </w:r>
    </w:p>
    <w:p>
      <w:pPr>
        <w:spacing w:after="0" w:line="222" w:lineRule="exact"/>
        <w:rPr>
          <w:sz w:val="20"/>
          <w:szCs w:val="20"/>
          <w:color w:val="auto"/>
        </w:rPr>
      </w:pPr>
    </w:p>
    <w:p>
      <w:pPr>
        <w:ind w:right="40" w:firstLine="2341"/>
        <w:spacing w:after="0" w:line="260" w:lineRule="auto"/>
        <w:tabs>
          <w:tab w:leader="none" w:pos="25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Series B-1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5" w:lineRule="exact"/>
        <w:rPr>
          <w:rFonts w:ascii="Arial" w:cs="Arial" w:eastAsia="Arial" w:hAnsi="Arial"/>
          <w:sz w:val="17"/>
          <w:szCs w:val="17"/>
          <w:color w:val="auto"/>
        </w:rPr>
      </w:pPr>
    </w:p>
    <w:p>
      <w:pPr>
        <w:ind w:firstLine="2341"/>
        <w:spacing w:after="0" w:line="295" w:lineRule="auto"/>
        <w:tabs>
          <w:tab w:leader="none" w:pos="259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If the terms of any Option or Convertible Security, the issuance of which resulted in an adjustment to the applicable Conversion Price of a series of Preferred Stock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for such series of Preferred Stock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for a series of Preferred Stock to an amount which exceeds the lower of (i) the applicable Conversion Price for such series of Preferred Stock in effect immediately prior to the original adjustment made as a result of the issuance of such Option or Convertible Security, or (ii) the applicable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4" w:lineRule="exact"/>
        <w:rPr>
          <w:rFonts w:ascii="Arial" w:cs="Arial" w:eastAsia="Arial" w:hAnsi="Arial"/>
          <w:sz w:val="15"/>
          <w:szCs w:val="15"/>
          <w:color w:val="auto"/>
        </w:rPr>
      </w:pPr>
    </w:p>
    <w:p>
      <w:pPr>
        <w:ind w:right="20" w:firstLine="2341"/>
        <w:spacing w:after="0" w:line="288" w:lineRule="auto"/>
        <w:tabs>
          <w:tab w:leader="none" w:pos="25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applicable Conversion Price for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of the Additional Shares of Common Stock subject thereto was equal to or greater than the applicable Conversion Price then in effect, or because such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620" w:top="271" w:right="639" w:bottom="1440" w:gutter="0" w:footer="0" w:header="0"/>
        </w:sectPr>
      </w:pPr>
    </w:p>
    <w:bookmarkStart w:id="219" w:name="page220"/>
    <w:bookmarkEnd w:id="219"/>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Option or Convertible Security was issued before the Series B-1 Original Issue Date), are revised after the Series B-1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xml:space="preserve"> shall be deemed to have been issued effective upon such increase or decrease becoming effective.</w:t>
      </w:r>
    </w:p>
    <w:p>
      <w:pPr>
        <w:spacing w:after="0" w:line="168" w:lineRule="exact"/>
        <w:rPr>
          <w:sz w:val="20"/>
          <w:szCs w:val="20"/>
          <w:color w:val="auto"/>
        </w:rPr>
      </w:pPr>
    </w:p>
    <w:p>
      <w:pPr>
        <w:ind w:firstLine="2341"/>
        <w:spacing w:after="0" w:line="313" w:lineRule="auto"/>
        <w:tabs>
          <w:tab w:leader="none" w:pos="259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for a series of Preferred Stock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the applicable Conversion Price for such series of Preferred Stock shall be readjusted to such Conversion Price as would have obtained had such Option or Convertible Security (or portion thereof) never been issued.</w:t>
      </w:r>
    </w:p>
    <w:p>
      <w:pPr>
        <w:spacing w:after="0" w:line="144" w:lineRule="exact"/>
        <w:rPr>
          <w:rFonts w:ascii="Arial" w:cs="Arial" w:eastAsia="Arial" w:hAnsi="Arial"/>
          <w:sz w:val="15"/>
          <w:szCs w:val="15"/>
          <w:color w:val="auto"/>
        </w:rPr>
      </w:pPr>
    </w:p>
    <w:p>
      <w:pPr>
        <w:ind w:firstLine="2341"/>
        <w:spacing w:after="0" w:line="276" w:lineRule="auto"/>
        <w:tabs>
          <w:tab w:leader="none" w:pos="25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for a series of Preferred Stock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for a series of Preferred Stock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6" w:lineRule="exact"/>
        <w:rPr>
          <w:sz w:val="20"/>
          <w:szCs w:val="20"/>
          <w:color w:val="auto"/>
        </w:rPr>
      </w:pPr>
    </w:p>
    <w:p>
      <w:pPr>
        <w:ind w:right="120" w:firstLine="1917"/>
        <w:spacing w:after="0" w:line="262"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Series B-1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Conversion Price applicable to a series of Preferred Stock in effect immediately prior to such issue, then the applicable Conversion Price for each series of Preferred Stock shall be reduced, concurrently with such issue, to a price (calculated to the nearest one-hundredth of a cent) determined in accordance with the following formula: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CP</w:t>
      </w:r>
      <w:r>
        <w:rPr>
          <w:rFonts w:ascii="Arial" w:cs="Arial" w:eastAsia="Arial" w:hAnsi="Arial"/>
          <w:sz w:val="14"/>
          <w:szCs w:val="14"/>
          <w:color w:val="auto"/>
        </w:rPr>
        <w:t>2</w:t>
      </w:r>
      <w:r>
        <w:rPr>
          <w:rFonts w:ascii="Arial" w:cs="Arial" w:eastAsia="Arial" w:hAnsi="Arial"/>
          <w:sz w:val="17"/>
          <w:szCs w:val="17"/>
          <w:color w:val="auto"/>
        </w:rPr>
        <w:t xml:space="preserve"> =CP</w:t>
      </w:r>
      <w:r>
        <w:rPr>
          <w:rFonts w:ascii="Arial" w:cs="Arial" w:eastAsia="Arial" w:hAnsi="Arial"/>
          <w:sz w:val="14"/>
          <w:szCs w:val="14"/>
          <w:color w:val="auto"/>
        </w:rPr>
        <w:t>1</w:t>
      </w:r>
      <w:r>
        <w:rPr>
          <w:rFonts w:ascii="Arial" w:cs="Arial" w:eastAsia="Arial" w:hAnsi="Arial"/>
          <w:sz w:val="17"/>
          <w:szCs w:val="17"/>
          <w:color w:val="auto"/>
        </w:rPr>
        <w:t>* (A+B) ÷ (A+C).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20"/>
          </w:cols>
          <w:pgMar w:left="620" w:top="271" w:right="659" w:bottom="1440" w:gutter="0" w:footer="0" w:header="0"/>
        </w:sectPr>
      </w:pPr>
    </w:p>
    <w:bookmarkStart w:id="220" w:name="page221"/>
    <w:bookmarkEnd w:id="2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purposes of the foregoing formula, the following definitions shall apply:</w:t>
      </w:r>
    </w:p>
    <w:p>
      <w:pPr>
        <w:spacing w:after="0" w:line="118" w:lineRule="exact"/>
        <w:rPr>
          <w:sz w:val="20"/>
          <w:szCs w:val="20"/>
          <w:color w:val="auto"/>
        </w:rPr>
      </w:pPr>
    </w:p>
    <w:p>
      <w:pPr>
        <w:ind w:right="300" w:firstLine="2341"/>
        <w:spacing w:after="0" w:line="287" w:lineRule="auto"/>
        <w:tabs>
          <w:tab w:leader="none" w:pos="25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“CP</w:t>
      </w:r>
      <w:r>
        <w:rPr>
          <w:rFonts w:ascii="Arial" w:cs="Arial" w:eastAsia="Arial" w:hAnsi="Arial"/>
          <w:sz w:val="14"/>
          <w:szCs w:val="14"/>
          <w:color w:val="auto"/>
        </w:rPr>
        <w:t>2</w:t>
      </w:r>
      <w:r>
        <w:rPr>
          <w:rFonts w:ascii="Arial" w:cs="Arial" w:eastAsia="Arial" w:hAnsi="Arial"/>
          <w:sz w:val="17"/>
          <w:szCs w:val="17"/>
          <w:color w:val="auto"/>
        </w:rPr>
        <w:t>” shall mean the applicable Conversion Price for such series of Preferred Stock in effect immediately after such issue of Additional Shares of Common Stock;</w:t>
      </w:r>
    </w:p>
    <w:p>
      <w:pPr>
        <w:spacing w:after="0" w:line="159" w:lineRule="exact"/>
        <w:rPr>
          <w:rFonts w:ascii="Arial" w:cs="Arial" w:eastAsia="Arial" w:hAnsi="Arial"/>
          <w:sz w:val="17"/>
          <w:szCs w:val="17"/>
          <w:color w:val="auto"/>
        </w:rPr>
      </w:pPr>
    </w:p>
    <w:p>
      <w:pPr>
        <w:ind w:right="100" w:firstLine="2341"/>
        <w:spacing w:after="0" w:line="287" w:lineRule="auto"/>
        <w:tabs>
          <w:tab w:leader="none" w:pos="259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“CP</w:t>
      </w:r>
      <w:r>
        <w:rPr>
          <w:rFonts w:ascii="Arial" w:cs="Arial" w:eastAsia="Arial" w:hAnsi="Arial"/>
          <w:sz w:val="14"/>
          <w:szCs w:val="14"/>
          <w:color w:val="auto"/>
        </w:rPr>
        <w:t>1</w:t>
      </w:r>
      <w:r>
        <w:rPr>
          <w:rFonts w:ascii="Arial" w:cs="Arial" w:eastAsia="Arial" w:hAnsi="Arial"/>
          <w:sz w:val="17"/>
          <w:szCs w:val="17"/>
          <w:color w:val="auto"/>
        </w:rPr>
        <w:t>” shall mean the applicable Conversion Price for such series of Preferred Stock in effect immediately prior to such issue of Additional Shares of Common Stock;</w:t>
      </w:r>
    </w:p>
    <w:p>
      <w:pPr>
        <w:spacing w:after="0" w:line="159" w:lineRule="exact"/>
        <w:rPr>
          <w:rFonts w:ascii="Arial" w:cs="Arial" w:eastAsia="Arial" w:hAnsi="Arial"/>
          <w:sz w:val="17"/>
          <w:szCs w:val="17"/>
          <w:color w:val="auto"/>
        </w:rPr>
      </w:pPr>
    </w:p>
    <w:p>
      <w:pPr>
        <w:ind w:right="120" w:firstLine="2341"/>
        <w:spacing w:after="0" w:line="266" w:lineRule="auto"/>
        <w:tabs>
          <w:tab w:leader="none" w:pos="25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7" w:lineRule="exact"/>
        <w:rPr>
          <w:rFonts w:ascii="Arial" w:cs="Arial" w:eastAsia="Arial" w:hAnsi="Arial"/>
          <w:sz w:val="17"/>
          <w:szCs w:val="17"/>
          <w:color w:val="auto"/>
        </w:rPr>
      </w:pPr>
    </w:p>
    <w:p>
      <w:pPr>
        <w:ind w:right="180" w:firstLine="2341"/>
        <w:spacing w:after="0" w:line="272" w:lineRule="auto"/>
        <w:tabs>
          <w:tab w:leader="none" w:pos="259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 shall mean the number of shares of Common Stock that would have been issued 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17"/>
          <w:szCs w:val="17"/>
          <w:color w:val="auto"/>
        </w:rPr>
        <w:t xml:space="preserve"> (determined by dividing the aggregate consideration received by the Corporation in respect of such issue by CPO; and</w:t>
      </w:r>
    </w:p>
    <w:p>
      <w:pPr>
        <w:spacing w:after="0" w:line="170" w:lineRule="exact"/>
        <w:rPr>
          <w:rFonts w:ascii="Arial" w:cs="Arial" w:eastAsia="Arial" w:hAnsi="Arial"/>
          <w:sz w:val="17"/>
          <w:szCs w:val="17"/>
          <w:color w:val="auto"/>
        </w:rPr>
      </w:pPr>
    </w:p>
    <w:p>
      <w:pPr>
        <w:ind w:left="2580" w:hanging="239"/>
        <w:spacing w:after="0"/>
        <w:tabs>
          <w:tab w:leader="none" w:pos="25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 shall mean the number of such Additional Shares of Common Stock issued in such transaction.</w:t>
      </w:r>
    </w:p>
    <w:p>
      <w:pPr>
        <w:spacing w:after="0" w:line="222" w:lineRule="exact"/>
        <w:rPr>
          <w:sz w:val="20"/>
          <w:szCs w:val="20"/>
          <w:color w:val="auto"/>
        </w:rPr>
      </w:pPr>
    </w:p>
    <w:p>
      <w:pPr>
        <w:ind w:right="60" w:firstLine="1917"/>
        <w:spacing w:after="0" w:line="287" w:lineRule="auto"/>
        <w:rPr>
          <w:sz w:val="20"/>
          <w:szCs w:val="20"/>
          <w:color w:val="auto"/>
        </w:rPr>
      </w:pPr>
      <w:r>
        <w:rPr>
          <w:rFonts w:ascii="Arial" w:cs="Arial" w:eastAsia="Arial" w:hAnsi="Arial"/>
          <w:sz w:val="17"/>
          <w:szCs w:val="17"/>
          <w:color w:val="auto"/>
        </w:rPr>
        <w:t xml:space="preserve">4.4.5 </w:t>
      </w:r>
      <w:r>
        <w:rPr>
          <w:rFonts w:ascii="Arial" w:cs="Arial" w:eastAsia="Arial" w:hAnsi="Arial"/>
          <w:sz w:val="17"/>
          <w:szCs w:val="17"/>
          <w:u w:val="single" w:color="auto"/>
          <w:color w:val="auto"/>
        </w:rPr>
        <w:t>Determination of Consideration</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Subsection 4.4</w:t>
      </w:r>
      <w:r>
        <w:rPr>
          <w:rFonts w:ascii="Arial" w:cs="Arial" w:eastAsia="Arial" w:hAnsi="Arial"/>
          <w:sz w:val="17"/>
          <w:szCs w:val="17"/>
          <w:color w:val="auto"/>
        </w:rPr>
        <w:t>, the consideration received by the Corporation for the issue of any Additional Shares of Common Stock shall be computed as follows:</w:t>
      </w:r>
    </w:p>
    <w:p>
      <w:pPr>
        <w:spacing w:after="0" w:line="159" w:lineRule="exact"/>
        <w:rPr>
          <w:sz w:val="20"/>
          <w:szCs w:val="20"/>
          <w:color w:val="auto"/>
        </w:rPr>
      </w:pPr>
    </w:p>
    <w:p>
      <w:pPr>
        <w:ind w:left="2580" w:hanging="239"/>
        <w:spacing w:after="0"/>
        <w:tabs>
          <w:tab w:leader="none" w:pos="258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Cash and Property</w:t>
      </w:r>
      <w:r>
        <w:rPr>
          <w:rFonts w:ascii="Arial" w:cs="Arial" w:eastAsia="Arial" w:hAnsi="Arial"/>
          <w:sz w:val="17"/>
          <w:szCs w:val="17"/>
          <w:color w:val="auto"/>
        </w:rPr>
        <w:t>: Such consideration shall:</w:t>
      </w:r>
    </w:p>
    <w:p>
      <w:pPr>
        <w:spacing w:after="0" w:line="130" w:lineRule="exact"/>
        <w:rPr>
          <w:rFonts w:ascii="Arial" w:cs="Arial" w:eastAsia="Arial" w:hAnsi="Arial"/>
          <w:sz w:val="17"/>
          <w:szCs w:val="17"/>
          <w:color w:val="auto"/>
        </w:rPr>
      </w:pPr>
    </w:p>
    <w:p>
      <w:pPr>
        <w:ind w:left="3180" w:right="260" w:hanging="636"/>
        <w:spacing w:after="0" w:line="287" w:lineRule="auto"/>
        <w:tabs>
          <w:tab w:leader="none" w:pos="31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insofar as it consists of cash, be computed at the aggregate amount of cash received by the Corporation, excluding amounts paid or payable for accrued interest;</w:t>
      </w:r>
    </w:p>
    <w:p>
      <w:pPr>
        <w:spacing w:after="0" w:line="67" w:lineRule="exact"/>
        <w:rPr>
          <w:rFonts w:ascii="Arial" w:cs="Arial" w:eastAsia="Arial" w:hAnsi="Arial"/>
          <w:sz w:val="17"/>
          <w:szCs w:val="17"/>
          <w:color w:val="auto"/>
        </w:rPr>
      </w:pPr>
    </w:p>
    <w:p>
      <w:pPr>
        <w:ind w:left="3180" w:hanging="636"/>
        <w:spacing w:after="0" w:line="320" w:lineRule="auto"/>
        <w:tabs>
          <w:tab w:leader="none" w:pos="31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 time of such issue, as determined in good faith by the Board of Directors of the Corporation; and</w:t>
      </w:r>
    </w:p>
    <w:p>
      <w:pPr>
        <w:spacing w:after="0" w:line="44" w:lineRule="exact"/>
        <w:rPr>
          <w:rFonts w:ascii="Arial" w:cs="Arial" w:eastAsia="Arial" w:hAnsi="Arial"/>
          <w:sz w:val="16"/>
          <w:szCs w:val="16"/>
          <w:color w:val="auto"/>
        </w:rPr>
      </w:pPr>
    </w:p>
    <w:p>
      <w:pPr>
        <w:ind w:left="3180" w:right="140" w:hanging="636"/>
        <w:spacing w:after="0" w:line="266" w:lineRule="auto"/>
        <w:tabs>
          <w:tab w:leader="none" w:pos="31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40"/>
          </w:cols>
          <w:pgMar w:left="620" w:top="271" w:right="639" w:bottom="1440" w:gutter="0" w:footer="0" w:header="0"/>
        </w:sectPr>
      </w:pPr>
    </w:p>
    <w:bookmarkStart w:id="221" w:name="page222"/>
    <w:bookmarkEnd w:id="221"/>
    <w:p>
      <w:pPr>
        <w:ind w:right="60" w:firstLine="2341"/>
        <w:spacing w:after="0" w:line="272" w:lineRule="auto"/>
        <w:tabs>
          <w:tab w:leader="none" w:pos="2589"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Options and Convertible Securities</w:t>
      </w:r>
      <w:r>
        <w:rPr>
          <w:rFonts w:ascii="Arial" w:cs="Arial" w:eastAsia="Arial" w:hAnsi="Arial"/>
          <w:sz w:val="17"/>
          <w:szCs w:val="17"/>
          <w:color w:val="auto"/>
        </w:rPr>
        <w:t xml:space="preserve">. The consideration per share received by the Corporation for Additional Shares of Common Stock deemed to have been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relating to Options and Convertible Securities, shall be determined by dividing:</w:t>
      </w:r>
    </w:p>
    <w:p>
      <w:pPr>
        <w:spacing w:after="0" w:line="79" w:lineRule="exact"/>
        <w:rPr>
          <w:rFonts w:ascii="Arial" w:cs="Arial" w:eastAsia="Arial" w:hAnsi="Arial"/>
          <w:sz w:val="17"/>
          <w:szCs w:val="17"/>
          <w:color w:val="auto"/>
        </w:rPr>
      </w:pPr>
    </w:p>
    <w:p>
      <w:pPr>
        <w:ind w:left="3180" w:hanging="636"/>
        <w:spacing w:after="0" w:line="261" w:lineRule="auto"/>
        <w:tabs>
          <w:tab w:leader="none" w:pos="31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1" w:lineRule="exact"/>
        <w:rPr>
          <w:rFonts w:ascii="Arial" w:cs="Arial" w:eastAsia="Arial" w:hAnsi="Arial"/>
          <w:sz w:val="17"/>
          <w:szCs w:val="17"/>
          <w:color w:val="auto"/>
        </w:rPr>
      </w:pPr>
    </w:p>
    <w:p>
      <w:pPr>
        <w:ind w:left="3180" w:right="80" w:hanging="636"/>
        <w:spacing w:after="0" w:line="264" w:lineRule="auto"/>
        <w:tabs>
          <w:tab w:leader="none" w:pos="31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8" w:lineRule="exact"/>
        <w:rPr>
          <w:sz w:val="20"/>
          <w:szCs w:val="20"/>
          <w:color w:val="auto"/>
        </w:rPr>
      </w:pPr>
    </w:p>
    <w:p>
      <w:pPr>
        <w:jc w:val="both"/>
        <w:ind w:right="40" w:firstLine="1917"/>
        <w:spacing w:after="0" w:line="284"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for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then, upon the final such issuance, the applicable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40"/>
          </w:cols>
          <w:pgMar w:left="620" w:top="271" w:right="639" w:bottom="1440" w:gutter="0" w:footer="0" w:header="0"/>
        </w:sectPr>
      </w:pPr>
    </w:p>
    <w:bookmarkStart w:id="222" w:name="page223"/>
    <w:bookmarkEnd w:id="222"/>
    <w:p>
      <w:pPr>
        <w:ind w:right="120" w:firstLine="1385"/>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B-1 Original Issue Date effect a subdivision of the outstanding Common Stock, the applicable Conversion Price for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B-1 Original Issue Date combine the outstanding shares of Common Stock, the applicable Conversion Price for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1" w:lineRule="exact"/>
        <w:rPr>
          <w:sz w:val="20"/>
          <w:szCs w:val="20"/>
          <w:color w:val="auto"/>
        </w:rPr>
      </w:pPr>
    </w:p>
    <w:p>
      <w:pPr>
        <w:ind w:firstLine="1385"/>
        <w:spacing w:after="0" w:line="26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B-1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for each series of Preferred Stock in effect immediately before such event shall be decreased as of the time of such issuance or, in the event such a record date shall have been fixed, as of the close of business on such record date, by multiplying the applicable Conversion Price for each series of Preferred Stock then in effect by a fraction:</w:t>
      </w:r>
    </w:p>
    <w:p>
      <w:pPr>
        <w:spacing w:after="0" w:line="77" w:lineRule="exact"/>
        <w:rPr>
          <w:sz w:val="20"/>
          <w:szCs w:val="20"/>
          <w:color w:val="auto"/>
        </w:rPr>
      </w:pPr>
    </w:p>
    <w:p>
      <w:pPr>
        <w:ind w:firstLine="1915"/>
        <w:spacing w:after="0" w:line="287" w:lineRule="auto"/>
        <w:tabs>
          <w:tab w:leader="none" w:pos="216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59" w:lineRule="exact"/>
        <w:rPr>
          <w:rFonts w:ascii="Arial" w:cs="Arial" w:eastAsia="Arial" w:hAnsi="Arial"/>
          <w:sz w:val="17"/>
          <w:szCs w:val="17"/>
          <w:color w:val="auto"/>
        </w:rPr>
      </w:pPr>
    </w:p>
    <w:p>
      <w:pPr>
        <w:ind w:right="20" w:firstLine="1915"/>
        <w:spacing w:after="0" w:line="272" w:lineRule="auto"/>
        <w:tabs>
          <w:tab w:leader="none" w:pos="216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Notwithstanding the foregoing (a) if such record date shall have been fixed and such dividend is not fully paid or if such distribution is not fully made on the date fixed therefor, the applicable Conversion Price for each series of Preferred Stock shall be recomputed accordingly as of the close of business on such record date and thereafter the applicable Conversion Price for each series of Preferred Stock shall be adjusted pursuant to this subsection as of the time of actual payment of such dividends or distributions; and (b) that no such adjustment shall be made if the holders of a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40"/>
          </w:cols>
          <w:pgMar w:left="620" w:top="271" w:right="639" w:bottom="1440" w:gutter="0" w:footer="0" w:header="0"/>
        </w:sectPr>
      </w:pPr>
    </w:p>
    <w:bookmarkStart w:id="223" w:name="page224"/>
    <w:bookmarkEnd w:id="223"/>
    <w:p>
      <w:pPr>
        <w:ind w:right="20" w:firstLine="1385"/>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Series B-1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68" w:lineRule="exact"/>
        <w:rPr>
          <w:sz w:val="20"/>
          <w:szCs w:val="20"/>
          <w:color w:val="auto"/>
        </w:rPr>
      </w:pPr>
    </w:p>
    <w:p>
      <w:pPr>
        <w:ind w:firstLine="1385"/>
        <w:spacing w:after="0" w:line="295"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Adjustment for Merger or Reorganization</w:t>
      </w:r>
      <w:r>
        <w:rPr>
          <w:rFonts w:ascii="Arial" w:cs="Arial" w:eastAsia="Arial" w:hAnsi="Arial"/>
          <w:sz w:val="15"/>
          <w:szCs w:val="15"/>
          <w:color w:val="auto"/>
        </w:rPr>
        <w:t xml:space="preserve">. etc. Subject to the provisions of </w:t>
      </w:r>
      <w:r>
        <w:rPr>
          <w:rFonts w:ascii="Arial" w:cs="Arial" w:eastAsia="Arial" w:hAnsi="Arial"/>
          <w:sz w:val="15"/>
          <w:szCs w:val="15"/>
          <w:u w:val="single" w:color="auto"/>
          <w:color w:val="auto"/>
        </w:rPr>
        <w:t>Subsection 2.3</w:t>
      </w:r>
      <w:r>
        <w:rPr>
          <w:rFonts w:ascii="Arial" w:cs="Arial" w:eastAsia="Arial" w:hAnsi="Arial"/>
          <w:sz w:val="15"/>
          <w:szCs w:val="15"/>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5"/>
          <w:szCs w:val="15"/>
          <w:u w:val="single" w:color="auto"/>
          <w:color w:val="auto"/>
        </w:rPr>
        <w:t>Subsections 4.4</w:t>
      </w:r>
      <w:r>
        <w:rPr>
          <w:rFonts w:ascii="Arial" w:cs="Arial" w:eastAsia="Arial" w:hAnsi="Arial"/>
          <w:sz w:val="15"/>
          <w:szCs w:val="15"/>
          <w:color w:val="auto"/>
        </w:rPr>
        <w:t xml:space="preserve">, </w:t>
      </w:r>
      <w:r>
        <w:rPr>
          <w:rFonts w:ascii="Arial" w:cs="Arial" w:eastAsia="Arial" w:hAnsi="Arial"/>
          <w:sz w:val="15"/>
          <w:szCs w:val="15"/>
          <w:u w:val="single" w:color="auto"/>
          <w:color w:val="auto"/>
        </w:rPr>
        <w:t>4.6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4.7</w:t>
      </w:r>
      <w:r>
        <w:rPr>
          <w:rFonts w:ascii="Arial" w:cs="Arial" w:eastAsia="Arial" w:hAnsi="Arial"/>
          <w:sz w:val="15"/>
          <w:szCs w:val="15"/>
          <w:color w:val="auto"/>
        </w:rPr>
        <w:t xml:space="preserve">), then, following any such reorganization, recapitalization, reclassification, consolidation or merger, each share of each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with respect to the rights and interests thereafter of the holders of the Preferred Stock, to the end that the provisions set forth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5"/>
          <w:szCs w:val="15"/>
          <w:u w:val="single" w:color="auto"/>
          <w:color w:val="auto"/>
        </w:rPr>
        <w:t>Subsection 4.8</w:t>
      </w:r>
      <w:r>
        <w:rPr>
          <w:rFonts w:ascii="Arial" w:cs="Arial" w:eastAsia="Arial" w:hAnsi="Arial"/>
          <w:sz w:val="15"/>
          <w:szCs w:val="15"/>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5"/>
          <w:szCs w:val="15"/>
          <w:u w:val="single" w:color="auto"/>
          <w:color w:val="auto"/>
        </w:rPr>
        <w:t>Subsection 4.8</w:t>
      </w:r>
      <w:r>
        <w:rPr>
          <w:rFonts w:ascii="Arial" w:cs="Arial" w:eastAsia="Arial" w:hAnsi="Arial"/>
          <w:sz w:val="15"/>
          <w:szCs w:val="15"/>
          <w:color w:val="auto"/>
        </w:rPr>
        <w:t xml:space="preserve"> be deemed conclusive evidence of the fair value of the shares of Preferred Stock in any such appraisal proceeding.</w:t>
      </w:r>
    </w:p>
    <w:p>
      <w:pPr>
        <w:spacing w:after="0" w:line="165" w:lineRule="exact"/>
        <w:rPr>
          <w:sz w:val="20"/>
          <w:szCs w:val="20"/>
          <w:color w:val="auto"/>
        </w:rPr>
      </w:pPr>
    </w:p>
    <w:p>
      <w:pPr>
        <w:ind w:right="100" w:firstLine="1385"/>
        <w:spacing w:after="0" w:line="278"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applicable Conversion Price for a series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 series of Preferred Stock (but in any event not later than ten (10) days thereafter), furnish or cause to be furnished to such holder a certificate setting forth (i) the Conversion Price then in effect for such series of Preferred Stock, and (ii) the number of shares of Common Stock and the amount, if any, of other securities, cash or property which then would be received upon the conversion of such series of Preferred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40"/>
          </w:cols>
          <w:pgMar w:left="620" w:top="271" w:right="639" w:bottom="1440" w:gutter="0" w:footer="0" w:header="0"/>
        </w:sectPr>
      </w:pPr>
    </w:p>
    <w:bookmarkStart w:id="224" w:name="page225"/>
    <w:bookmarkEnd w:id="224"/>
    <w:p>
      <w:pPr>
        <w:ind w:left="138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4.10 </w:t>
      </w: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w:t>
      </w:r>
    </w:p>
    <w:p>
      <w:pPr>
        <w:spacing w:after="0" w:line="118" w:lineRule="exact"/>
        <w:rPr>
          <w:sz w:val="20"/>
          <w:szCs w:val="20"/>
          <w:color w:val="auto"/>
        </w:rPr>
      </w:pPr>
    </w:p>
    <w:p>
      <w:pPr>
        <w:jc w:val="both"/>
        <w:ind w:left="2" w:right="220" w:firstLine="2341"/>
        <w:spacing w:after="0" w:line="324" w:lineRule="auto"/>
        <w:tabs>
          <w:tab w:leader="none" w:pos="2582"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36" w:lineRule="exact"/>
        <w:rPr>
          <w:rFonts w:ascii="Arial" w:cs="Arial" w:eastAsia="Arial" w:hAnsi="Arial"/>
          <w:sz w:val="15"/>
          <w:szCs w:val="15"/>
          <w:color w:val="auto"/>
        </w:rPr>
      </w:pPr>
    </w:p>
    <w:p>
      <w:pPr>
        <w:ind w:left="2582" w:hanging="239"/>
        <w:spacing w:after="0"/>
        <w:tabs>
          <w:tab w:leader="none" w:pos="258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3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7"/>
          <w:szCs w:val="17"/>
          <w:color w:val="auto"/>
        </w:rPr>
        <w:t>any Deemed Liquidation Event; or</w:t>
      </w:r>
    </w:p>
    <w:p>
      <w:pPr>
        <w:spacing w:after="0" w:line="210" w:lineRule="exact"/>
        <w:rPr>
          <w:rFonts w:ascii="Arial" w:cs="Arial" w:eastAsia="Arial" w:hAnsi="Arial"/>
          <w:sz w:val="16"/>
          <w:szCs w:val="16"/>
          <w:color w:val="auto"/>
        </w:rPr>
      </w:pPr>
    </w:p>
    <w:p>
      <w:pPr>
        <w:ind w:left="2582" w:hanging="239"/>
        <w:spacing w:after="0"/>
        <w:tabs>
          <w:tab w:leader="none" w:pos="258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Corporation,</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w:t>
      </w:r>
    </w:p>
    <w:p>
      <w:pPr>
        <w:spacing w:after="0" w:line="49" w:lineRule="exact"/>
        <w:rPr>
          <w:sz w:val="20"/>
          <w:szCs w:val="20"/>
          <w:color w:val="auto"/>
        </w:rPr>
      </w:pPr>
    </w:p>
    <w:p>
      <w:pPr>
        <w:ind w:left="2" w:right="40" w:hanging="2"/>
        <w:spacing w:after="0" w:line="272" w:lineRule="auto"/>
        <w:tabs>
          <w:tab w:leader="none" w:pos="20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line="2"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7"/>
          <w:szCs w:val="17"/>
          <w:color w:val="auto"/>
        </w:rPr>
        <w:t>(10) days prior to the record date or effective date for the event specified in such notice.</w:t>
      </w:r>
    </w:p>
    <w:p>
      <w:pPr>
        <w:spacing w:after="0" w:line="210" w:lineRule="exact"/>
        <w:rPr>
          <w:rFonts w:ascii="Arial" w:cs="Arial" w:eastAsia="Arial" w:hAnsi="Arial"/>
          <w:sz w:val="16"/>
          <w:szCs w:val="16"/>
          <w:color w:val="auto"/>
        </w:rPr>
      </w:pPr>
    </w:p>
    <w:p>
      <w:pPr>
        <w:ind w:left="1562" w:hanging="177"/>
        <w:spacing w:after="0"/>
        <w:tabs>
          <w:tab w:leader="none" w:pos="1562"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Mandatory Conversion</w:t>
      </w:r>
      <w:r>
        <w:rPr>
          <w:rFonts w:ascii="Arial" w:cs="Arial" w:eastAsia="Arial" w:hAnsi="Arial"/>
          <w:sz w:val="17"/>
          <w:szCs w:val="17"/>
          <w:color w:val="auto"/>
        </w:rPr>
        <w:t>.</w:t>
      </w:r>
    </w:p>
    <w:p>
      <w:pPr>
        <w:spacing w:after="0" w:line="222" w:lineRule="exact"/>
        <w:rPr>
          <w:sz w:val="20"/>
          <w:szCs w:val="20"/>
          <w:color w:val="auto"/>
        </w:rPr>
      </w:pPr>
    </w:p>
    <w:p>
      <w:pPr>
        <w:ind w:left="1922"/>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in a firm-commitment</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7"/>
          <w:szCs w:val="17"/>
          <w:color w:val="auto"/>
        </w:rPr>
        <w:t>underwritten public offering pursuant to an effective registration statement under the Securities Act of 1933, as amended, resulting in at least</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5"/>
          <w:szCs w:val="15"/>
          <w:color w:val="auto"/>
        </w:rPr>
        <w:t>$50,000,000 of proceeds, net of the underwriting discount and commissions, to the Corporation or (b) the date and time, or the occurrence of an event,</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5"/>
          <w:szCs w:val="15"/>
          <w:color w:val="auto"/>
        </w:rPr>
        <w:t>specified by vote or written consent of the holders of at least eighty percent (80%) of the then outstanding shares of Preferred Stock (voting together as a</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single class and not as separate series, and on an as-converted basis) (the time of such closing or the date and time specified or the time of the event</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specified in such vote or written consent is referred to herein as the “</w:t>
      </w:r>
      <w:r>
        <w:rPr>
          <w:rFonts w:ascii="Arial" w:cs="Arial" w:eastAsia="Arial" w:hAnsi="Arial"/>
          <w:sz w:val="15"/>
          <w:szCs w:val="15"/>
          <w:b w:val="1"/>
          <w:bCs w:val="1"/>
          <w:color w:val="auto"/>
        </w:rPr>
        <w:t>Mandatory Conversion Time</w:t>
      </w:r>
      <w:r>
        <w:rPr>
          <w:rFonts w:ascii="Arial" w:cs="Arial" w:eastAsia="Arial" w:hAnsi="Arial"/>
          <w:sz w:val="15"/>
          <w:szCs w:val="15"/>
          <w:color w:val="auto"/>
        </w:rPr>
        <w:t>”), then (i) all outstanding shares of Preferred Stock</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 xml:space="preserve">shall automatically be converted into shares of Common Stock, at the then 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and</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7"/>
          <w:szCs w:val="17"/>
          <w:color w:val="auto"/>
        </w:rPr>
        <w:t>(ii) such shares may not be reissued by the Corporation.</w:t>
      </w:r>
    </w:p>
    <w:p>
      <w:pPr>
        <w:spacing w:after="0" w:line="145"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2"/>
          </w:cols>
          <w:pgMar w:left="618" w:top="271" w:right="659" w:bottom="1440" w:gutter="0" w:footer="0" w:header="0"/>
        </w:sectPr>
      </w:pPr>
    </w:p>
    <w:bookmarkStart w:id="225" w:name="page226"/>
    <w:bookmarkEnd w:id="225"/>
    <w:p>
      <w:pPr>
        <w:ind w:firstLine="1385"/>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2" w:lineRule="exact"/>
        <w:rPr>
          <w:sz w:val="20"/>
          <w:szCs w:val="20"/>
          <w:color w:val="auto"/>
        </w:rPr>
      </w:pPr>
    </w:p>
    <w:p>
      <w:pPr>
        <w:ind w:left="1140" w:hanging="183"/>
        <w:spacing w:after="0"/>
        <w:tabs>
          <w:tab w:leader="none" w:pos="114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 The Preferred Stock is not redeemable at the option of the holder.</w:t>
      </w:r>
    </w:p>
    <w:p>
      <w:pPr>
        <w:spacing w:after="0" w:line="222" w:lineRule="exact"/>
        <w:rPr>
          <w:rFonts w:ascii="Arial" w:cs="Arial" w:eastAsia="Arial" w:hAnsi="Arial"/>
          <w:sz w:val="17"/>
          <w:szCs w:val="17"/>
          <w:color w:val="auto"/>
        </w:rPr>
      </w:pPr>
    </w:p>
    <w:p>
      <w:pPr>
        <w:ind w:firstLine="957"/>
        <w:spacing w:after="0" w:line="296" w:lineRule="auto"/>
        <w:tabs>
          <w:tab w:leader="none" w:pos="1133"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54" w:lineRule="exact"/>
        <w:rPr>
          <w:rFonts w:ascii="Arial" w:cs="Arial" w:eastAsia="Arial" w:hAnsi="Arial"/>
          <w:sz w:val="16"/>
          <w:szCs w:val="16"/>
          <w:color w:val="auto"/>
        </w:rPr>
      </w:pPr>
    </w:p>
    <w:p>
      <w:pPr>
        <w:ind w:right="60" w:firstLine="957"/>
        <w:spacing w:after="0" w:line="272" w:lineRule="auto"/>
        <w:tabs>
          <w:tab w:leader="none" w:pos="1133"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of the rights, powers, preferences and other terms of the Preferred Stock set forth herein may be waived on behalf of all holders of Preferred Stock by the affirmative written consent or vote of the holders of at least eighty percent (80%) of the shares of Preferred Stock then outstanding (voting together as a single class and not as separate series, and on an as-converted basis).</w:t>
      </w:r>
    </w:p>
    <w:p>
      <w:pPr>
        <w:spacing w:after="0" w:line="170" w:lineRule="exact"/>
        <w:rPr>
          <w:rFonts w:ascii="Arial" w:cs="Arial" w:eastAsia="Arial" w:hAnsi="Arial"/>
          <w:sz w:val="17"/>
          <w:szCs w:val="17"/>
          <w:color w:val="auto"/>
        </w:rPr>
      </w:pPr>
    </w:p>
    <w:p>
      <w:pPr>
        <w:ind w:right="260" w:firstLine="957"/>
        <w:spacing w:after="0" w:line="324" w:lineRule="auto"/>
        <w:tabs>
          <w:tab w:leader="none" w:pos="1133"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40"/>
          </w:cols>
          <w:pgMar w:left="620" w:top="271" w:right="639" w:bottom="1440" w:gutter="0" w:footer="0" w:header="0"/>
        </w:sectPr>
      </w:pPr>
    </w:p>
    <w:bookmarkStart w:id="226" w:name="page227"/>
    <w:bookmarkEnd w:id="226"/>
    <w:p>
      <w:pPr>
        <w:jc w:val="both"/>
        <w:ind w:left="420" w:firstLine="920"/>
        <w:spacing w:after="0" w:line="27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FIFTH</w:t>
      </w:r>
      <w:r>
        <w:rPr>
          <w:rFonts w:ascii="Arial" w:cs="Arial" w:eastAsia="Arial" w:hAnsi="Arial"/>
          <w:sz w:val="17"/>
          <w:szCs w:val="17"/>
          <w:color w:val="auto"/>
        </w:rPr>
        <w:t>: Subject to any additional vote required by the Certificate of Incorporation or Bylaws, in furtherance and not in limitation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powers conferred by statute, the Board of Directors is expressly authorized to make, repeal, alter, amend and rescind any or all of the Bylaws of the Corporation.</w:t>
      </w:r>
    </w:p>
    <w:p>
      <w:pPr>
        <w:spacing w:after="0" w:line="59" w:lineRule="exact"/>
        <w:rPr>
          <w:sz w:val="20"/>
          <w:szCs w:val="20"/>
          <w:color w:val="auto"/>
        </w:rPr>
      </w:pPr>
    </w:p>
    <w:p>
      <w:pPr>
        <w:ind w:left="420" w:right="40" w:firstLine="920"/>
        <w:spacing w:after="0" w:line="295"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Subject to any additional vote required by the Certificate of Incorporation, the number of directors of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determined in the manner set forth in the Bylaws of the Corporation.</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Elections of directors need not be by written ballot unless the Bylaws of the Corporation shall so provide.</w:t>
      </w:r>
    </w:p>
    <w:p>
      <w:pPr>
        <w:spacing w:after="0" w:line="118" w:lineRule="exact"/>
        <w:rPr>
          <w:sz w:val="20"/>
          <w:szCs w:val="20"/>
          <w:color w:val="auto"/>
        </w:rPr>
      </w:pPr>
    </w:p>
    <w:p>
      <w:pPr>
        <w:ind w:left="420" w:right="80" w:firstLine="920"/>
        <w:spacing w:after="0" w:line="275" w:lineRule="auto"/>
        <w:rPr>
          <w:sz w:val="20"/>
          <w:szCs w:val="20"/>
          <w:color w:val="auto"/>
        </w:rPr>
      </w:pPr>
      <w:r>
        <w:rPr>
          <w:rFonts w:ascii="Arial" w:cs="Arial" w:eastAsia="Arial" w:hAnsi="Arial"/>
          <w:sz w:val="17"/>
          <w:szCs w:val="17"/>
          <w:b w:val="1"/>
          <w:bCs w:val="1"/>
          <w:color w:val="auto"/>
        </w:rPr>
        <w:t>EIGHTH</w:t>
      </w:r>
      <w:r>
        <w:rPr>
          <w:rFonts w:ascii="Arial" w:cs="Arial" w:eastAsia="Arial" w:hAnsi="Arial"/>
          <w:sz w:val="17"/>
          <w:szCs w:val="17"/>
          <w:color w:val="auto"/>
        </w:rPr>
        <w:t>: Meetings of stockholders may be held within or without the State of Delaware, as the Bylaws of the Corporation may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The books of the Corporation may be kept outside the State of Delaware at such place or places as may be designated from time to time by the Board of Directors or in the Bylaws of the Corporation.</w:t>
      </w:r>
    </w:p>
    <w:p>
      <w:pPr>
        <w:spacing w:after="0" w:line="59" w:lineRule="exact"/>
        <w:rPr>
          <w:sz w:val="20"/>
          <w:szCs w:val="20"/>
          <w:color w:val="auto"/>
        </w:rPr>
      </w:pPr>
    </w:p>
    <w:p>
      <w:pPr>
        <w:ind w:left="420" w:right="20" w:firstLine="920"/>
        <w:spacing w:after="0" w:line="266"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To the fullest extent permitted by law, a director of the Corporation shall not be personally liable to the Corporation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76" w:lineRule="exact"/>
        <w:rPr>
          <w:sz w:val="20"/>
          <w:szCs w:val="20"/>
          <w:color w:val="auto"/>
        </w:rPr>
      </w:pPr>
    </w:p>
    <w:p>
      <w:pPr>
        <w:jc w:val="both"/>
        <w:ind w:right="60" w:firstLine="426"/>
        <w:spacing w:after="0" w:line="272" w:lineRule="auto"/>
        <w:rPr>
          <w:sz w:val="20"/>
          <w:szCs w:val="20"/>
          <w:color w:val="auto"/>
        </w:rPr>
      </w:pPr>
      <w:r>
        <w:rPr>
          <w:rFonts w:ascii="Arial" w:cs="Arial" w:eastAsia="Arial" w:hAnsi="Arial"/>
          <w:sz w:val="17"/>
          <w:szCs w:val="17"/>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60" w:lineRule="exact"/>
        <w:rPr>
          <w:sz w:val="20"/>
          <w:szCs w:val="20"/>
          <w:color w:val="auto"/>
        </w:rPr>
      </w:pPr>
    </w:p>
    <w:p>
      <w:pPr>
        <w:ind w:left="420" w:right="80" w:firstLine="920"/>
        <w:spacing w:after="0" w:line="266"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To the fullest extent permitted by applicable law, the Corporation is authorized to provide indemnification of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17"/>
          <w:szCs w:val="17"/>
          <w:u w:val="single" w:color="auto"/>
          <w:color w:val="auto"/>
        </w:rPr>
        <w:t>Section 145</w:t>
      </w:r>
      <w:r>
        <w:rPr>
          <w:rFonts w:ascii="Arial" w:cs="Arial" w:eastAsia="Arial" w:hAnsi="Arial"/>
          <w:sz w:val="17"/>
          <w:szCs w:val="17"/>
          <w:color w:val="auto"/>
        </w:rPr>
        <w:t xml:space="preserve"> of the General Corporation Law.</w:t>
      </w:r>
    </w:p>
    <w:p>
      <w:pPr>
        <w:spacing w:after="0" w:line="176" w:lineRule="exact"/>
        <w:rPr>
          <w:sz w:val="20"/>
          <w:szCs w:val="20"/>
          <w:color w:val="auto"/>
        </w:rPr>
      </w:pPr>
    </w:p>
    <w:p>
      <w:pPr>
        <w:ind w:right="100" w:firstLine="426"/>
        <w:spacing w:after="0" w:line="287" w:lineRule="auto"/>
        <w:rPr>
          <w:sz w:val="20"/>
          <w:szCs w:val="20"/>
          <w:color w:val="auto"/>
        </w:rPr>
      </w:pPr>
      <w:r>
        <w:rPr>
          <w:rFonts w:ascii="Arial" w:cs="Arial" w:eastAsia="Arial" w:hAnsi="Arial"/>
          <w:sz w:val="17"/>
          <w:szCs w:val="17"/>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560"/>
          </w:cols>
          <w:pgMar w:left="620" w:top="264" w:right="719" w:bottom="1440" w:gutter="0" w:footer="0" w:header="0"/>
        </w:sectPr>
      </w:pPr>
    </w:p>
    <w:bookmarkStart w:id="227" w:name="page228"/>
    <w:bookmarkEnd w:id="227"/>
    <w:p>
      <w:pPr>
        <w:ind w:left="1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ELEVENTH</w:t>
      </w:r>
      <w:r>
        <w:rPr>
          <w:rFonts w:ascii="Arial" w:cs="Arial" w:eastAsia="Arial" w:hAnsi="Arial"/>
          <w:sz w:val="16"/>
          <w:szCs w:val="16"/>
          <w:color w:val="auto"/>
        </w:rPr>
        <w:t>: The Corporation renounces, to the fullest extent permitted by law, any interest or expectancy of the Corporation in, or</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being 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that is presented to, or acquired, created or developed by, or which otherwise comes into the possession of (i) any director of the Corporation who</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is not an employee of the Corporation or any of its subsidiaries, or (ii) any holder of Preferred Stock or any partner, member, director, stockholder,</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employee or agent of any such holder, other than someone who is an employee of the Corporation or any of its subsidiaries (collectively,</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Covered Persons</w:t>
      </w:r>
      <w:r>
        <w:rPr>
          <w:rFonts w:ascii="Arial" w:cs="Arial" w:eastAsia="Arial" w:hAnsi="Arial"/>
          <w:sz w:val="15"/>
          <w:szCs w:val="15"/>
          <w:color w:val="auto"/>
        </w:rPr>
        <w:t>”), unless such matter, transaction or interest is presented to, or acquired, created or developed by, or otherwise comes into the</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possession of, a Covered Person expressly and solely in such Covered Person’s capacity as a director of the Corporation.</w:t>
      </w:r>
    </w:p>
    <w:p>
      <w:pPr>
        <w:spacing w:after="0" w:line="210"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7"/>
          <w:szCs w:val="17"/>
          <w:color w:val="auto"/>
        </w:rPr>
        <w:t>*</w:t>
        <w:tab/>
        <w:t>*</w:t>
        <w:tab/>
        <w:t>*</w:t>
      </w:r>
    </w:p>
    <w:p>
      <w:pPr>
        <w:spacing w:after="0" w:line="222" w:lineRule="exact"/>
        <w:rPr>
          <w:sz w:val="20"/>
          <w:szCs w:val="20"/>
          <w:color w:val="auto"/>
        </w:rPr>
      </w:pPr>
    </w:p>
    <w:p>
      <w:pPr>
        <w:ind w:left="-40" w:right="320" w:firstLine="957"/>
        <w:spacing w:after="0" w:line="287" w:lineRule="auto"/>
        <w:tabs>
          <w:tab w:leader="none" w:pos="1092"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That the foregoing amendment and restatement was approved by the holders of the requisite number of shares of this corporation in accordance with Section 228 of the General Corporation Law.</w:t>
      </w:r>
    </w:p>
    <w:p>
      <w:pPr>
        <w:spacing w:after="0" w:line="159" w:lineRule="exact"/>
        <w:rPr>
          <w:rFonts w:ascii="Arial" w:cs="Arial" w:eastAsia="Arial" w:hAnsi="Arial"/>
          <w:sz w:val="17"/>
          <w:szCs w:val="17"/>
          <w:b w:val="1"/>
          <w:bCs w:val="1"/>
          <w:color w:val="auto"/>
        </w:rPr>
      </w:pPr>
    </w:p>
    <w:p>
      <w:pPr>
        <w:ind w:left="-40" w:right="280" w:firstLine="957"/>
        <w:spacing w:after="0" w:line="320" w:lineRule="auto"/>
        <w:tabs>
          <w:tab w:leader="none" w:pos="1092"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80"/>
          </w:cols>
          <w:pgMar w:left="660" w:top="264" w:right="659" w:bottom="1440" w:gutter="0" w:footer="0" w:header="0"/>
        </w:sectPr>
      </w:pPr>
    </w:p>
    <w:bookmarkStart w:id="228" w:name="page229"/>
    <w:bookmarkEnd w:id="228"/>
    <w:p>
      <w:pPr>
        <w:ind w:firstLine="426"/>
        <w:spacing w:after="0" w:line="29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w:t>
      </w:r>
      <w:r>
        <w:rPr>
          <w:rFonts w:ascii="Arial" w:cs="Arial" w:eastAsia="Arial" w:hAnsi="Arial"/>
          <w:sz w:val="17"/>
          <w:szCs w:val="17"/>
          <w:color w:val="auto"/>
        </w:rPr>
        <w:t>, this Amended and Restated Certificate of Incorporation has been executed by a duly authorized officer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on this 8th day of November, 2018.</w:t>
      </w:r>
    </w:p>
    <w:p>
      <w:pPr>
        <w:spacing w:after="0" w:line="17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Jasbir S.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16510</wp:posOffset>
            </wp:positionV>
            <wp:extent cx="25114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Jasbir S. Seehra</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 President and Chief Executive Officer</w:t>
      </w:r>
    </w:p>
    <w:p>
      <w:pPr>
        <w:spacing w:after="0" w:line="210"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[Amended and Restated Certificate of Incorporation – Keros Therapeutics, Inc.]</w:t>
      </w:r>
    </w:p>
    <w:p>
      <w:pPr>
        <w:sectPr>
          <w:pgSz w:w="11900" w:h="16838" w:orient="portrait"/>
          <w:cols w:equalWidth="0" w:num="1">
            <w:col w:w="10120"/>
          </w:cols>
          <w:pgMar w:left="620" w:top="265" w:right="11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31"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BYLAWS</w:t>
      </w:r>
    </w:p>
    <w:p>
      <w:pPr>
        <w:spacing w:after="0" w:line="3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OF</w:t>
      </w:r>
    </w:p>
    <w:p>
      <w:pPr>
        <w:spacing w:after="0" w:line="13"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KEROS THERAPEUTICS, INC.</w:t>
      </w:r>
    </w:p>
    <w:p>
      <w:pPr>
        <w:spacing w:after="0" w:line="204"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OFFICES</w:t>
      </w:r>
    </w:p>
    <w:p>
      <w:pPr>
        <w:spacing w:after="0" w:line="204" w:lineRule="exact"/>
        <w:rPr>
          <w:sz w:val="20"/>
          <w:szCs w:val="20"/>
          <w:color w:val="auto"/>
        </w:rPr>
      </w:pPr>
    </w:p>
    <w:p>
      <w:pPr>
        <w:ind w:left="962"/>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Registered Office</w:t>
      </w:r>
      <w:r>
        <w:rPr>
          <w:rFonts w:ascii="Arial" w:cs="Arial" w:eastAsia="Arial" w:hAnsi="Arial"/>
          <w:sz w:val="17"/>
          <w:szCs w:val="17"/>
          <w:color w:val="auto"/>
        </w:rPr>
        <w:t>. The registered office shall be in the City of Dover, County of Kent, State of Delaware.</w:t>
      </w:r>
    </w:p>
    <w:p>
      <w:pPr>
        <w:spacing w:after="0" w:line="222" w:lineRule="exact"/>
        <w:rPr>
          <w:sz w:val="20"/>
          <w:szCs w:val="20"/>
          <w:color w:val="auto"/>
        </w:rPr>
      </w:pPr>
    </w:p>
    <w:p>
      <w:pPr>
        <w:ind w:left="2" w:right="400" w:firstLine="959"/>
        <w:spacing w:after="0" w:line="29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Offices</w:t>
      </w:r>
      <w:r>
        <w:rPr>
          <w:rFonts w:ascii="Arial" w:cs="Arial" w:eastAsia="Arial" w:hAnsi="Arial"/>
          <w:sz w:val="17"/>
          <w:szCs w:val="17"/>
          <w:color w:val="auto"/>
        </w:rPr>
        <w:t>. The corporation may also have offices at such other places both within and without the State of Delaware as the Board of Directors may from time to time determine or the business of the corporation may require.</w:t>
      </w:r>
    </w:p>
    <w:p>
      <w:pPr>
        <w:spacing w:after="0" w:line="355"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MEETINGS OF STOCKHOLDERS</w:t>
      </w:r>
    </w:p>
    <w:p>
      <w:pPr>
        <w:spacing w:after="0" w:line="204" w:lineRule="exact"/>
        <w:rPr>
          <w:sz w:val="20"/>
          <w:szCs w:val="20"/>
          <w:color w:val="auto"/>
        </w:rPr>
      </w:pPr>
    </w:p>
    <w:p>
      <w:pPr>
        <w:ind w:left="2" w:right="40" w:firstLine="959"/>
        <w:spacing w:after="0" w:line="28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Location</w:t>
      </w:r>
      <w:r>
        <w:rPr>
          <w:rFonts w:ascii="Arial" w:cs="Arial" w:eastAsia="Arial" w:hAnsi="Arial"/>
          <w:sz w:val="16"/>
          <w:szCs w:val="16"/>
          <w:color w:val="auto"/>
        </w:rPr>
        <w:t>. All meetings of the stockholders for the election of directors shall be held in the City of Dover, State of Delaware,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63" w:lineRule="exact"/>
        <w:rPr>
          <w:sz w:val="20"/>
          <w:szCs w:val="20"/>
          <w:color w:val="auto"/>
        </w:rPr>
      </w:pPr>
    </w:p>
    <w:p>
      <w:pPr>
        <w:ind w:left="2" w:right="40" w:firstLine="959"/>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Timing</w:t>
      </w:r>
      <w:r>
        <w:rPr>
          <w:rFonts w:ascii="Arial" w:cs="Arial" w:eastAsia="Arial" w:hAnsi="Arial"/>
          <w:sz w:val="17"/>
          <w:szCs w:val="17"/>
          <w:color w:val="auto"/>
        </w:rPr>
        <w:t>. Annual meetings of stockholders, commencing with the year 2015,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63" w:lineRule="exact"/>
        <w:rPr>
          <w:sz w:val="20"/>
          <w:szCs w:val="20"/>
          <w:color w:val="auto"/>
        </w:rPr>
      </w:pPr>
    </w:p>
    <w:p>
      <w:pPr>
        <w:ind w:left="2" w:right="80" w:firstLine="959"/>
        <w:spacing w:after="0" w:line="30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Notice of Meeting</w:t>
      </w:r>
      <w:r>
        <w:rPr>
          <w:rFonts w:ascii="Arial" w:cs="Arial" w:eastAsia="Arial" w:hAnsi="Arial"/>
          <w:sz w:val="16"/>
          <w:szCs w:val="16"/>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45" w:lineRule="exact"/>
        <w:rPr>
          <w:sz w:val="20"/>
          <w:szCs w:val="20"/>
          <w:color w:val="auto"/>
        </w:rPr>
      </w:pPr>
    </w:p>
    <w:p>
      <w:pPr>
        <w:ind w:left="962"/>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Stockholders’ Records</w:t>
      </w:r>
      <w:r>
        <w:rPr>
          <w:rFonts w:ascii="Arial" w:cs="Arial" w:eastAsia="Arial" w:hAnsi="Arial"/>
          <w:sz w:val="16"/>
          <w:szCs w:val="16"/>
          <w:color w:val="auto"/>
        </w:rPr>
        <w:t>. The officer who has charge of the stock ledger of the corporation shall prepare and make, at least ten</w:t>
      </w:r>
    </w:p>
    <w:p>
      <w:pPr>
        <w:spacing w:after="0" w:line="43" w:lineRule="exact"/>
        <w:rPr>
          <w:sz w:val="20"/>
          <w:szCs w:val="20"/>
          <w:color w:val="auto"/>
        </w:rPr>
      </w:pPr>
    </w:p>
    <w:p>
      <w:pPr>
        <w:ind w:left="2" w:right="220" w:hanging="2"/>
        <w:spacing w:after="0" w:line="315" w:lineRule="auto"/>
        <w:tabs>
          <w:tab w:leader="none" w:pos="335" w:val="left"/>
        </w:tabs>
        <w:numPr>
          <w:ilvl w:val="0"/>
          <w:numId w:val="161"/>
        </w:numPr>
        <w:rPr>
          <w:rFonts w:ascii="Arial" w:cs="Arial" w:eastAsia="Arial" w:hAnsi="Arial"/>
          <w:sz w:val="15"/>
          <w:szCs w:val="15"/>
          <w:color w:val="auto"/>
        </w:rPr>
      </w:pPr>
      <w:r>
        <w:rPr>
          <w:rFonts w:ascii="Arial" w:cs="Arial" w:eastAsia="Arial" w:hAnsi="Arial"/>
          <w:sz w:val="15"/>
          <w:szCs w:val="15"/>
          <w:color w:val="auto"/>
        </w:rPr>
        <w:t>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w:t>
      </w:r>
    </w:p>
    <w:p>
      <w:pPr>
        <w:sectPr>
          <w:pgSz w:w="11900" w:h="16838" w:orient="portrait"/>
          <w:cols w:equalWidth="0" w:num="1">
            <w:col w:w="10662"/>
          </w:cols>
          <w:pgMar w:left="618" w:top="121" w:right="619" w:bottom="1440" w:gutter="0" w:footer="0" w:header="0"/>
        </w:sectPr>
      </w:pPr>
    </w:p>
    <w:bookmarkStart w:id="230" w:name="page231"/>
    <w:bookmarkEnd w:id="230"/>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2" w:lineRule="exact"/>
        <w:rPr>
          <w:sz w:val="20"/>
          <w:szCs w:val="20"/>
          <w:color w:val="auto"/>
        </w:rPr>
      </w:pPr>
    </w:p>
    <w:p>
      <w:pPr>
        <w:jc w:val="both"/>
        <w:ind w:right="80" w:firstLine="959"/>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Special Meetings</w:t>
      </w:r>
      <w:r>
        <w:rPr>
          <w:rFonts w:ascii="Arial" w:cs="Arial" w:eastAsia="Arial" w:hAnsi="Arial"/>
          <w:sz w:val="16"/>
          <w:szCs w:val="16"/>
          <w:color w:val="auto"/>
        </w:rPr>
        <w:t>.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ten percent (10%) in amount of the entire capital stock of the corporation issued and outstanding and entitled to vote. Such request shall state the purpose or purposes of the proposed meeting.</w:t>
      </w:r>
    </w:p>
    <w:p>
      <w:pPr>
        <w:spacing w:after="0" w:line="152" w:lineRule="exact"/>
        <w:rPr>
          <w:sz w:val="20"/>
          <w:szCs w:val="20"/>
          <w:color w:val="auto"/>
        </w:rPr>
      </w:pPr>
    </w:p>
    <w:p>
      <w:pPr>
        <w:ind w:right="100" w:firstLine="959"/>
        <w:spacing w:after="0" w:line="26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Notice of Meeting</w:t>
      </w:r>
      <w:r>
        <w:rPr>
          <w:rFonts w:ascii="Arial" w:cs="Arial" w:eastAsia="Arial" w:hAnsi="Arial"/>
          <w:sz w:val="17"/>
          <w:szCs w:val="17"/>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68" w:lineRule="exact"/>
        <w:rPr>
          <w:sz w:val="20"/>
          <w:szCs w:val="20"/>
          <w:color w:val="auto"/>
        </w:rPr>
      </w:pPr>
    </w:p>
    <w:p>
      <w:pPr>
        <w:ind w:right="120" w:firstLine="959"/>
        <w:spacing w:after="0" w:line="29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Business Transacted at Special Meeting</w:t>
      </w:r>
      <w:r>
        <w:rPr>
          <w:rFonts w:ascii="Arial" w:cs="Arial" w:eastAsia="Arial" w:hAnsi="Arial"/>
          <w:sz w:val="17"/>
          <w:szCs w:val="17"/>
          <w:color w:val="auto"/>
        </w:rPr>
        <w:t>. Business transacted at any special meeting of stockholders shall be limited to the purposes stated in the notice.</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Quorum; Meeting Adjournment; Presence by Remote Means</w:t>
      </w:r>
      <w:r>
        <w:rPr>
          <w:rFonts w:ascii="Arial" w:cs="Arial" w:eastAsia="Arial" w:hAnsi="Arial"/>
          <w:sz w:val="17"/>
          <w:szCs w:val="17"/>
          <w:color w:val="auto"/>
        </w:rPr>
        <w:t>.</w:t>
      </w:r>
    </w:p>
    <w:p>
      <w:pPr>
        <w:spacing w:after="0" w:line="228" w:lineRule="exact"/>
        <w:rPr>
          <w:sz w:val="20"/>
          <w:szCs w:val="20"/>
          <w:color w:val="auto"/>
        </w:rPr>
      </w:pPr>
    </w:p>
    <w:p>
      <w:pPr>
        <w:ind w:firstLine="1383"/>
        <w:spacing w:after="0" w:line="279" w:lineRule="auto"/>
        <w:tabs>
          <w:tab w:leader="none" w:pos="1621"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Quorum; Meeting Adjournment</w:t>
      </w:r>
      <w:r>
        <w:rPr>
          <w:rFonts w:ascii="Arial" w:cs="Arial" w:eastAsia="Arial" w:hAnsi="Arial"/>
          <w:sz w:val="16"/>
          <w:szCs w:val="16"/>
          <w:color w:val="auto"/>
        </w:rPr>
        <w:t>. The holders of a majority of the stock issued and outstanding and entitled to vote thereat,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ectPr>
          <w:pgSz w:w="11900" w:h="16838" w:orient="portrait"/>
          <w:cols w:equalWidth="0" w:num="1">
            <w:col w:w="10640"/>
          </w:cols>
          <w:pgMar w:left="620" w:top="271" w:right="639" w:bottom="1440" w:gutter="0" w:footer="0" w:header="0"/>
        </w:sectPr>
      </w:pPr>
    </w:p>
    <w:bookmarkStart w:id="231" w:name="page232"/>
    <w:bookmarkEnd w:id="231"/>
    <w:p>
      <w:pPr>
        <w:ind w:right="240" w:firstLine="1383"/>
        <w:spacing w:after="0" w:line="272" w:lineRule="auto"/>
        <w:tabs>
          <w:tab w:leader="none" w:pos="1631"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Presence by Remote Means</w:t>
      </w:r>
      <w:r>
        <w:rPr>
          <w:rFonts w:ascii="Arial" w:cs="Arial" w:eastAsia="Arial" w:hAnsi="Arial"/>
          <w:sz w:val="17"/>
          <w:szCs w:val="17"/>
          <w:color w:val="auto"/>
        </w:rPr>
        <w:t>. If authorized by the Board of Directors in its sole discretion, and subject to such guidelines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as the Board of Directors may adopt, stockholders and proxyholders not physically present at a meeting of stockholders may, by means of remote communication:</w:t>
      </w:r>
    </w:p>
    <w:p>
      <w:pPr>
        <w:spacing w:after="0" w:line="66" w:lineRule="exact"/>
        <w:rPr>
          <w:rFonts w:ascii="Arial" w:cs="Arial" w:eastAsia="Arial" w:hAnsi="Arial"/>
          <w:sz w:val="17"/>
          <w:szCs w:val="17"/>
          <w:color w:val="auto"/>
        </w:rPr>
      </w:pPr>
    </w:p>
    <w:p>
      <w:pPr>
        <w:ind w:left="2160" w:hanging="245"/>
        <w:spacing w:after="0"/>
        <w:tabs>
          <w:tab w:leader="none" w:pos="21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participate in a meeting of stockholders; and</w:t>
      </w:r>
    </w:p>
    <w:p>
      <w:pPr>
        <w:spacing w:after="0" w:line="222" w:lineRule="exact"/>
        <w:rPr>
          <w:rFonts w:ascii="Arial" w:cs="Arial" w:eastAsia="Arial" w:hAnsi="Arial"/>
          <w:sz w:val="17"/>
          <w:szCs w:val="17"/>
          <w:color w:val="auto"/>
        </w:rPr>
      </w:pPr>
    </w:p>
    <w:p>
      <w:pPr>
        <w:ind w:right="120" w:firstLine="1915"/>
        <w:spacing w:after="0" w:line="261" w:lineRule="auto"/>
        <w:tabs>
          <w:tab w:leader="none" w:pos="2164" w:val="left"/>
        </w:tabs>
        <w:numPr>
          <w:ilvl w:val="1"/>
          <w:numId w:val="163"/>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77" w:lineRule="exact"/>
        <w:rPr>
          <w:sz w:val="20"/>
          <w:szCs w:val="20"/>
          <w:color w:val="auto"/>
        </w:rPr>
      </w:pPr>
    </w:p>
    <w:p>
      <w:pPr>
        <w:ind w:right="120" w:firstLine="959"/>
        <w:spacing w:after="0" w:line="26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Voting Thresholds</w:t>
      </w:r>
      <w:r>
        <w:rPr>
          <w:rFonts w:ascii="Arial" w:cs="Arial" w:eastAsia="Arial" w:hAnsi="Arial"/>
          <w:sz w:val="17"/>
          <w:szCs w:val="17"/>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68" w:lineRule="exact"/>
        <w:rPr>
          <w:sz w:val="20"/>
          <w:szCs w:val="20"/>
          <w:color w:val="auto"/>
        </w:rPr>
      </w:pPr>
    </w:p>
    <w:p>
      <w:pPr>
        <w:ind w:firstLine="959"/>
        <w:spacing w:after="0" w:line="27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Number of Votes Per Share</w:t>
      </w:r>
      <w:r>
        <w:rPr>
          <w:rFonts w:ascii="Arial" w:cs="Arial" w:eastAsia="Arial" w:hAnsi="Arial"/>
          <w:sz w:val="17"/>
          <w:szCs w:val="17"/>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Action by Written Consent of Stockholders; Electronic Consent; Notice of Action</w:t>
      </w:r>
      <w:r>
        <w:rPr>
          <w:rFonts w:ascii="Arial" w:cs="Arial" w:eastAsia="Arial" w:hAnsi="Arial"/>
          <w:sz w:val="17"/>
          <w:szCs w:val="17"/>
          <w:color w:val="auto"/>
        </w:rPr>
        <w:t>.</w:t>
      </w:r>
    </w:p>
    <w:p>
      <w:pPr>
        <w:spacing w:after="0" w:line="228" w:lineRule="exact"/>
        <w:rPr>
          <w:sz w:val="20"/>
          <w:szCs w:val="20"/>
          <w:color w:val="auto"/>
        </w:rPr>
      </w:pPr>
    </w:p>
    <w:p>
      <w:pPr>
        <w:ind w:firstLine="1383"/>
        <w:spacing w:after="0" w:line="279" w:lineRule="auto"/>
        <w:tabs>
          <w:tab w:leader="none" w:pos="1621"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Action by Written Consent of Stockholders</w:t>
      </w:r>
      <w:r>
        <w:rPr>
          <w:rFonts w:ascii="Arial" w:cs="Arial" w:eastAsia="Arial" w:hAnsi="Arial"/>
          <w:sz w:val="16"/>
          <w:szCs w:val="16"/>
          <w:color w:val="auto"/>
        </w:rPr>
        <w:t>. Unless otherwise provided by the certificate of incorporation, any action required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ectPr>
          <w:pgSz w:w="11900" w:h="16838" w:orient="portrait"/>
          <w:cols w:equalWidth="0" w:num="1">
            <w:col w:w="10640"/>
          </w:cols>
          <w:pgMar w:left="620" w:top="271" w:right="639" w:bottom="1440" w:gutter="0" w:footer="0" w:header="0"/>
        </w:sectPr>
      </w:pPr>
    </w:p>
    <w:bookmarkStart w:id="232" w:name="page233"/>
    <w:bookmarkEnd w:id="232"/>
    <w:p>
      <w:pPr>
        <w:ind w:right="20" w:firstLine="1383"/>
        <w:spacing w:after="0" w:line="276" w:lineRule="auto"/>
        <w:tabs>
          <w:tab w:leader="none" w:pos="1631"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Electronic Consent</w:t>
      </w:r>
      <w:r>
        <w:rPr>
          <w:rFonts w:ascii="Arial" w:cs="Arial" w:eastAsia="Arial" w:hAnsi="Arial"/>
          <w:sz w:val="16"/>
          <w:szCs w:val="16"/>
          <w:color w:val="auto"/>
        </w:rPr>
        <w:t>. A telegram, cablegram or other electronic transmission consenting to an action to be taken and transmitted</w:t>
      </w:r>
      <w:r>
        <w:rPr>
          <w:rFonts w:ascii="Arial" w:cs="Arial" w:eastAsia="Arial" w:hAnsi="Arial"/>
          <w:sz w:val="16"/>
          <w:szCs w:val="16"/>
          <w:i w:val="1"/>
          <w:iCs w:val="1"/>
          <w:color w:val="auto"/>
        </w:rPr>
        <w:t xml:space="preserve"> </w:t>
      </w:r>
      <w:r>
        <w:rPr>
          <w:rFonts w:ascii="Arial" w:cs="Arial" w:eastAsia="Arial" w:hAnsi="Arial"/>
          <w:sz w:val="16"/>
          <w:szCs w:val="16"/>
          <w:color w:val="auto"/>
        </w:rPr>
        <w:t>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70" w:lineRule="exact"/>
        <w:rPr>
          <w:rFonts w:ascii="Arial" w:cs="Arial" w:eastAsia="Arial" w:hAnsi="Arial"/>
          <w:sz w:val="16"/>
          <w:szCs w:val="16"/>
          <w:color w:val="auto"/>
        </w:rPr>
      </w:pPr>
    </w:p>
    <w:p>
      <w:pPr>
        <w:ind w:right="580" w:firstLine="1383"/>
        <w:spacing w:after="0" w:line="287" w:lineRule="auto"/>
        <w:tabs>
          <w:tab w:leader="none" w:pos="1621"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Notice of Action</w:t>
      </w:r>
      <w:r>
        <w:rPr>
          <w:rFonts w:ascii="Arial" w:cs="Arial" w:eastAsia="Arial" w:hAnsi="Arial"/>
          <w:sz w:val="17"/>
          <w:szCs w:val="17"/>
          <w:color w:val="auto"/>
        </w:rPr>
        <w:t>. Prompt notice of any action taken pursuant to this Section 2.11 shall be provided to the stockholders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Section 228(e) of the DGCL.</w:t>
      </w:r>
    </w:p>
    <w:p>
      <w:pPr>
        <w:spacing w:after="0" w:line="36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DIRECTORS</w:t>
      </w:r>
    </w:p>
    <w:p>
      <w:pPr>
        <w:spacing w:after="0" w:line="204" w:lineRule="exact"/>
        <w:rPr>
          <w:sz w:val="20"/>
          <w:szCs w:val="20"/>
          <w:color w:val="auto"/>
        </w:rPr>
      </w:pPr>
    </w:p>
    <w:p>
      <w:pPr>
        <w:ind w:firstLine="959"/>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Authorized Directors</w:t>
      </w:r>
      <w:r>
        <w:rPr>
          <w:rFonts w:ascii="Arial" w:cs="Arial" w:eastAsia="Arial" w:hAnsi="Arial"/>
          <w:sz w:val="17"/>
          <w:szCs w:val="17"/>
          <w:color w:val="auto"/>
        </w:rPr>
        <w:t>.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163" w:lineRule="exact"/>
        <w:rPr>
          <w:sz w:val="20"/>
          <w:szCs w:val="20"/>
          <w:color w:val="auto"/>
        </w:rPr>
      </w:pPr>
    </w:p>
    <w:p>
      <w:pPr>
        <w:ind w:firstLine="959"/>
        <w:spacing w:after="0" w:line="26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Vacancies</w:t>
      </w:r>
      <w:r>
        <w:rPr>
          <w:rFonts w:ascii="Arial" w:cs="Arial" w:eastAsia="Arial" w:hAnsi="Arial"/>
          <w:sz w:val="17"/>
          <w:szCs w:val="17"/>
          <w:color w:val="auto"/>
        </w:rPr>
        <w:t>.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ectPr>
          <w:pgSz w:w="11900" w:h="16838" w:orient="portrait"/>
          <w:cols w:equalWidth="0" w:num="1">
            <w:col w:w="10580"/>
          </w:cols>
          <w:pgMar w:left="620" w:top="271" w:right="699" w:bottom="1440" w:gutter="0" w:footer="0" w:header="0"/>
        </w:sectPr>
      </w:pPr>
    </w:p>
    <w:bookmarkStart w:id="233" w:name="page234"/>
    <w:bookmarkEnd w:id="233"/>
    <w:p>
      <w:pPr>
        <w:ind w:right="200" w:firstLine="959"/>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3.3 </w:t>
      </w:r>
      <w:r>
        <w:rPr>
          <w:rFonts w:ascii="Arial" w:cs="Arial" w:eastAsia="Arial" w:hAnsi="Arial"/>
          <w:sz w:val="17"/>
          <w:szCs w:val="17"/>
          <w:b w:val="1"/>
          <w:bCs w:val="1"/>
          <w:color w:val="auto"/>
        </w:rPr>
        <w:t>Board Authority</w:t>
      </w:r>
      <w:r>
        <w:rPr>
          <w:rFonts w:ascii="Arial" w:cs="Arial" w:eastAsia="Arial" w:hAnsi="Arial"/>
          <w:sz w:val="17"/>
          <w:szCs w:val="17"/>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63" w:lineRule="exact"/>
        <w:rPr>
          <w:sz w:val="20"/>
          <w:szCs w:val="20"/>
          <w:color w:val="auto"/>
        </w:rPr>
      </w:pPr>
    </w:p>
    <w:p>
      <w:pPr>
        <w:ind w:firstLine="959"/>
        <w:spacing w:after="0" w:line="29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Location of Meetings</w:t>
      </w:r>
      <w:r>
        <w:rPr>
          <w:rFonts w:ascii="Arial" w:cs="Arial" w:eastAsia="Arial" w:hAnsi="Arial"/>
          <w:sz w:val="17"/>
          <w:szCs w:val="17"/>
          <w:color w:val="auto"/>
        </w:rPr>
        <w:t>. The Board of Directors of the corporation may hold meetings, both regular and special, either within or without the State of Delaware.</w:t>
      </w:r>
    </w:p>
    <w:p>
      <w:pPr>
        <w:spacing w:after="0" w:line="146" w:lineRule="exact"/>
        <w:rPr>
          <w:sz w:val="20"/>
          <w:szCs w:val="20"/>
          <w:color w:val="auto"/>
        </w:rPr>
      </w:pPr>
    </w:p>
    <w:p>
      <w:pPr>
        <w:ind w:right="60" w:firstLine="959"/>
        <w:spacing w:after="0" w:line="264"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First Meeting</w:t>
      </w:r>
      <w:r>
        <w:rPr>
          <w:rFonts w:ascii="Arial" w:cs="Arial" w:eastAsia="Arial" w:hAnsi="Arial"/>
          <w:sz w:val="17"/>
          <w:szCs w:val="17"/>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72" w:lineRule="exact"/>
        <w:rPr>
          <w:sz w:val="20"/>
          <w:szCs w:val="20"/>
          <w:color w:val="auto"/>
        </w:rPr>
      </w:pPr>
    </w:p>
    <w:p>
      <w:pPr>
        <w:ind w:firstLine="959"/>
        <w:spacing w:after="0" w:line="29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Regular Meetings</w:t>
      </w:r>
      <w:r>
        <w:rPr>
          <w:rFonts w:ascii="Arial" w:cs="Arial" w:eastAsia="Arial" w:hAnsi="Arial"/>
          <w:sz w:val="17"/>
          <w:szCs w:val="17"/>
          <w:color w:val="auto"/>
        </w:rPr>
        <w:t>. Regular meetings of the Board of Directors may be held without notice at such time and at such place as shall from time to time be determined by the Board of Directors.</w:t>
      </w:r>
    </w:p>
    <w:p>
      <w:pPr>
        <w:spacing w:after="0" w:line="146" w:lineRule="exact"/>
        <w:rPr>
          <w:sz w:val="20"/>
          <w:szCs w:val="20"/>
          <w:color w:val="auto"/>
        </w:rPr>
      </w:pPr>
    </w:p>
    <w:p>
      <w:pPr>
        <w:ind w:right="40" w:firstLine="959"/>
        <w:spacing w:after="0" w:line="296"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b w:val="1"/>
          <w:bCs w:val="1"/>
          <w:color w:val="auto"/>
        </w:rPr>
        <w:t>Special Meetings</w:t>
      </w:r>
      <w:r>
        <w:rPr>
          <w:rFonts w:ascii="Arial" w:cs="Arial" w:eastAsia="Arial" w:hAnsi="Arial"/>
          <w:sz w:val="15"/>
          <w:szCs w:val="15"/>
          <w:color w:val="auto"/>
        </w:rPr>
        <w:t>.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ectPr>
          <w:pgSz w:w="11900" w:h="16838" w:orient="portrait"/>
          <w:cols w:equalWidth="0" w:num="1">
            <w:col w:w="10640"/>
          </w:cols>
          <w:pgMar w:left="620" w:top="265" w:right="639" w:bottom="1440" w:gutter="0" w:footer="0" w:header="0"/>
        </w:sectPr>
      </w:pPr>
    </w:p>
    <w:bookmarkStart w:id="234" w:name="page235"/>
    <w:bookmarkEnd w:id="234"/>
    <w:p>
      <w:pPr>
        <w:ind w:right="60" w:firstLine="959"/>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3.8 </w:t>
      </w:r>
      <w:r>
        <w:rPr>
          <w:rFonts w:ascii="Arial" w:cs="Arial" w:eastAsia="Arial" w:hAnsi="Arial"/>
          <w:sz w:val="17"/>
          <w:szCs w:val="17"/>
          <w:b w:val="1"/>
          <w:bCs w:val="1"/>
          <w:color w:val="auto"/>
        </w:rPr>
        <w:t>Quorum</w:t>
      </w:r>
      <w:r>
        <w:rPr>
          <w:rFonts w:ascii="Arial" w:cs="Arial" w:eastAsia="Arial" w:hAnsi="Arial"/>
          <w:sz w:val="17"/>
          <w:szCs w:val="17"/>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70" w:lineRule="exact"/>
        <w:rPr>
          <w:sz w:val="20"/>
          <w:szCs w:val="20"/>
          <w:color w:val="auto"/>
        </w:rPr>
      </w:pPr>
    </w:p>
    <w:p>
      <w:pPr>
        <w:ind w:right="40" w:firstLine="959"/>
        <w:spacing w:after="0" w:line="26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Action Without a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68" w:lineRule="exact"/>
        <w:rPr>
          <w:sz w:val="20"/>
          <w:szCs w:val="20"/>
          <w:color w:val="auto"/>
        </w:rPr>
      </w:pPr>
    </w:p>
    <w:p>
      <w:pPr>
        <w:ind w:right="100" w:firstLine="959"/>
        <w:spacing w:after="0" w:line="26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color w:val="auto"/>
        </w:rPr>
        <w:t>Telephonic Meetings</w:t>
      </w:r>
      <w:r>
        <w:rPr>
          <w:rFonts w:ascii="Arial" w:cs="Arial" w:eastAsia="Arial" w:hAnsi="Arial"/>
          <w:sz w:val="17"/>
          <w:szCs w:val="17"/>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68" w:lineRule="exact"/>
        <w:rPr>
          <w:sz w:val="20"/>
          <w:szCs w:val="20"/>
          <w:color w:val="auto"/>
        </w:rPr>
      </w:pPr>
    </w:p>
    <w:p>
      <w:pPr>
        <w:ind w:right="120" w:firstLine="959"/>
        <w:spacing w:after="0" w:line="275"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69" w:lineRule="exact"/>
        <w:rPr>
          <w:sz w:val="20"/>
          <w:szCs w:val="20"/>
          <w:color w:val="auto"/>
        </w:rPr>
      </w:pPr>
    </w:p>
    <w:p>
      <w:pPr>
        <w:jc w:val="both"/>
        <w:ind w:right="140" w:firstLine="426"/>
        <w:spacing w:after="0" w:line="272" w:lineRule="auto"/>
        <w:rPr>
          <w:sz w:val="20"/>
          <w:szCs w:val="20"/>
          <w:color w:val="auto"/>
        </w:rPr>
      </w:pPr>
      <w:r>
        <w:rPr>
          <w:rFonts w:ascii="Arial" w:cs="Arial" w:eastAsia="Arial" w:hAnsi="Arial"/>
          <w:sz w:val="17"/>
          <w:szCs w:val="17"/>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1" w:lineRule="exact"/>
        <w:rPr>
          <w:sz w:val="20"/>
          <w:szCs w:val="20"/>
          <w:color w:val="auto"/>
        </w:rPr>
      </w:pPr>
    </w:p>
    <w:p>
      <w:pPr>
        <w:ind w:firstLine="426"/>
        <w:spacing w:after="0" w:line="264" w:lineRule="auto"/>
        <w:rPr>
          <w:sz w:val="20"/>
          <w:szCs w:val="20"/>
          <w:color w:val="auto"/>
        </w:rPr>
      </w:pPr>
      <w:r>
        <w:rPr>
          <w:rFonts w:ascii="Arial" w:cs="Arial" w:eastAsia="Arial" w:hAnsi="Arial"/>
          <w:sz w:val="17"/>
          <w:szCs w:val="17"/>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b w:val="1"/>
          <w:bCs w:val="1"/>
          <w:color w:val="auto"/>
        </w:rPr>
        <w:t>Minutes of Meetings</w:t>
      </w:r>
      <w:r>
        <w:rPr>
          <w:rFonts w:ascii="Arial" w:cs="Arial" w:eastAsia="Arial" w:hAnsi="Arial"/>
          <w:sz w:val="15"/>
          <w:szCs w:val="15"/>
          <w:color w:val="auto"/>
        </w:rPr>
        <w:t>. Each committee shall keep regular minutes of its meetings and report the same to the Board of Directors when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required.</w:t>
      </w:r>
    </w:p>
    <w:p>
      <w:pPr>
        <w:sectPr>
          <w:pgSz w:w="11900" w:h="16838" w:orient="portrait"/>
          <w:cols w:equalWidth="0" w:num="1">
            <w:col w:w="10640"/>
          </w:cols>
          <w:pgMar w:left="620" w:top="265" w:right="639" w:bottom="1440" w:gutter="0" w:footer="0" w:header="0"/>
        </w:sectPr>
      </w:pPr>
    </w:p>
    <w:bookmarkStart w:id="235" w:name="page236"/>
    <w:bookmarkEnd w:id="235"/>
    <w:p>
      <w:pPr>
        <w:ind w:left="2" w:right="20" w:firstLine="959"/>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3.13 </w:t>
      </w:r>
      <w:r>
        <w:rPr>
          <w:rFonts w:ascii="Arial" w:cs="Arial" w:eastAsia="Arial" w:hAnsi="Arial"/>
          <w:sz w:val="17"/>
          <w:szCs w:val="17"/>
          <w:b w:val="1"/>
          <w:bCs w:val="1"/>
          <w:color w:val="auto"/>
        </w:rPr>
        <w:t>Compensation of Directors</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0" w:lineRule="exact"/>
        <w:rPr>
          <w:sz w:val="20"/>
          <w:szCs w:val="20"/>
          <w:color w:val="auto"/>
        </w:rPr>
      </w:pPr>
    </w:p>
    <w:p>
      <w:pPr>
        <w:ind w:left="2" w:right="20" w:firstLine="959"/>
        <w:spacing w:after="0" w:line="328"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b w:val="1"/>
          <w:bCs w:val="1"/>
          <w:color w:val="auto"/>
        </w:rPr>
        <w:t>Removal of Directors</w:t>
      </w:r>
      <w:r>
        <w:rPr>
          <w:rFonts w:ascii="Arial" w:cs="Arial" w:eastAsia="Arial" w:hAnsi="Arial"/>
          <w:sz w:val="16"/>
          <w:szCs w:val="16"/>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33"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NOTICES</w:t>
      </w:r>
    </w:p>
    <w:p>
      <w:pPr>
        <w:spacing w:after="0" w:line="204" w:lineRule="exact"/>
        <w:rPr>
          <w:sz w:val="20"/>
          <w:szCs w:val="20"/>
          <w:color w:val="auto"/>
        </w:rPr>
      </w:pPr>
    </w:p>
    <w:p>
      <w:pPr>
        <w:ind w:left="2" w:right="20" w:firstLine="959"/>
        <w:spacing w:after="0" w:line="26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Notice</w:t>
      </w:r>
      <w:r>
        <w:rPr>
          <w:rFonts w:ascii="Arial" w:cs="Arial" w:eastAsia="Arial" w:hAnsi="Arial"/>
          <w:sz w:val="17"/>
          <w:szCs w:val="17"/>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70" w:lineRule="exact"/>
        <w:rPr>
          <w:sz w:val="20"/>
          <w:szCs w:val="20"/>
          <w:color w:val="auto"/>
        </w:rPr>
      </w:pPr>
    </w:p>
    <w:p>
      <w:pPr>
        <w:ind w:left="2" w:firstLine="959"/>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Waiver of Notice</w:t>
      </w:r>
      <w:r>
        <w:rPr>
          <w:rFonts w:ascii="Arial" w:cs="Arial" w:eastAsia="Arial" w:hAnsi="Arial"/>
          <w:sz w:val="17"/>
          <w:szCs w:val="17"/>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63" w:lineRule="exact"/>
        <w:rPr>
          <w:sz w:val="20"/>
          <w:szCs w:val="20"/>
          <w:color w:val="auto"/>
        </w:rPr>
      </w:pPr>
    </w:p>
    <w:p>
      <w:pPr>
        <w:ind w:left="962"/>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Electronic Notice</w:t>
      </w:r>
      <w:r>
        <w:rPr>
          <w:rFonts w:ascii="Arial" w:cs="Arial" w:eastAsia="Arial" w:hAnsi="Arial"/>
          <w:sz w:val="17"/>
          <w:szCs w:val="17"/>
          <w:color w:val="auto"/>
        </w:rPr>
        <w:t>.</w:t>
      </w:r>
    </w:p>
    <w:p>
      <w:pPr>
        <w:spacing w:after="0" w:line="228" w:lineRule="exact"/>
        <w:rPr>
          <w:sz w:val="20"/>
          <w:szCs w:val="20"/>
          <w:color w:val="auto"/>
        </w:rPr>
      </w:pPr>
    </w:p>
    <w:p>
      <w:pPr>
        <w:ind w:left="2" w:right="40" w:firstLine="1383"/>
        <w:spacing w:after="0" w:line="275" w:lineRule="auto"/>
        <w:tabs>
          <w:tab w:leader="none" w:pos="1623" w:val="left"/>
        </w:tabs>
        <w:numPr>
          <w:ilvl w:val="1"/>
          <w:numId w:val="166"/>
        </w:numPr>
        <w:rPr>
          <w:rFonts w:ascii="Arial" w:cs="Arial" w:eastAsia="Arial" w:hAnsi="Arial"/>
          <w:sz w:val="16"/>
          <w:szCs w:val="16"/>
          <w:color w:val="auto"/>
        </w:rPr>
      </w:pPr>
      <w:r>
        <w:rPr>
          <w:rFonts w:ascii="Arial" w:cs="Arial" w:eastAsia="Arial" w:hAnsi="Arial"/>
          <w:sz w:val="16"/>
          <w:szCs w:val="16"/>
          <w:i w:val="1"/>
          <w:iCs w:val="1"/>
          <w:color w:val="auto"/>
        </w:rPr>
        <w:t>Electronic Transmission</w:t>
      </w:r>
      <w:r>
        <w:rPr>
          <w:rFonts w:ascii="Arial" w:cs="Arial" w:eastAsia="Arial" w:hAnsi="Arial"/>
          <w:sz w:val="16"/>
          <w:szCs w:val="16"/>
          <w:color w:val="auto"/>
        </w:rPr>
        <w:t>. Without limiting the manner by which notice otherwise may be given effectively to stockholders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w:t>
      </w:r>
    </w:p>
    <w:p>
      <w:pPr>
        <w:spacing w:after="0" w:line="2" w:lineRule="exact"/>
        <w:rPr>
          <w:rFonts w:ascii="Arial" w:cs="Arial" w:eastAsia="Arial" w:hAnsi="Arial"/>
          <w:sz w:val="16"/>
          <w:szCs w:val="16"/>
          <w:color w:val="auto"/>
        </w:rPr>
      </w:pPr>
    </w:p>
    <w:p>
      <w:pPr>
        <w:ind w:left="2" w:right="100" w:hanging="2"/>
        <w:spacing w:after="0" w:line="304" w:lineRule="auto"/>
        <w:tabs>
          <w:tab w:leader="none" w:pos="24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48" w:lineRule="exact"/>
        <w:rPr>
          <w:rFonts w:ascii="Arial" w:cs="Arial" w:eastAsia="Arial" w:hAnsi="Arial"/>
          <w:sz w:val="16"/>
          <w:szCs w:val="16"/>
          <w:color w:val="auto"/>
        </w:rPr>
      </w:pPr>
    </w:p>
    <w:p>
      <w:pPr>
        <w:ind w:left="2" w:right="60" w:firstLine="1383"/>
        <w:spacing w:after="0" w:line="280" w:lineRule="auto"/>
        <w:tabs>
          <w:tab w:leader="none" w:pos="1633"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Effective Date of Notice</w:t>
      </w:r>
      <w:r>
        <w:rPr>
          <w:rFonts w:ascii="Arial" w:cs="Arial" w:eastAsia="Arial" w:hAnsi="Arial"/>
          <w:sz w:val="16"/>
          <w:szCs w:val="16"/>
          <w:color w:val="auto"/>
        </w:rPr>
        <w:t>. Notice given pursuant to subsection (a) of this section shall be deemed given: (1) if by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ectPr>
          <w:pgSz w:w="11900" w:h="16838" w:orient="portrait"/>
          <w:cols w:equalWidth="0" w:num="1">
            <w:col w:w="10642"/>
          </w:cols>
          <w:pgMar w:left="618" w:top="265" w:right="639" w:bottom="1440" w:gutter="0" w:footer="0" w:header="0"/>
        </w:sectPr>
      </w:pPr>
    </w:p>
    <w:bookmarkStart w:id="236" w:name="page237"/>
    <w:bookmarkEnd w:id="236"/>
    <w:p>
      <w:pPr>
        <w:jc w:val="both"/>
        <w:ind w:right="180" w:firstLine="1383"/>
        <w:spacing w:after="0" w:line="272" w:lineRule="auto"/>
        <w:tabs>
          <w:tab w:leader="none" w:pos="1621"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Form of Electronic Transmission</w:t>
      </w:r>
      <w:r>
        <w:rPr>
          <w:rFonts w:ascii="Arial" w:cs="Arial" w:eastAsia="Arial" w:hAnsi="Arial"/>
          <w:sz w:val="17"/>
          <w:szCs w:val="17"/>
          <w:color w:val="auto"/>
        </w:rPr>
        <w:t>. For purposes of these bylaws, “electronic transmission” means any form of communication,</w:t>
      </w:r>
      <w:r>
        <w:rPr>
          <w:rFonts w:ascii="Arial" w:cs="Arial" w:eastAsia="Arial" w:hAnsi="Arial"/>
          <w:sz w:val="17"/>
          <w:szCs w:val="17"/>
          <w:i w:val="1"/>
          <w:iCs w:val="1"/>
          <w:color w:val="auto"/>
        </w:rPr>
        <w:t xml:space="preserve"> </w:t>
      </w:r>
      <w:r>
        <w:rPr>
          <w:rFonts w:ascii="Arial" w:cs="Arial" w:eastAsia="Arial" w:hAnsi="Arial"/>
          <w:sz w:val="17"/>
          <w:szCs w:val="17"/>
          <w:color w:val="auto"/>
        </w:rPr>
        <w:t>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7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OFFICERS</w:t>
      </w:r>
    </w:p>
    <w:p>
      <w:pPr>
        <w:spacing w:after="0" w:line="204" w:lineRule="exact"/>
        <w:rPr>
          <w:sz w:val="20"/>
          <w:szCs w:val="20"/>
          <w:color w:val="auto"/>
        </w:rPr>
      </w:pPr>
    </w:p>
    <w:p>
      <w:pPr>
        <w:ind w:right="40" w:firstLine="959"/>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Required and Permitted Officers</w:t>
      </w:r>
      <w:r>
        <w:rPr>
          <w:rFonts w:ascii="Arial" w:cs="Arial" w:eastAsia="Arial" w:hAnsi="Arial"/>
          <w:sz w:val="17"/>
          <w:szCs w:val="17"/>
          <w:color w:val="auto"/>
        </w:rPr>
        <w:t>.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168" w:lineRule="exact"/>
        <w:rPr>
          <w:sz w:val="20"/>
          <w:szCs w:val="20"/>
          <w:color w:val="auto"/>
        </w:rPr>
      </w:pPr>
    </w:p>
    <w:p>
      <w:pPr>
        <w:ind w:right="20" w:firstLine="959"/>
        <w:spacing w:after="0" w:line="29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Appointment of Required Officers</w:t>
      </w:r>
      <w:r>
        <w:rPr>
          <w:rFonts w:ascii="Arial" w:cs="Arial" w:eastAsia="Arial" w:hAnsi="Arial"/>
          <w:sz w:val="17"/>
          <w:szCs w:val="17"/>
          <w:color w:val="auto"/>
        </w:rPr>
        <w:t>. The Board of Directors at its first meeting after each annual meeting of stockholders shall choose a president, a treasurer, and a secretary and may choose vice-presidents.</w:t>
      </w:r>
    </w:p>
    <w:p>
      <w:pPr>
        <w:spacing w:after="0" w:line="146" w:lineRule="exact"/>
        <w:rPr>
          <w:sz w:val="20"/>
          <w:szCs w:val="20"/>
          <w:color w:val="auto"/>
        </w:rPr>
      </w:pPr>
    </w:p>
    <w:p>
      <w:pPr>
        <w:ind w:firstLine="959"/>
        <w:spacing w:after="0" w:line="27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Appointment of Permitted Officers</w:t>
      </w:r>
      <w:r>
        <w:rPr>
          <w:rFonts w:ascii="Arial" w:cs="Arial" w:eastAsia="Arial" w:hAnsi="Arial"/>
          <w:sz w:val="17"/>
          <w:szCs w:val="17"/>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Officer Compensation</w:t>
      </w:r>
      <w:r>
        <w:rPr>
          <w:rFonts w:ascii="Arial" w:cs="Arial" w:eastAsia="Arial" w:hAnsi="Arial"/>
          <w:sz w:val="17"/>
          <w:szCs w:val="17"/>
          <w:color w:val="auto"/>
        </w:rPr>
        <w:t>. The salaries of all officers and agents of the corporation shall be fixed by the Board of Directors.</w:t>
      </w:r>
    </w:p>
    <w:p>
      <w:pPr>
        <w:spacing w:after="0" w:line="222" w:lineRule="exact"/>
        <w:rPr>
          <w:sz w:val="20"/>
          <w:szCs w:val="20"/>
          <w:color w:val="auto"/>
        </w:rPr>
      </w:pPr>
    </w:p>
    <w:p>
      <w:pPr>
        <w:ind w:right="20" w:firstLine="959"/>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Term of Office; Vacancies</w:t>
      </w:r>
      <w:r>
        <w:rPr>
          <w:rFonts w:ascii="Arial" w:cs="Arial" w:eastAsia="Arial" w:hAnsi="Arial"/>
          <w:sz w:val="17"/>
          <w:szCs w:val="17"/>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THE CHAIRMAN OF THE BOARD</w:t>
      </w:r>
    </w:p>
    <w:p>
      <w:pPr>
        <w:spacing w:after="0" w:line="222" w:lineRule="exact"/>
        <w:rPr>
          <w:sz w:val="20"/>
          <w:szCs w:val="20"/>
          <w:color w:val="auto"/>
        </w:rPr>
      </w:pPr>
    </w:p>
    <w:p>
      <w:pPr>
        <w:ind w:right="40" w:firstLine="959"/>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color w:val="auto"/>
        </w:rPr>
        <w:t>Chairman Presides</w:t>
      </w:r>
      <w:r>
        <w:rPr>
          <w:rFonts w:ascii="Arial" w:cs="Arial" w:eastAsia="Arial" w:hAnsi="Arial"/>
          <w:sz w:val="17"/>
          <w:szCs w:val="17"/>
          <w:color w:val="auto"/>
        </w:rPr>
        <w:t>.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163" w:lineRule="exact"/>
        <w:rPr>
          <w:sz w:val="20"/>
          <w:szCs w:val="20"/>
          <w:color w:val="auto"/>
        </w:rPr>
      </w:pPr>
    </w:p>
    <w:p>
      <w:pPr>
        <w:ind w:right="280" w:firstLine="959"/>
        <w:spacing w:after="0" w:line="275"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Absence of Chairman</w:t>
      </w:r>
      <w:r>
        <w:rPr>
          <w:rFonts w:ascii="Arial" w:cs="Arial" w:eastAsia="Arial" w:hAnsi="Arial"/>
          <w:sz w:val="17"/>
          <w:szCs w:val="17"/>
          <w:color w:val="auto"/>
        </w:rPr>
        <w:t>.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ectPr>
          <w:pgSz w:w="11900" w:h="16838" w:orient="portrait"/>
          <w:cols w:equalWidth="0" w:num="1">
            <w:col w:w="10640"/>
          </w:cols>
          <w:pgMar w:left="620" w:top="270" w:right="639" w:bottom="1440" w:gutter="0" w:footer="0" w:header="0"/>
        </w:sectPr>
      </w:pPr>
    </w:p>
    <w:bookmarkStart w:id="237" w:name="page238"/>
    <w:bookmarkEnd w:id="237"/>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PRESIDENT AND VICE-PRESIDENTS</w:t>
      </w:r>
    </w:p>
    <w:p>
      <w:pPr>
        <w:spacing w:after="0" w:line="222" w:lineRule="exact"/>
        <w:rPr>
          <w:sz w:val="20"/>
          <w:szCs w:val="20"/>
          <w:color w:val="auto"/>
        </w:rPr>
      </w:pPr>
    </w:p>
    <w:p>
      <w:pPr>
        <w:ind w:right="200" w:firstLine="959"/>
        <w:spacing w:after="0" w:line="30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Powers of President</w:t>
      </w:r>
      <w:r>
        <w:rPr>
          <w:rFonts w:ascii="Arial" w:cs="Arial" w:eastAsia="Arial" w:hAnsi="Arial"/>
          <w:sz w:val="16"/>
          <w:szCs w:val="16"/>
          <w:color w:val="auto"/>
        </w:rPr>
        <w:t>.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145" w:lineRule="exact"/>
        <w:rPr>
          <w:sz w:val="20"/>
          <w:szCs w:val="20"/>
          <w:color w:val="auto"/>
        </w:rPr>
      </w:pPr>
    </w:p>
    <w:p>
      <w:pPr>
        <w:ind w:right="60" w:firstLine="959"/>
        <w:spacing w:after="0" w:line="275"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President’s Signature Authority</w:t>
      </w:r>
      <w:r>
        <w:rPr>
          <w:rFonts w:ascii="Arial" w:cs="Arial" w:eastAsia="Arial" w:hAnsi="Arial"/>
          <w:sz w:val="17"/>
          <w:szCs w:val="17"/>
          <w:color w:val="auto"/>
        </w:rPr>
        <w: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63" w:lineRule="exact"/>
        <w:rPr>
          <w:sz w:val="20"/>
          <w:szCs w:val="20"/>
          <w:color w:val="auto"/>
        </w:rPr>
      </w:pPr>
    </w:p>
    <w:p>
      <w:pPr>
        <w:ind w:right="20" w:firstLine="959"/>
        <w:spacing w:after="0" w:line="26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color w:val="auto"/>
        </w:rPr>
        <w:t>Absence of President</w:t>
      </w:r>
      <w:r>
        <w:rPr>
          <w:rFonts w:ascii="Arial" w:cs="Arial" w:eastAsia="Arial" w:hAnsi="Arial"/>
          <w:sz w:val="17"/>
          <w:szCs w:val="17"/>
          <w:color w:val="auto"/>
        </w:rPr>
        <w:t>.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THE SECRETARY AND ASSISTANT SECRETARY</w:t>
      </w:r>
    </w:p>
    <w:p>
      <w:pPr>
        <w:spacing w:after="0" w:line="222" w:lineRule="exact"/>
        <w:rPr>
          <w:sz w:val="20"/>
          <w:szCs w:val="20"/>
          <w:color w:val="auto"/>
        </w:rPr>
      </w:pPr>
    </w:p>
    <w:p>
      <w:pPr>
        <w:ind w:right="20" w:firstLine="959"/>
        <w:spacing w:after="0" w:line="303" w:lineRule="auto"/>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b w:val="1"/>
          <w:bCs w:val="1"/>
          <w:color w:val="auto"/>
        </w:rPr>
        <w:t>Duties of Secretary</w:t>
      </w:r>
      <w:r>
        <w:rPr>
          <w:rFonts w:ascii="Arial" w:cs="Arial" w:eastAsia="Arial" w:hAnsi="Arial"/>
          <w:sz w:val="15"/>
          <w:szCs w:val="15"/>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47" w:lineRule="exact"/>
        <w:rPr>
          <w:sz w:val="20"/>
          <w:szCs w:val="20"/>
          <w:color w:val="auto"/>
        </w:rPr>
      </w:pPr>
    </w:p>
    <w:p>
      <w:pPr>
        <w:ind w:firstLine="959"/>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color w:val="auto"/>
        </w:rPr>
        <w:t>Duties of Assistant Secretary</w:t>
      </w:r>
      <w:r>
        <w:rPr>
          <w:rFonts w:ascii="Arial" w:cs="Arial" w:eastAsia="Arial" w:hAnsi="Arial"/>
          <w:sz w:val="17"/>
          <w:szCs w:val="17"/>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ectPr>
          <w:pgSz w:w="11900" w:h="16838" w:orient="portrait"/>
          <w:cols w:equalWidth="0" w:num="1">
            <w:col w:w="10620"/>
          </w:cols>
          <w:pgMar w:left="620" w:top="265" w:right="65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TREASURER AND ASSISTANT TREASURERS</w:t>
      </w:r>
    </w:p>
    <w:p>
      <w:pPr>
        <w:spacing w:after="0" w:line="222" w:lineRule="exact"/>
        <w:rPr>
          <w:sz w:val="20"/>
          <w:szCs w:val="20"/>
          <w:color w:val="auto"/>
        </w:rPr>
      </w:pPr>
    </w:p>
    <w:p>
      <w:pPr>
        <w:ind w:right="80" w:firstLine="959"/>
        <w:spacing w:after="0" w:line="275"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color w:val="auto"/>
        </w:rPr>
        <w:t>Duties of Treasurer</w:t>
      </w:r>
      <w:r>
        <w:rPr>
          <w:rFonts w:ascii="Arial" w:cs="Arial" w:eastAsia="Arial" w:hAnsi="Arial"/>
          <w:sz w:val="17"/>
          <w:szCs w:val="17"/>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63" w:lineRule="exact"/>
        <w:rPr>
          <w:sz w:val="20"/>
          <w:szCs w:val="20"/>
          <w:color w:val="auto"/>
        </w:rPr>
      </w:pPr>
    </w:p>
    <w:p>
      <w:pPr>
        <w:ind w:right="180" w:firstLine="959"/>
        <w:spacing w:after="0" w:line="300"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color w:val="auto"/>
        </w:rPr>
        <w:t>Disbursements and Financial Reports</w:t>
      </w:r>
      <w:r>
        <w:rPr>
          <w:rFonts w:ascii="Arial" w:cs="Arial" w:eastAsia="Arial" w:hAnsi="Arial"/>
          <w:sz w:val="16"/>
          <w:szCs w:val="16"/>
          <w:color w:val="auto"/>
        </w:rPr>
        <w:t>.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45" w:lineRule="exact"/>
        <w:rPr>
          <w:sz w:val="20"/>
          <w:szCs w:val="20"/>
          <w:color w:val="auto"/>
        </w:rPr>
      </w:pPr>
    </w:p>
    <w:p>
      <w:pPr>
        <w:ind w:firstLine="959"/>
        <w:spacing w:after="0" w:line="29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b w:val="1"/>
          <w:bCs w:val="1"/>
          <w:color w:val="auto"/>
        </w:rPr>
        <w:t>Treasurer’s Bond</w:t>
      </w:r>
      <w:r>
        <w:rPr>
          <w:rFonts w:ascii="Arial" w:cs="Arial" w:eastAsia="Arial" w:hAnsi="Arial"/>
          <w:sz w:val="16"/>
          <w:szCs w:val="16"/>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52" w:lineRule="exact"/>
        <w:rPr>
          <w:sz w:val="20"/>
          <w:szCs w:val="20"/>
          <w:color w:val="auto"/>
        </w:rPr>
      </w:pPr>
    </w:p>
    <w:p>
      <w:pPr>
        <w:ind w:right="60" w:firstLine="959"/>
        <w:spacing w:after="0" w:line="269"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b w:val="1"/>
          <w:bCs w:val="1"/>
          <w:color w:val="auto"/>
        </w:rPr>
        <w:t>Duties of Assistant Treasurer</w:t>
      </w:r>
      <w:r>
        <w:rPr>
          <w:rFonts w:ascii="Arial" w:cs="Arial" w:eastAsia="Arial" w:hAnsi="Arial"/>
          <w:sz w:val="17"/>
          <w:szCs w:val="17"/>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 OF STOCK</w:t>
      </w:r>
    </w:p>
    <w:p>
      <w:pPr>
        <w:spacing w:after="0" w:line="204" w:lineRule="exact"/>
        <w:rPr>
          <w:sz w:val="20"/>
          <w:szCs w:val="20"/>
          <w:color w:val="auto"/>
        </w:rPr>
      </w:pPr>
    </w:p>
    <w:p>
      <w:pPr>
        <w:ind w:right="80" w:firstLine="959"/>
        <w:spacing w:after="0" w:line="30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Stock Certificates</w:t>
      </w:r>
      <w:r>
        <w:rPr>
          <w:rFonts w:ascii="Arial" w:cs="Arial" w:eastAsia="Arial" w:hAnsi="Arial"/>
          <w:sz w:val="16"/>
          <w:szCs w:val="16"/>
          <w:color w:val="auto"/>
        </w:rPr>
        <w:t>.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51" w:lineRule="exact"/>
        <w:rPr>
          <w:sz w:val="20"/>
          <w:szCs w:val="20"/>
          <w:color w:val="auto"/>
        </w:rPr>
      </w:pPr>
    </w:p>
    <w:p>
      <w:pPr>
        <w:ind w:right="340" w:firstLine="959"/>
        <w:spacing w:after="0" w:line="320" w:lineRule="auto"/>
        <w:rPr>
          <w:sz w:val="20"/>
          <w:szCs w:val="20"/>
          <w:color w:val="auto"/>
        </w:rPr>
      </w:pPr>
      <w:r>
        <w:rPr>
          <w:rFonts w:ascii="Arial" w:cs="Arial" w:eastAsia="Arial" w:hAnsi="Arial"/>
          <w:sz w:val="16"/>
          <w:szCs w:val="16"/>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36" w:lineRule="exact"/>
        <w:rPr>
          <w:sz w:val="20"/>
          <w:szCs w:val="20"/>
          <w:color w:val="auto"/>
        </w:rPr>
      </w:pPr>
    </w:p>
    <w:p>
      <w:pPr>
        <w:ind w:right="60" w:firstLine="959"/>
        <w:spacing w:after="0" w:line="260"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0620"/>
          </w:cols>
          <w:pgMar w:left="620" w:top="265" w:right="659" w:bottom="1440" w:gutter="0" w:footer="0" w:header="0"/>
        </w:sectPr>
      </w:pPr>
    </w:p>
    <w:bookmarkStart w:id="239" w:name="page240"/>
    <w:bookmarkEnd w:id="239"/>
    <w:p>
      <w:pPr>
        <w:jc w:val="both"/>
        <w:ind w:left="2" w:right="140" w:firstLine="95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6.2 </w:t>
      </w:r>
      <w:r>
        <w:rPr>
          <w:rFonts w:ascii="Arial" w:cs="Arial" w:eastAsia="Arial" w:hAnsi="Arial"/>
          <w:sz w:val="17"/>
          <w:szCs w:val="17"/>
          <w:b w:val="1"/>
          <w:bCs w:val="1"/>
          <w:color w:val="auto"/>
        </w:rPr>
        <w:t>Facsimile Signatures</w:t>
      </w:r>
      <w:r>
        <w:rPr>
          <w:rFonts w:ascii="Arial" w:cs="Arial" w:eastAsia="Arial" w:hAnsi="Arial"/>
          <w:sz w:val="17"/>
          <w:szCs w:val="17"/>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68" w:lineRule="exact"/>
        <w:rPr>
          <w:sz w:val="20"/>
          <w:szCs w:val="20"/>
          <w:color w:val="auto"/>
        </w:rPr>
      </w:pPr>
    </w:p>
    <w:p>
      <w:pPr>
        <w:ind w:left="2" w:right="20" w:firstLine="959"/>
        <w:spacing w:after="0" w:line="30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b w:val="1"/>
          <w:bCs w:val="1"/>
          <w:color w:val="auto"/>
        </w:rPr>
        <w:t>Lost Certificates</w:t>
      </w:r>
      <w:r>
        <w:rPr>
          <w:rFonts w:ascii="Arial" w:cs="Arial" w:eastAsia="Arial" w:hAnsi="Arial"/>
          <w:sz w:val="15"/>
          <w:szCs w:val="15"/>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47" w:lineRule="exact"/>
        <w:rPr>
          <w:sz w:val="20"/>
          <w:szCs w:val="20"/>
          <w:color w:val="auto"/>
        </w:rPr>
      </w:pPr>
    </w:p>
    <w:p>
      <w:pPr>
        <w:jc w:val="both"/>
        <w:ind w:left="2" w:right="80" w:firstLine="959"/>
        <w:spacing w:after="0" w:line="27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auto"/>
        </w:rPr>
        <w:t>Transfer of Stock</w:t>
      </w:r>
      <w:r>
        <w:rPr>
          <w:rFonts w:ascii="Arial" w:cs="Arial" w:eastAsia="Arial" w:hAnsi="Arial"/>
          <w:sz w:val="17"/>
          <w:szCs w:val="17"/>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63" w:lineRule="exact"/>
        <w:rPr>
          <w:sz w:val="20"/>
          <w:szCs w:val="20"/>
          <w:color w:val="auto"/>
        </w:rPr>
      </w:pPr>
    </w:p>
    <w:p>
      <w:pPr>
        <w:jc w:val="both"/>
        <w:ind w:left="2" w:right="140" w:firstLine="959"/>
        <w:spacing w:after="0" w:line="296"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color w:val="auto"/>
        </w:rPr>
        <w:t>Fixing a Record Date</w:t>
      </w:r>
      <w:r>
        <w:rPr>
          <w:rFonts w:ascii="Arial" w:cs="Arial" w:eastAsia="Arial" w:hAnsi="Arial"/>
          <w:sz w:val="15"/>
          <w:szCs w:val="15"/>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w:t>
      </w:r>
    </w:p>
    <w:p>
      <w:pPr>
        <w:spacing w:after="0" w:line="3" w:lineRule="exact"/>
        <w:rPr>
          <w:sz w:val="20"/>
          <w:szCs w:val="20"/>
          <w:color w:val="auto"/>
        </w:rPr>
      </w:pPr>
    </w:p>
    <w:p>
      <w:pPr>
        <w:ind w:left="2" w:hanging="2"/>
        <w:spacing w:after="0" w:line="264" w:lineRule="auto"/>
        <w:tabs>
          <w:tab w:leader="none" w:pos="33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2" w:lineRule="exact"/>
        <w:rPr>
          <w:sz w:val="20"/>
          <w:szCs w:val="20"/>
          <w:color w:val="auto"/>
        </w:rPr>
      </w:pPr>
    </w:p>
    <w:p>
      <w:pPr>
        <w:ind w:left="2" w:right="120" w:firstLine="959"/>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ectPr>
          <w:pgSz w:w="11900" w:h="16838" w:orient="portrait"/>
          <w:cols w:equalWidth="0" w:num="1">
            <w:col w:w="10622"/>
          </w:cols>
          <w:pgMar w:left="618" w:top="265" w:right="659" w:bottom="1440" w:gutter="0" w:footer="0" w:header="0"/>
        </w:sectPr>
      </w:pPr>
    </w:p>
    <w:bookmarkStart w:id="240" w:name="page241"/>
    <w:bookmarkEnd w:id="240"/>
    <w:p>
      <w:pPr>
        <w:jc w:val="center"/>
        <w:ind w:right="-1"/>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VII</w:t>
      </w:r>
    </w:p>
    <w:p>
      <w:pPr>
        <w:spacing w:after="0" w:line="32"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GENERAL PROVISIONS</w:t>
      </w:r>
    </w:p>
    <w:p>
      <w:pPr>
        <w:spacing w:after="0" w:line="204" w:lineRule="exact"/>
        <w:rPr>
          <w:sz w:val="20"/>
          <w:szCs w:val="20"/>
          <w:color w:val="auto"/>
        </w:rPr>
      </w:pPr>
    </w:p>
    <w:p>
      <w:pPr>
        <w:ind w:left="2" w:right="20" w:firstLine="959"/>
        <w:spacing w:after="0" w:line="27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Dividends</w:t>
      </w:r>
      <w:r>
        <w:rPr>
          <w:rFonts w:ascii="Arial" w:cs="Arial" w:eastAsia="Arial" w:hAnsi="Arial"/>
          <w:sz w:val="17"/>
          <w:szCs w:val="17"/>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63" w:lineRule="exact"/>
        <w:rPr>
          <w:sz w:val="20"/>
          <w:szCs w:val="20"/>
          <w:color w:val="auto"/>
        </w:rPr>
      </w:pPr>
    </w:p>
    <w:p>
      <w:pPr>
        <w:ind w:left="2" w:right="40" w:firstLine="959"/>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Reserve for Dividends</w:t>
      </w:r>
      <w:r>
        <w:rPr>
          <w:rFonts w:ascii="Arial" w:cs="Arial" w:eastAsia="Arial" w:hAnsi="Arial"/>
          <w:sz w:val="16"/>
          <w:szCs w:val="16"/>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52" w:lineRule="exact"/>
        <w:rPr>
          <w:sz w:val="20"/>
          <w:szCs w:val="20"/>
          <w:color w:val="auto"/>
        </w:rPr>
      </w:pPr>
    </w:p>
    <w:p>
      <w:pPr>
        <w:ind w:left="2" w:right="60" w:firstLine="959"/>
        <w:spacing w:after="0" w:line="295"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Checks</w:t>
      </w:r>
      <w:r>
        <w:rPr>
          <w:rFonts w:ascii="Arial" w:cs="Arial" w:eastAsia="Arial" w:hAnsi="Arial"/>
          <w:sz w:val="17"/>
          <w:szCs w:val="17"/>
          <w:color w:val="auto"/>
        </w:rPr>
        <w:t>. All checks or demands for money and notes of the corporation shall be signed by such officer or officers or such other person or persons as the Board of Directors may from time to time designate.</w:t>
      </w:r>
    </w:p>
    <w:p>
      <w:pPr>
        <w:spacing w:after="0" w:line="146" w:lineRule="exact"/>
        <w:rPr>
          <w:sz w:val="20"/>
          <w:szCs w:val="20"/>
          <w:color w:val="auto"/>
        </w:rPr>
      </w:pPr>
    </w:p>
    <w:p>
      <w:pPr>
        <w:ind w:left="962"/>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Fiscal Year</w:t>
      </w:r>
      <w:r>
        <w:rPr>
          <w:rFonts w:ascii="Arial" w:cs="Arial" w:eastAsia="Arial" w:hAnsi="Arial"/>
          <w:sz w:val="17"/>
          <w:szCs w:val="17"/>
          <w:color w:val="auto"/>
        </w:rPr>
        <w:t>. The fiscal year of the corporation shall be fixed by resolution of the Board of Directors.</w:t>
      </w:r>
    </w:p>
    <w:p>
      <w:pPr>
        <w:spacing w:after="0" w:line="222" w:lineRule="exact"/>
        <w:rPr>
          <w:sz w:val="20"/>
          <w:szCs w:val="20"/>
          <w:color w:val="auto"/>
        </w:rPr>
      </w:pPr>
    </w:p>
    <w:p>
      <w:pPr>
        <w:ind w:left="2" w:right="120" w:firstLine="959"/>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Corporate Seal</w:t>
      </w:r>
      <w:r>
        <w:rPr>
          <w:rFonts w:ascii="Arial" w:cs="Arial" w:eastAsia="Arial" w:hAnsi="Arial"/>
          <w:sz w:val="17"/>
          <w:szCs w:val="17"/>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63" w:lineRule="exact"/>
        <w:rPr>
          <w:sz w:val="20"/>
          <w:szCs w:val="20"/>
          <w:color w:val="auto"/>
        </w:rPr>
      </w:pPr>
    </w:p>
    <w:p>
      <w:pPr>
        <w:ind w:left="2" w:right="40" w:firstLine="959"/>
        <w:spacing w:after="0" w:line="293"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b w:val="1"/>
          <w:bCs w:val="1"/>
          <w:color w:val="auto"/>
        </w:rPr>
        <w:t>Indemnification</w:t>
      </w:r>
      <w:r>
        <w:rPr>
          <w:rFonts w:ascii="Arial" w:cs="Arial" w:eastAsia="Arial" w:hAnsi="Arial"/>
          <w:sz w:val="15"/>
          <w:szCs w:val="15"/>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w:t>
      </w:r>
    </w:p>
    <w:p>
      <w:pPr>
        <w:spacing w:after="0" w:line="4" w:lineRule="exact"/>
        <w:rPr>
          <w:sz w:val="20"/>
          <w:szCs w:val="20"/>
          <w:color w:val="auto"/>
        </w:rPr>
      </w:pPr>
    </w:p>
    <w:p>
      <w:pPr>
        <w:ind w:left="2" w:hanging="2"/>
        <w:spacing w:after="0" w:line="264" w:lineRule="auto"/>
        <w:tabs>
          <w:tab w:leader="none" w:pos="30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ectPr>
          <w:pgSz w:w="11900" w:h="16838" w:orient="portrait"/>
          <w:cols w:equalWidth="0" w:num="1">
            <w:col w:w="10642"/>
          </w:cols>
          <w:pgMar w:left="618" w:top="265" w:right="639" w:bottom="1440" w:gutter="0" w:footer="0" w:header="0"/>
        </w:sectPr>
      </w:pPr>
    </w:p>
    <w:bookmarkStart w:id="241" w:name="page242"/>
    <w:bookmarkEnd w:id="241"/>
    <w:p>
      <w:pPr>
        <w:ind w:firstLine="959"/>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Expenses incurred by a director of the corporation in defending a civil or criminal action, suit or proceeding by reason of the fact that </w:t>
      </w:r>
      <w:r>
        <w:rPr>
          <w:rFonts w:ascii="Arial" w:cs="Arial" w:eastAsia="Arial" w:hAnsi="Arial"/>
          <w:sz w:val="16"/>
          <w:szCs w:val="16"/>
          <w:b w:val="1"/>
          <w:bCs w:val="1"/>
          <w:color w:val="auto"/>
        </w:rPr>
        <w:t>he</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she </w:t>
      </w:r>
      <w:r>
        <w:rPr>
          <w:rFonts w:ascii="Arial" w:cs="Arial" w:eastAsia="Arial" w:hAnsi="Arial"/>
          <w:sz w:val="16"/>
          <w:szCs w:val="16"/>
          <w:color w:val="auto"/>
        </w:rPr>
        <w:t>is or was a director of the corporation (or was serving at the corporation’s request as a director or officer of another corporation) shall be paid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in advance of the final disposition of such action, suit or proceeding upon receipt of an undertaking by or on behalf of such director to repay such amount if it shall ultimately be determined that </w:t>
      </w:r>
      <w:r>
        <w:rPr>
          <w:rFonts w:ascii="Arial" w:cs="Arial" w:eastAsia="Arial" w:hAnsi="Arial"/>
          <w:sz w:val="16"/>
          <w:szCs w:val="16"/>
          <w:b w:val="1"/>
          <w:bCs w:val="1"/>
          <w:color w:val="auto"/>
        </w:rPr>
        <w:t>he</w:t>
      </w:r>
      <w:r>
        <w:rPr>
          <w:rFonts w:ascii="Arial" w:cs="Arial" w:eastAsia="Arial" w:hAnsi="Arial"/>
          <w:sz w:val="16"/>
          <w:szCs w:val="16"/>
          <w:color w:val="auto"/>
        </w:rPr>
        <w:t xml:space="preserve"> or </w:t>
      </w:r>
      <w:r>
        <w:rPr>
          <w:rFonts w:ascii="Arial" w:cs="Arial" w:eastAsia="Arial" w:hAnsi="Arial"/>
          <w:sz w:val="16"/>
          <w:szCs w:val="16"/>
          <w:b w:val="1"/>
          <w:bCs w:val="1"/>
          <w:color w:val="auto"/>
        </w:rPr>
        <w:t>she</w:t>
      </w:r>
      <w:r>
        <w:rPr>
          <w:rFonts w:ascii="Arial" w:cs="Arial" w:eastAsia="Arial" w:hAnsi="Arial"/>
          <w:sz w:val="16"/>
          <w:szCs w:val="16"/>
          <w:color w:val="auto"/>
        </w:rPr>
        <w:t xml:space="preserv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69" w:lineRule="exact"/>
        <w:rPr>
          <w:sz w:val="20"/>
          <w:szCs w:val="20"/>
          <w:color w:val="auto"/>
        </w:rPr>
      </w:pPr>
    </w:p>
    <w:p>
      <w:pPr>
        <w:ind w:right="20" w:firstLine="959"/>
        <w:spacing w:after="0" w:line="266" w:lineRule="auto"/>
        <w:rPr>
          <w:sz w:val="20"/>
          <w:szCs w:val="20"/>
          <w:color w:val="auto"/>
        </w:rPr>
      </w:pPr>
      <w:r>
        <w:rPr>
          <w:rFonts w:ascii="Arial" w:cs="Arial" w:eastAsia="Arial" w:hAnsi="Arial"/>
          <w:sz w:val="17"/>
          <w:szCs w:val="17"/>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78" w:lineRule="exact"/>
        <w:rPr>
          <w:sz w:val="20"/>
          <w:szCs w:val="20"/>
          <w:color w:val="auto"/>
        </w:rPr>
      </w:pPr>
    </w:p>
    <w:p>
      <w:pPr>
        <w:ind w:right="140" w:firstLine="959"/>
        <w:spacing w:after="0" w:line="272" w:lineRule="auto"/>
        <w:rPr>
          <w:sz w:val="20"/>
          <w:szCs w:val="20"/>
          <w:color w:val="auto"/>
        </w:rPr>
      </w:pPr>
      <w:r>
        <w:rPr>
          <w:rFonts w:ascii="Arial" w:cs="Arial" w:eastAsia="Arial" w:hAnsi="Arial"/>
          <w:sz w:val="17"/>
          <w:szCs w:val="17"/>
          <w:color w:val="auto"/>
        </w:rPr>
        <w:t xml:space="preserve">The Board of Directors in its sole discretion shall have power on behalf of the corporation to indemnify any person, other than a director, made a party to any action, suit or proceeding by reason of the fact that </w:t>
      </w:r>
      <w:r>
        <w:rPr>
          <w:rFonts w:ascii="Arial" w:cs="Arial" w:eastAsia="Arial" w:hAnsi="Arial"/>
          <w:sz w:val="17"/>
          <w:szCs w:val="17"/>
          <w:b w:val="1"/>
          <w:bCs w:val="1"/>
          <w:color w:val="auto"/>
        </w:rPr>
        <w:t>he</w:t>
      </w:r>
      <w:r>
        <w:rPr>
          <w:rFonts w:ascii="Arial" w:cs="Arial" w:eastAsia="Arial" w:hAnsi="Arial"/>
          <w:sz w:val="17"/>
          <w:szCs w:val="17"/>
          <w:color w:val="auto"/>
        </w:rPr>
        <w:t xml:space="preserve"> or </w:t>
      </w:r>
      <w:r>
        <w:rPr>
          <w:rFonts w:ascii="Arial" w:cs="Arial" w:eastAsia="Arial" w:hAnsi="Arial"/>
          <w:sz w:val="17"/>
          <w:szCs w:val="17"/>
          <w:b w:val="1"/>
          <w:bCs w:val="1"/>
          <w:color w:val="auto"/>
        </w:rPr>
        <w:t>she</w:t>
      </w:r>
      <w:r>
        <w:rPr>
          <w:rFonts w:ascii="Arial" w:cs="Arial" w:eastAsia="Arial" w:hAnsi="Arial"/>
          <w:sz w:val="17"/>
          <w:szCs w:val="17"/>
          <w:color w:val="auto"/>
        </w:rPr>
        <w:t>, his testator or intestate, is or was an officer or employee of the corporation.</w:t>
      </w:r>
    </w:p>
    <w:p>
      <w:pPr>
        <w:spacing w:after="0" w:line="171" w:lineRule="exact"/>
        <w:rPr>
          <w:sz w:val="20"/>
          <w:szCs w:val="20"/>
          <w:color w:val="auto"/>
        </w:rPr>
      </w:pPr>
    </w:p>
    <w:p>
      <w:pPr>
        <w:ind w:firstLine="959"/>
        <w:spacing w:after="0" w:line="279" w:lineRule="auto"/>
        <w:rPr>
          <w:sz w:val="20"/>
          <w:szCs w:val="20"/>
          <w:color w:val="auto"/>
        </w:rPr>
      </w:pPr>
      <w:r>
        <w:rPr>
          <w:rFonts w:ascii="Arial" w:cs="Arial" w:eastAsia="Arial" w:hAnsi="Arial"/>
          <w:sz w:val="16"/>
          <w:szCs w:val="16"/>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CERTIFICATE OF INCORPORATION GOVERNS</w:t>
      </w:r>
    </w:p>
    <w:p>
      <w:pPr>
        <w:spacing w:after="0" w:line="222" w:lineRule="exact"/>
        <w:rPr>
          <w:sz w:val="20"/>
          <w:szCs w:val="20"/>
          <w:color w:val="auto"/>
        </w:rPr>
      </w:pPr>
    </w:p>
    <w:p>
      <w:pPr>
        <w:ind w:right="320" w:firstLine="959"/>
        <w:spacing w:after="0" w:line="295"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Conflicts with Certificate of Incorporation</w:t>
      </w:r>
      <w:r>
        <w:rPr>
          <w:rFonts w:ascii="Arial" w:cs="Arial" w:eastAsia="Arial" w:hAnsi="Arial"/>
          <w:sz w:val="17"/>
          <w:szCs w:val="17"/>
          <w:color w:val="auto"/>
        </w:rPr>
        <w:t>. In the event of any conflict between the provisions of the corporation’s certificate of incorporation and these bylaws, the provisions of the certificate of incorporation shall govern.</w:t>
      </w:r>
    </w:p>
    <w:p>
      <w:pPr>
        <w:sectPr>
          <w:pgSz w:w="11900" w:h="16838" w:orient="portrait"/>
          <w:cols w:equalWidth="0" w:num="1">
            <w:col w:w="10640"/>
          </w:cols>
          <w:pgMar w:left="620" w:top="265" w:right="639" w:bottom="1440" w:gutter="0" w:footer="0" w:header="0"/>
        </w:sectPr>
      </w:pPr>
    </w:p>
    <w:bookmarkStart w:id="242" w:name="page243"/>
    <w:bookmarkEnd w:id="242"/>
    <w:p>
      <w:pPr>
        <w:ind w:left="47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VIII</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AMENDMENTS</w:t>
      </w:r>
    </w:p>
    <w:p>
      <w:pPr>
        <w:spacing w:after="0" w:line="210" w:lineRule="exact"/>
        <w:rPr>
          <w:sz w:val="20"/>
          <w:szCs w:val="20"/>
          <w:color w:val="auto"/>
        </w:rPr>
      </w:pPr>
    </w:p>
    <w:p>
      <w:pPr>
        <w:jc w:val="both"/>
        <w:ind w:firstLine="959"/>
        <w:spacing w:after="0" w:line="284" w:lineRule="auto"/>
        <w:rPr>
          <w:sz w:val="20"/>
          <w:szCs w:val="20"/>
          <w:color w:val="auto"/>
        </w:rPr>
      </w:pPr>
      <w:r>
        <w:rPr>
          <w:rFonts w:ascii="Arial" w:cs="Arial" w:eastAsia="Arial" w:hAnsi="Arial"/>
          <w:sz w:val="16"/>
          <w:szCs w:val="16"/>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LOANS TO OFFICERS</w:t>
      </w:r>
    </w:p>
    <w:p>
      <w:pPr>
        <w:spacing w:after="0" w:line="210" w:lineRule="exact"/>
        <w:rPr>
          <w:sz w:val="20"/>
          <w:szCs w:val="20"/>
          <w:color w:val="auto"/>
        </w:rPr>
      </w:pPr>
    </w:p>
    <w:p>
      <w:pPr>
        <w:ind w:right="20" w:firstLine="959"/>
        <w:spacing w:after="0" w:line="262" w:lineRule="auto"/>
        <w:rPr>
          <w:sz w:val="20"/>
          <w:szCs w:val="20"/>
          <w:color w:val="auto"/>
        </w:rPr>
      </w:pPr>
      <w:r>
        <w:rPr>
          <w:rFonts w:ascii="Arial" w:cs="Arial" w:eastAsia="Arial" w:hAnsi="Arial"/>
          <w:sz w:val="17"/>
          <w:szCs w:val="17"/>
          <w:color w:val="auto"/>
        </w:rPr>
        <w:t>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ectPr>
          <w:pgSz w:w="11900" w:h="16838" w:orient="portrait"/>
          <w:cols w:equalWidth="0" w:num="1">
            <w:col w:w="10640"/>
          </w:cols>
          <w:pgMar w:left="620" w:top="264" w:right="6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b w:val="1"/>
          <w:bCs w:val="1"/>
          <w:color w:val="auto"/>
        </w:rPr>
        <w:t>Exhibit 4.1</w:t>
      </w:r>
    </w:p>
    <w:p>
      <w:pPr>
        <w:spacing w:after="0" w:line="22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22" w:lineRule="exact"/>
        <w:rPr>
          <w:sz w:val="20"/>
          <w:szCs w:val="20"/>
          <w:color w:val="auto"/>
        </w:rPr>
      </w:pPr>
    </w:p>
    <w:p>
      <w:pPr>
        <w:ind w:left="2" w:right="100" w:firstLine="426"/>
        <w:spacing w:after="0" w:line="275" w:lineRule="auto"/>
        <w:rPr>
          <w:sz w:val="20"/>
          <w:szCs w:val="20"/>
          <w:color w:val="auto"/>
        </w:rPr>
      </w:pPr>
      <w:r>
        <w:rPr>
          <w:rFonts w:ascii="Arial" w:cs="Arial" w:eastAsia="Arial" w:hAnsi="Arial"/>
          <w:sz w:val="17"/>
          <w:szCs w:val="17"/>
          <w:b w:val="1"/>
          <w:bCs w:val="1"/>
          <w:color w:val="auto"/>
        </w:rPr>
        <w:t xml:space="preserve">THIS AMENDED AND RESTATED INVESTORS’ RIGHTS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9th day of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2018, by and among Keros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37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u w:val="single" w:color="auto"/>
          <w:color w:val="auto"/>
        </w:rPr>
        <w:t>RECITALS</w:t>
      </w:r>
    </w:p>
    <w:p>
      <w:pPr>
        <w:spacing w:after="0" w:line="222" w:lineRule="exact"/>
        <w:rPr>
          <w:sz w:val="20"/>
          <w:szCs w:val="20"/>
          <w:color w:val="auto"/>
        </w:rPr>
      </w:pPr>
    </w:p>
    <w:p>
      <w:pPr>
        <w:ind w:left="2" w:right="180" w:firstLine="959"/>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of the Investors (the “</w:t>
      </w:r>
      <w:r>
        <w:rPr>
          <w:rFonts w:ascii="Arial" w:cs="Arial" w:eastAsia="Arial" w:hAnsi="Arial"/>
          <w:sz w:val="17"/>
          <w:szCs w:val="17"/>
          <w:b w:val="1"/>
          <w:bCs w:val="1"/>
          <w:color w:val="auto"/>
        </w:rPr>
        <w:t>Existing Investors</w:t>
      </w:r>
      <w:r>
        <w:rPr>
          <w:rFonts w:ascii="Arial" w:cs="Arial" w:eastAsia="Arial" w:hAnsi="Arial"/>
          <w:sz w:val="17"/>
          <w:szCs w:val="17"/>
          <w:color w:val="auto"/>
        </w:rPr>
        <w:t>”) hold shares of the Company’s Series A Preferred Stock, Series A-1</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and/or shares of Common Stock issued upon conversion thereof and possess registration rights, information rights, rights of first offer, and other rights pursuant to an Amended and Restated Investors’ Rights Agreement dated as of August 16, 2016 between the Company and such Investors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68" w:lineRule="exact"/>
        <w:rPr>
          <w:sz w:val="20"/>
          <w:szCs w:val="20"/>
          <w:color w:val="auto"/>
        </w:rPr>
      </w:pPr>
    </w:p>
    <w:p>
      <w:pPr>
        <w:ind w:left="2" w:right="380" w:firstLine="959"/>
        <w:spacing w:after="0" w:line="29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Existing Investors desire to amend and restate the Prior Agreement in its entirety and to accept the rights created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in lieu of the rights granted to them under the Prior Agreement; and</w:t>
      </w:r>
    </w:p>
    <w:p>
      <w:pPr>
        <w:spacing w:after="0" w:line="146" w:lineRule="exact"/>
        <w:rPr>
          <w:sz w:val="20"/>
          <w:szCs w:val="20"/>
          <w:color w:val="auto"/>
        </w:rPr>
      </w:pPr>
    </w:p>
    <w:p>
      <w:pPr>
        <w:ind w:left="2" w:right="100" w:firstLine="959"/>
        <w:spacing w:after="0" w:line="30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certain Investors are parties to that certain Series B-1/B-2 Preferred Stock Purchase Agreement of even date herewith</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and certain of the Investors (the “</w:t>
      </w:r>
      <w:r>
        <w:rPr>
          <w:rFonts w:ascii="Arial" w:cs="Arial" w:eastAsia="Arial" w:hAnsi="Arial"/>
          <w:sz w:val="16"/>
          <w:szCs w:val="16"/>
          <w:b w:val="1"/>
          <w:bCs w:val="1"/>
          <w:color w:val="auto"/>
        </w:rPr>
        <w:t>Purchase Agreement</w:t>
      </w:r>
      <w:r>
        <w:rPr>
          <w:rFonts w:ascii="Arial" w:cs="Arial" w:eastAsia="Arial" w:hAnsi="Arial"/>
          <w:sz w:val="16"/>
          <w:szCs w:val="16"/>
          <w:color w:val="auto"/>
        </w:rPr>
        <w:t>”), under which certain of the Company’s and such Investors’ obligations are conditioned upon the execution and delivery of this Agreement by such Investors, certain Existing Investors and the Company.</w:t>
      </w:r>
    </w:p>
    <w:p>
      <w:pPr>
        <w:spacing w:after="0" w:line="145" w:lineRule="exact"/>
        <w:rPr>
          <w:sz w:val="20"/>
          <w:szCs w:val="20"/>
          <w:color w:val="auto"/>
        </w:rPr>
      </w:pPr>
    </w:p>
    <w:p>
      <w:pPr>
        <w:ind w:left="2" w:right="360" w:firstLine="959"/>
        <w:spacing w:after="0" w:line="295"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Existing Investors hereby agree that the Prior Agreement shall be amended and restated and replaced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by this Agreement, and the parties to this Agreement further agree as follows:</w:t>
      </w:r>
    </w:p>
    <w:p>
      <w:pPr>
        <w:spacing w:after="0" w:line="146" w:lineRule="exact"/>
        <w:rPr>
          <w:sz w:val="20"/>
          <w:szCs w:val="20"/>
          <w:color w:val="auto"/>
        </w:rPr>
      </w:pPr>
    </w:p>
    <w:p>
      <w:pPr>
        <w:ind w:left="182" w:hanging="182"/>
        <w:spacing w:after="0"/>
        <w:tabs>
          <w:tab w:leader="none" w:pos="182"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For purposes of this Agreement:</w:t>
      </w:r>
    </w:p>
    <w:p>
      <w:pPr>
        <w:spacing w:after="0" w:line="118" w:lineRule="exact"/>
        <w:rPr>
          <w:sz w:val="20"/>
          <w:szCs w:val="20"/>
          <w:color w:val="auto"/>
        </w:rPr>
      </w:pPr>
    </w:p>
    <w:p>
      <w:pPr>
        <w:ind w:left="2" w:right="40" w:firstLine="426"/>
        <w:spacing w:after="0" w:line="26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8"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Common Stock</w:t>
      </w:r>
      <w:r>
        <w:rPr>
          <w:rFonts w:ascii="Arial" w:cs="Arial" w:eastAsia="Arial" w:hAnsi="Arial"/>
          <w:sz w:val="17"/>
          <w:szCs w:val="17"/>
          <w:color w:val="auto"/>
        </w:rPr>
        <w:t>” means shares of the Company’s common stock, par value $0.0001 per share.</w:t>
      </w:r>
    </w:p>
    <w:p>
      <w:pPr>
        <w:spacing w:after="0" w:line="222" w:lineRule="exact"/>
        <w:rPr>
          <w:sz w:val="20"/>
          <w:szCs w:val="20"/>
          <w:color w:val="auto"/>
        </w:rPr>
      </w:pPr>
    </w:p>
    <w:p>
      <w:pPr>
        <w:ind w:left="2" w:right="100" w:firstLine="426"/>
        <w:spacing w:after="0" w:line="315" w:lineRule="auto"/>
        <w:rPr>
          <w:sz w:val="20"/>
          <w:szCs w:val="20"/>
          <w:color w:val="auto"/>
        </w:rPr>
      </w:pPr>
      <w:r>
        <w:rPr>
          <w:rFonts w:ascii="Arial" w:cs="Arial" w:eastAsia="Arial" w:hAnsi="Arial"/>
          <w:sz w:val="15"/>
          <w:szCs w:val="15"/>
          <w:color w:val="auto"/>
        </w:rPr>
        <w:t>1.3 “</w:t>
      </w:r>
      <w:r>
        <w:rPr>
          <w:rFonts w:ascii="Arial" w:cs="Arial" w:eastAsia="Arial" w:hAnsi="Arial"/>
          <w:sz w:val="15"/>
          <w:szCs w:val="15"/>
          <w:b w:val="1"/>
          <w:bCs w:val="1"/>
          <w:color w:val="auto"/>
        </w:rPr>
        <w:t>Competitor</w:t>
      </w:r>
      <w:r>
        <w:rPr>
          <w:rFonts w:ascii="Arial" w:cs="Arial" w:eastAsia="Arial" w:hAnsi="Arial"/>
          <w:sz w:val="15"/>
          <w:szCs w:val="15"/>
          <w:color w:val="auto"/>
        </w:rPr>
        <w:t>” means a Person engaged, directly or indirectly (including through any partnership, limited liability company, corporation, joint venture or similar arrangement (whether now existing or formed hereafter)), in the same or similar business as the Company,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ectPr>
          <w:pgSz w:w="11900" w:h="16838" w:orient="portrait"/>
          <w:cols w:equalWidth="0" w:num="1">
            <w:col w:w="10662"/>
          </w:cols>
          <w:pgMar w:left="618" w:top="121" w:right="619" w:bottom="1440" w:gutter="0" w:footer="0" w:header="0"/>
        </w:sectPr>
      </w:pPr>
    </w:p>
    <w:bookmarkStart w:id="244" w:name="page245"/>
    <w:bookmarkEnd w:id="244"/>
    <w:p>
      <w:pPr>
        <w:ind w:right="40" w:firstLine="42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1.4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63" w:lineRule="exact"/>
        <w:rPr>
          <w:sz w:val="20"/>
          <w:szCs w:val="20"/>
          <w:color w:val="auto"/>
        </w:rPr>
      </w:pPr>
    </w:p>
    <w:p>
      <w:pPr>
        <w:ind w:right="740" w:firstLine="426"/>
        <w:spacing w:after="0" w:line="295"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Derivative Securities</w:t>
      </w:r>
      <w:r>
        <w:rPr>
          <w:rFonts w:ascii="Arial" w:cs="Arial" w:eastAsia="Arial" w:hAnsi="Arial"/>
          <w:sz w:val="17"/>
          <w:szCs w:val="17"/>
          <w:color w:val="auto"/>
        </w:rPr>
        <w:t>” means any securities or rights convertible into, or exercisable or exchangeable for (in each case, directly or indirectly), Common Stock, including options and warrants.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2" w:lineRule="exact"/>
        <w:rPr>
          <w:sz w:val="20"/>
          <w:szCs w:val="20"/>
          <w:color w:val="auto"/>
        </w:rPr>
      </w:pPr>
    </w:p>
    <w:p>
      <w:pPr>
        <w:ind w:firstLine="426"/>
        <w:spacing w:after="0" w:line="266" w:lineRule="auto"/>
        <w:rPr>
          <w:sz w:val="20"/>
          <w:szCs w:val="20"/>
          <w:color w:val="auto"/>
        </w:rPr>
      </w:pPr>
      <w:r>
        <w:rPr>
          <w:rFonts w:ascii="Arial" w:cs="Arial" w:eastAsia="Arial" w:hAnsi="Arial"/>
          <w:sz w:val="17"/>
          <w:szCs w:val="17"/>
          <w:color w:val="auto"/>
        </w:rPr>
        <w:t>1.7 “</w:t>
      </w:r>
      <w:r>
        <w:rPr>
          <w:rFonts w:ascii="Arial" w:cs="Arial" w:eastAsia="Arial" w:hAnsi="Arial"/>
          <w:sz w:val="17"/>
          <w:szCs w:val="17"/>
          <w:b w:val="1"/>
          <w:bCs w:val="1"/>
          <w:color w:val="auto"/>
        </w:rPr>
        <w:t>Excluded Registration</w:t>
      </w:r>
      <w:r>
        <w:rPr>
          <w:rFonts w:ascii="Arial" w:cs="Arial" w:eastAsia="Arial" w:hAnsi="Arial"/>
          <w:sz w:val="17"/>
          <w:szCs w:val="17"/>
          <w:color w:val="auto"/>
        </w:rPr>
        <w:t>” means (a) a registration relating to the sale of securities to employees of the Company or a subsidiary pursuant to a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pacing w:after="0" w:line="170" w:lineRule="exact"/>
        <w:rPr>
          <w:sz w:val="20"/>
          <w:szCs w:val="20"/>
          <w:color w:val="auto"/>
        </w:rPr>
      </w:pPr>
    </w:p>
    <w:p>
      <w:pPr>
        <w:ind w:right="180" w:firstLine="426"/>
        <w:spacing w:after="0" w:line="295"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Form S-1</w:t>
      </w:r>
      <w:r>
        <w:rPr>
          <w:rFonts w:ascii="Arial" w:cs="Arial" w:eastAsia="Arial" w:hAnsi="Arial"/>
          <w:sz w:val="17"/>
          <w:szCs w:val="17"/>
          <w:color w:val="auto"/>
        </w:rPr>
        <w:t>” means such form under the Securities Act as in effect on the date hereof or any successor registration form under the Securities Act subsequently adopted by the SEC.</w:t>
      </w:r>
    </w:p>
    <w:p>
      <w:pPr>
        <w:spacing w:after="0" w:line="146" w:lineRule="exact"/>
        <w:rPr>
          <w:sz w:val="20"/>
          <w:szCs w:val="20"/>
          <w:color w:val="auto"/>
        </w:rPr>
      </w:pPr>
    </w:p>
    <w:p>
      <w:pPr>
        <w:ind w:right="120" w:firstLine="426"/>
        <w:spacing w:after="0" w:line="275"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Form S-3</w:t>
      </w:r>
      <w:r>
        <w:rPr>
          <w:rFonts w:ascii="Arial" w:cs="Arial" w:eastAsia="Arial" w:hAnsi="Arial"/>
          <w:sz w:val="17"/>
          <w:szCs w:val="17"/>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Holder</w:t>
      </w:r>
      <w:r>
        <w:rPr>
          <w:rFonts w:ascii="Arial" w:cs="Arial" w:eastAsia="Arial" w:hAnsi="Arial"/>
          <w:sz w:val="17"/>
          <w:szCs w:val="17"/>
          <w:color w:val="auto"/>
        </w:rPr>
        <w:t>” means any holder of Registrable Securities who is a party to this Agreement.</w:t>
      </w:r>
    </w:p>
    <w:p>
      <w:pPr>
        <w:spacing w:after="0" w:line="222" w:lineRule="exact"/>
        <w:rPr>
          <w:sz w:val="20"/>
          <w:szCs w:val="20"/>
          <w:color w:val="auto"/>
        </w:rPr>
      </w:pPr>
    </w:p>
    <w:p>
      <w:pPr>
        <w:ind w:right="460" w:firstLine="426"/>
        <w:spacing w:after="0" w:line="366" w:lineRule="auto"/>
        <w:rPr>
          <w:sz w:val="20"/>
          <w:szCs w:val="20"/>
          <w:color w:val="auto"/>
        </w:rPr>
      </w:pPr>
      <w:r>
        <w:rPr>
          <w:rFonts w:ascii="Arial" w:cs="Arial" w:eastAsia="Arial" w:hAnsi="Arial"/>
          <w:sz w:val="15"/>
          <w:szCs w:val="15"/>
          <w:color w:val="auto"/>
        </w:rPr>
        <w:t>1.12 “</w:t>
      </w:r>
      <w:r>
        <w:rPr>
          <w:rFonts w:ascii="Arial" w:cs="Arial" w:eastAsia="Arial" w:hAnsi="Arial"/>
          <w:sz w:val="15"/>
          <w:szCs w:val="15"/>
          <w:b w:val="1"/>
          <w:bCs w:val="1"/>
          <w:color w:val="auto"/>
        </w:rPr>
        <w:t>Immediate Family Member</w:t>
      </w:r>
      <w:r>
        <w:rPr>
          <w:rFonts w:ascii="Arial" w:cs="Arial" w:eastAsia="Arial" w:hAnsi="Arial"/>
          <w:sz w:val="15"/>
          <w:szCs w:val="15"/>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Initiating Holders</w:t>
      </w:r>
      <w:r>
        <w:rPr>
          <w:rFonts w:ascii="Arial" w:cs="Arial" w:eastAsia="Arial" w:hAnsi="Arial"/>
          <w:sz w:val="17"/>
          <w:szCs w:val="17"/>
          <w:color w:val="auto"/>
        </w:rPr>
        <w:t>” means, collectively,Holders who properly initiate a registration request under this Agreement.</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620" w:top="265" w:right="679" w:bottom="1440" w:gutter="0" w:footer="0" w:header="0"/>
        </w:sectPr>
      </w:pPr>
    </w:p>
    <w:bookmarkStart w:id="245" w:name="page246"/>
    <w:bookmarkEnd w:id="245"/>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1.14 “</w:t>
      </w:r>
      <w:r>
        <w:rPr>
          <w:rFonts w:ascii="Arial" w:cs="Arial" w:eastAsia="Arial" w:hAnsi="Arial"/>
          <w:sz w:val="17"/>
          <w:szCs w:val="17"/>
          <w:b w:val="1"/>
          <w:bCs w:val="1"/>
          <w:color w:val="auto"/>
        </w:rPr>
        <w:t>IPO</w:t>
      </w:r>
      <w:r>
        <w:rPr>
          <w:rFonts w:ascii="Arial" w:cs="Arial" w:eastAsia="Arial" w:hAnsi="Arial"/>
          <w:sz w:val="17"/>
          <w:szCs w:val="17"/>
          <w:color w:val="auto"/>
        </w:rPr>
        <w:t>” means the Company’s first underwritten public offering of its Common Stock under the Securities Act.</w:t>
      </w:r>
    </w:p>
    <w:p>
      <w:pPr>
        <w:spacing w:after="0" w:line="222" w:lineRule="exact"/>
        <w:rPr>
          <w:sz w:val="20"/>
          <w:szCs w:val="20"/>
          <w:color w:val="auto"/>
        </w:rPr>
      </w:pPr>
    </w:p>
    <w:p>
      <w:pPr>
        <w:ind w:right="400" w:firstLine="426"/>
        <w:spacing w:after="0" w:line="275"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Key Employee</w:t>
      </w:r>
      <w:r>
        <w:rPr>
          <w:rFonts w:ascii="Arial" w:cs="Arial" w:eastAsia="Arial" w:hAnsi="Arial"/>
          <w:sz w:val="17"/>
          <w:szCs w:val="17"/>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63" w:lineRule="exact"/>
        <w:rPr>
          <w:sz w:val="20"/>
          <w:szCs w:val="20"/>
          <w:color w:val="auto"/>
        </w:rPr>
      </w:pPr>
    </w:p>
    <w:p>
      <w:pPr>
        <w:ind w:right="300" w:firstLine="426"/>
        <w:spacing w:after="0" w:line="275"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100,000 shares of Registrable Securities (as adjusted for any stock split, stock dividend, combination, or other recapitalization or reclassification effected after the date hereof).</w:t>
      </w:r>
    </w:p>
    <w:p>
      <w:pPr>
        <w:spacing w:after="0" w:line="163" w:lineRule="exact"/>
        <w:rPr>
          <w:sz w:val="20"/>
          <w:szCs w:val="20"/>
          <w:color w:val="auto"/>
        </w:rPr>
      </w:pPr>
    </w:p>
    <w:p>
      <w:pPr>
        <w:ind w:right="280" w:firstLine="426"/>
        <w:spacing w:after="0" w:line="275"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New Securities</w:t>
      </w:r>
      <w:r>
        <w:rPr>
          <w:rFonts w:ascii="Arial" w:cs="Arial" w:eastAsia="Arial" w:hAnsi="Arial"/>
          <w:sz w:val="17"/>
          <w:szCs w:val="17"/>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trust, limited liability company, association or other entity.</w:t>
      </w:r>
    </w:p>
    <w:p>
      <w:pPr>
        <w:spacing w:after="0" w:line="222" w:lineRule="exact"/>
        <w:rPr>
          <w:sz w:val="20"/>
          <w:szCs w:val="20"/>
          <w:color w:val="auto"/>
        </w:rPr>
      </w:pPr>
    </w:p>
    <w:p>
      <w:pPr>
        <w:ind w:right="280" w:firstLine="426"/>
        <w:spacing w:after="0" w:line="295"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Preferred Director</w:t>
      </w:r>
      <w:r>
        <w:rPr>
          <w:rFonts w:ascii="Arial" w:cs="Arial" w:eastAsia="Arial" w:hAnsi="Arial"/>
          <w:sz w:val="17"/>
          <w:szCs w:val="17"/>
          <w:color w:val="auto"/>
        </w:rPr>
        <w:t>” means any director of the Company that the holders of record of the Series A Preferred Stock or Series B Preferred Stock are entitled to elect pursuant to the Company’s Certificate of Incorporation.</w:t>
      </w:r>
    </w:p>
    <w:p>
      <w:pPr>
        <w:spacing w:after="0" w:line="146" w:lineRule="exact"/>
        <w:rPr>
          <w:sz w:val="20"/>
          <w:szCs w:val="20"/>
          <w:color w:val="auto"/>
        </w:rPr>
      </w:pPr>
    </w:p>
    <w:p>
      <w:pPr>
        <w:ind w:right="20" w:firstLine="426"/>
        <w:spacing w:after="0" w:line="295"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Preferred Stock</w:t>
      </w:r>
      <w:r>
        <w:rPr>
          <w:rFonts w:ascii="Arial" w:cs="Arial" w:eastAsia="Arial" w:hAnsi="Arial"/>
          <w:sz w:val="17"/>
          <w:szCs w:val="17"/>
          <w:color w:val="auto"/>
        </w:rPr>
        <w:t>” means, collectively, shares of Series A Preferred Stock, Series A-1 Preferred Stock, Series B-1 Preferred Stock and Series B-2 Preferred Stock.</w:t>
      </w:r>
    </w:p>
    <w:p>
      <w:pPr>
        <w:spacing w:after="0" w:line="146" w:lineRule="exact"/>
        <w:rPr>
          <w:sz w:val="20"/>
          <w:szCs w:val="20"/>
          <w:color w:val="auto"/>
        </w:rPr>
      </w:pPr>
    </w:p>
    <w:p>
      <w:pPr>
        <w:ind w:firstLine="426"/>
        <w:spacing w:after="0" w:line="262"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Common Stock issuable or issued upon conversion of the Preferred Stock; (ii) any Common Stock, or any Common Stock issued or issuable (directly or indirectly) upon conversion and/or exercise of any other securities of the Company, now held or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of this Agreement.</w:t>
      </w:r>
    </w:p>
    <w:p>
      <w:pPr>
        <w:spacing w:after="0" w:line="177" w:lineRule="exact"/>
        <w:rPr>
          <w:sz w:val="20"/>
          <w:szCs w:val="20"/>
          <w:color w:val="auto"/>
        </w:rPr>
      </w:pPr>
    </w:p>
    <w:p>
      <w:pPr>
        <w:ind w:right="20" w:firstLine="426"/>
        <w:spacing w:after="0" w:line="275"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1.23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xml:space="preserve"> 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620" w:top="264" w:right="639" w:bottom="1440" w:gutter="0" w:footer="0" w:header="0"/>
        </w:sectPr>
      </w:pPr>
    </w:p>
    <w:bookmarkStart w:id="246" w:name="page247"/>
    <w:bookmarkEnd w:id="246"/>
    <w:p>
      <w:pPr>
        <w:ind w:left="42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1.24 “</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SEC Rule 144</w:t>
      </w:r>
      <w:r>
        <w:rPr>
          <w:rFonts w:ascii="Arial" w:cs="Arial" w:eastAsia="Arial" w:hAnsi="Arial"/>
          <w:sz w:val="17"/>
          <w:szCs w:val="17"/>
          <w:color w:val="auto"/>
        </w:rPr>
        <w:t>” means Rule 144 promulgated by the SEC under the Securities Act.</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1.26 “</w:t>
      </w:r>
      <w:r>
        <w:rPr>
          <w:rFonts w:ascii="Arial" w:cs="Arial" w:eastAsia="Arial" w:hAnsi="Arial"/>
          <w:sz w:val="17"/>
          <w:szCs w:val="17"/>
          <w:b w:val="1"/>
          <w:bCs w:val="1"/>
          <w:color w:val="auto"/>
        </w:rPr>
        <w:t>SEC Rule 145</w:t>
      </w:r>
      <w:r>
        <w:rPr>
          <w:rFonts w:ascii="Arial" w:cs="Arial" w:eastAsia="Arial" w:hAnsi="Arial"/>
          <w:sz w:val="17"/>
          <w:szCs w:val="17"/>
          <w:color w:val="auto"/>
        </w:rPr>
        <w:t>” means Rule 145 promulgated by the SEC under the Securities Act.</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22" w:lineRule="exact"/>
        <w:rPr>
          <w:sz w:val="20"/>
          <w:szCs w:val="20"/>
          <w:color w:val="auto"/>
        </w:rPr>
      </w:pPr>
    </w:p>
    <w:p>
      <w:pPr>
        <w:ind w:left="2" w:firstLine="426"/>
        <w:spacing w:after="0" w:line="275"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b w:val="1"/>
          <w:bCs w:val="1"/>
          <w:color w:val="auto"/>
        </w:rPr>
        <w:t>Selling Expenses</w:t>
      </w:r>
      <w:r>
        <w:rPr>
          <w:rFonts w:ascii="Arial" w:cs="Arial" w:eastAsia="Arial" w:hAnsi="Arial"/>
          <w:sz w:val="17"/>
          <w:szCs w:val="17"/>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16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means shares of the Company’s Series A Preferred Stock, par value $0.0001 per share.</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1.30 “</w:t>
      </w:r>
      <w:r>
        <w:rPr>
          <w:rFonts w:ascii="Arial" w:cs="Arial" w:eastAsia="Arial" w:hAnsi="Arial"/>
          <w:sz w:val="17"/>
          <w:szCs w:val="17"/>
          <w:b w:val="1"/>
          <w:bCs w:val="1"/>
          <w:color w:val="auto"/>
        </w:rPr>
        <w:t>Series A-1 Preferred Stock</w:t>
      </w:r>
      <w:r>
        <w:rPr>
          <w:rFonts w:ascii="Arial" w:cs="Arial" w:eastAsia="Arial" w:hAnsi="Arial"/>
          <w:sz w:val="17"/>
          <w:szCs w:val="17"/>
          <w:color w:val="auto"/>
        </w:rPr>
        <w:t>” means shares of the Company’s Series A-1 Preferred Stock, par value $0.0001 per share.</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Series B-1 Preferred Stock</w:t>
      </w:r>
      <w:r>
        <w:rPr>
          <w:rFonts w:ascii="Arial" w:cs="Arial" w:eastAsia="Arial" w:hAnsi="Arial"/>
          <w:sz w:val="17"/>
          <w:szCs w:val="17"/>
          <w:color w:val="auto"/>
        </w:rPr>
        <w:t>” means shares of the Company’s Series B-1 Preferred Stock, par value $0.0001 per share.</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1.32 “</w:t>
      </w:r>
      <w:r>
        <w:rPr>
          <w:rFonts w:ascii="Arial" w:cs="Arial" w:eastAsia="Arial" w:hAnsi="Arial"/>
          <w:sz w:val="17"/>
          <w:szCs w:val="17"/>
          <w:b w:val="1"/>
          <w:bCs w:val="1"/>
          <w:color w:val="auto"/>
        </w:rPr>
        <w:t>Series B-2 Preferred Stock</w:t>
      </w:r>
      <w:r>
        <w:rPr>
          <w:rFonts w:ascii="Arial" w:cs="Arial" w:eastAsia="Arial" w:hAnsi="Arial"/>
          <w:sz w:val="17"/>
          <w:szCs w:val="17"/>
          <w:color w:val="auto"/>
        </w:rPr>
        <w:t>” means shares of the Company’s Series B-1 Preferred Stock, par value $0.0001 per share.</w:t>
      </w:r>
    </w:p>
    <w:p>
      <w:pPr>
        <w:spacing w:after="0" w:line="222" w:lineRule="exact"/>
        <w:rPr>
          <w:sz w:val="20"/>
          <w:szCs w:val="20"/>
          <w:color w:val="auto"/>
        </w:rPr>
      </w:pPr>
    </w:p>
    <w:p>
      <w:pPr>
        <w:ind w:left="2" w:right="20" w:firstLine="426"/>
        <w:spacing w:after="0" w:line="295"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b w:val="1"/>
          <w:bCs w:val="1"/>
          <w:color w:val="auto"/>
        </w:rPr>
        <w:t>Voting Agreement</w:t>
      </w:r>
      <w:r>
        <w:rPr>
          <w:rFonts w:ascii="Arial" w:cs="Arial" w:eastAsia="Arial" w:hAnsi="Arial"/>
          <w:sz w:val="17"/>
          <w:szCs w:val="17"/>
          <w:color w:val="auto"/>
        </w:rPr>
        <w:t>” means that certain Amended and Restated Voting Agreement by and between the Company and certain stockholders of the Company, dated on or about the date hereof.</w:t>
      </w:r>
    </w:p>
    <w:p>
      <w:pPr>
        <w:spacing w:after="0" w:line="146" w:lineRule="exact"/>
        <w:rPr>
          <w:sz w:val="20"/>
          <w:szCs w:val="20"/>
          <w:color w:val="auto"/>
        </w:rPr>
      </w:pPr>
    </w:p>
    <w:p>
      <w:pPr>
        <w:ind w:left="422" w:right="5600" w:hanging="422"/>
        <w:spacing w:after="0" w:line="516" w:lineRule="auto"/>
        <w:tabs>
          <w:tab w:leader="none" w:pos="17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Registration Rights</w:t>
      </w:r>
      <w:r>
        <w:rPr>
          <w:rFonts w:ascii="Arial" w:cs="Arial" w:eastAsia="Arial" w:hAnsi="Arial"/>
          <w:sz w:val="17"/>
          <w:szCs w:val="17"/>
          <w:color w:val="auto"/>
        </w:rPr>
        <w:t>. The Company covenants and agrees as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2.1 </w:t>
      </w:r>
      <w:r>
        <w:rPr>
          <w:rFonts w:ascii="Arial" w:cs="Arial" w:eastAsia="Arial" w:hAnsi="Arial"/>
          <w:sz w:val="17"/>
          <w:szCs w:val="17"/>
          <w:u w:val="single" w:color="auto"/>
          <w:color w:val="auto"/>
        </w:rPr>
        <w:t>Demand Registration</w:t>
      </w:r>
      <w:r>
        <w:rPr>
          <w:rFonts w:ascii="Arial" w:cs="Arial" w:eastAsia="Arial" w:hAnsi="Arial"/>
          <w:sz w:val="17"/>
          <w:szCs w:val="17"/>
          <w:color w:val="auto"/>
        </w:rPr>
        <w:t>.</w:t>
      </w:r>
    </w:p>
    <w:p>
      <w:pPr>
        <w:ind w:left="2" w:right="20" w:firstLine="957"/>
        <w:spacing w:after="0" w:line="279" w:lineRule="auto"/>
        <w:tabs>
          <w:tab w:leader="none" w:pos="1197"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the Registrable Securities then outstanding,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103"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2"/>
          </w:cols>
          <w:pgMar w:left="618" w:top="265" w:right="659" w:bottom="1440" w:gutter="0" w:footer="0" w:header="0"/>
        </w:sectPr>
      </w:pPr>
    </w:p>
    <w:bookmarkStart w:id="247" w:name="page248"/>
    <w:bookmarkEnd w:id="247"/>
    <w:p>
      <w:pPr>
        <w:ind w:left="2" w:firstLine="957"/>
        <w:spacing w:after="0" w:line="260" w:lineRule="auto"/>
        <w:tabs>
          <w:tab w:leader="none" w:pos="1207"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a majority of the Registrable Securities then outstanding that the Company file a Form S-3 registration statement with respect to outstanding Registrable Securities of such Holders having an anticipated aggregate offering price, net of Selling Expenses,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202" w:hanging="243"/>
        <w:spacing w:after="0"/>
        <w:tabs>
          <w:tab w:leader="none" w:pos="120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p>
    <w:p>
      <w:pPr>
        <w:spacing w:after="0" w:line="37" w:lineRule="exact"/>
        <w:rPr>
          <w:sz w:val="20"/>
          <w:szCs w:val="20"/>
          <w:color w:val="auto"/>
        </w:rPr>
      </w:pPr>
    </w:p>
    <w:p>
      <w:pPr>
        <w:ind w:left="2"/>
        <w:spacing w:after="0" w:line="258" w:lineRule="auto"/>
        <w:rPr>
          <w:sz w:val="20"/>
          <w:szCs w:val="20"/>
          <w:color w:val="auto"/>
        </w:rPr>
      </w:pPr>
      <w:r>
        <w:rPr>
          <w:rFonts w:ascii="Arial" w:cs="Arial" w:eastAsia="Arial" w:hAnsi="Arial"/>
          <w:sz w:val="17"/>
          <w:szCs w:val="17"/>
          <w:u w:val="single" w:color="auto"/>
          <w:color w:val="auto"/>
        </w:rPr>
        <w:t>2.1</w:t>
      </w:r>
      <w:r>
        <w:rPr>
          <w:rFonts w:ascii="Arial" w:cs="Arial" w:eastAsia="Arial" w:hAnsi="Arial"/>
          <w:sz w:val="17"/>
          <w:szCs w:val="17"/>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sixty (60) day period other than an Excluded Registration.</w:t>
      </w:r>
    </w:p>
    <w:p>
      <w:pPr>
        <w:spacing w:after="0" w:line="184" w:lineRule="exact"/>
        <w:rPr>
          <w:sz w:val="20"/>
          <w:szCs w:val="20"/>
          <w:color w:val="auto"/>
        </w:rPr>
      </w:pPr>
    </w:p>
    <w:p>
      <w:pPr>
        <w:ind w:left="2" w:firstLine="957"/>
        <w:spacing w:after="0" w:line="280" w:lineRule="auto"/>
        <w:tabs>
          <w:tab w:leader="none" w:pos="1207"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w:t>
      </w:r>
    </w:p>
    <w:p>
      <w:pPr>
        <w:ind w:left="2" w:hanging="2"/>
        <w:spacing w:after="0" w:line="299" w:lineRule="auto"/>
        <w:tabs>
          <w:tab w:leader="none" w:pos="422"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days after the effective date of, a Company-initiated registration,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5"/>
          <w:szCs w:val="15"/>
          <w:u w:val="single" w:color="auto"/>
          <w:color w:val="auto"/>
        </w:rPr>
        <w:t>Subsection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2.1(a)</w:t>
      </w:r>
      <w:r>
        <w:rPr>
          <w:rFonts w:ascii="Arial" w:cs="Arial" w:eastAsia="Arial" w:hAnsi="Arial"/>
          <w:sz w:val="15"/>
          <w:szCs w:val="15"/>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5"/>
          <w:szCs w:val="15"/>
          <w:u w:val="single" w:color="auto"/>
          <w:color w:val="auto"/>
        </w:rPr>
        <w:t>Subsection 2.1(b)</w:t>
      </w:r>
      <w:r>
        <w:rPr>
          <w:rFonts w:ascii="Arial" w:cs="Arial" w:eastAsia="Arial" w:hAnsi="Arial"/>
          <w:sz w:val="15"/>
          <w:szCs w:val="15"/>
          <w:color w:val="auto"/>
        </w:rPr>
        <w:t xml:space="preserve">. The Company shall not be obligated to effect, or to take any action to effect, any registration pursuant to </w:t>
      </w:r>
      <w:r>
        <w:rPr>
          <w:rFonts w:ascii="Arial" w:cs="Arial" w:eastAsia="Arial" w:hAnsi="Arial"/>
          <w:sz w:val="15"/>
          <w:szCs w:val="15"/>
          <w:u w:val="single" w:color="auto"/>
          <w:color w:val="auto"/>
        </w:rPr>
        <w:t>Subsection 2.1(b)</w:t>
      </w:r>
      <w:r>
        <w:rPr>
          <w:rFonts w:ascii="Arial" w:cs="Arial" w:eastAsia="Arial" w:hAnsi="Arial"/>
          <w:sz w:val="15"/>
          <w:szCs w:val="15"/>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5"/>
          <w:szCs w:val="15"/>
          <w:i w:val="1"/>
          <w:iCs w:val="1"/>
          <w:color w:val="auto"/>
        </w:rPr>
        <w:t>provided</w:t>
      </w:r>
      <w:r>
        <w:rPr>
          <w:rFonts w:ascii="Arial" w:cs="Arial" w:eastAsia="Arial" w:hAnsi="Arial"/>
          <w:sz w:val="15"/>
          <w:szCs w:val="15"/>
          <w:color w:val="auto"/>
        </w:rPr>
        <w:t>, that the Company is actively employing in good faith commercially reasonable efforts to cause such registration statement to become effective; or (ii) if the Company has effected two registrations</w:t>
      </w:r>
    </w:p>
    <w:p>
      <w:pPr>
        <w:spacing w:after="0" w:line="8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42"/>
          </w:cols>
          <w:pgMar w:left="618" w:top="271" w:right="639" w:bottom="1440" w:gutter="0" w:footer="0" w:header="0"/>
        </w:sectPr>
      </w:pPr>
    </w:p>
    <w:bookmarkStart w:id="248" w:name="page249"/>
    <w:bookmarkEnd w:id="248"/>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178" w:lineRule="exact"/>
        <w:rPr>
          <w:sz w:val="20"/>
          <w:szCs w:val="20"/>
          <w:color w:val="auto"/>
        </w:rPr>
      </w:pPr>
    </w:p>
    <w:p>
      <w:pPr>
        <w:ind w:firstLine="426"/>
        <w:spacing w:after="0" w:line="27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Underwriting Requirements</w:t>
      </w:r>
      <w:r>
        <w:rPr>
          <w:rFonts w:ascii="Arial" w:cs="Arial" w:eastAsia="Arial" w:hAnsi="Arial"/>
          <w:sz w:val="17"/>
          <w:szCs w:val="17"/>
          <w:color w:val="auto"/>
        </w:rPr>
        <w:t>.</w:t>
      </w:r>
    </w:p>
    <w:p>
      <w:pPr>
        <w:spacing w:after="0" w:line="222" w:lineRule="exact"/>
        <w:rPr>
          <w:sz w:val="20"/>
          <w:szCs w:val="20"/>
          <w:color w:val="auto"/>
        </w:rPr>
      </w:pPr>
    </w:p>
    <w:p>
      <w:pPr>
        <w:ind w:firstLine="957"/>
        <w:spacing w:after="0" w:line="275" w:lineRule="auto"/>
        <w:tabs>
          <w:tab w:leader="none" w:pos="11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620" w:top="271" w:right="659" w:bottom="1440" w:gutter="0" w:footer="0" w:header="0"/>
        </w:sectPr>
      </w:pPr>
    </w:p>
    <w:bookmarkStart w:id="249" w:name="page250"/>
    <w:bookmarkEnd w:id="249"/>
    <w:p>
      <w:pPr>
        <w:ind w:firstLine="957"/>
        <w:spacing w:after="0" w:line="274" w:lineRule="auto"/>
        <w:tabs>
          <w:tab w:leader="none" w:pos="1205"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4" w:lineRule="exact"/>
        <w:rPr>
          <w:sz w:val="20"/>
          <w:szCs w:val="20"/>
          <w:color w:val="auto"/>
        </w:rPr>
      </w:pPr>
    </w:p>
    <w:p>
      <w:pPr>
        <w:ind w:right="340" w:firstLine="426"/>
        <w:spacing w:after="0" w:line="28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 Company shall, as expeditiously as reasonably possible:</w:t>
      </w:r>
    </w:p>
    <w:p>
      <w:pPr>
        <w:spacing w:after="0" w:line="55" w:lineRule="exact"/>
        <w:rPr>
          <w:sz w:val="20"/>
          <w:szCs w:val="20"/>
          <w:color w:val="auto"/>
        </w:rPr>
      </w:pPr>
    </w:p>
    <w:p>
      <w:pPr>
        <w:ind w:firstLine="957"/>
        <w:spacing w:after="0" w:line="262" w:lineRule="auto"/>
        <w:tabs>
          <w:tab w:leader="none" w:pos="119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620" w:top="271" w:right="639" w:bottom="1440" w:gutter="0" w:footer="0" w:header="0"/>
        </w:sectPr>
      </w:pPr>
    </w:p>
    <w:bookmarkStart w:id="250" w:name="page251"/>
    <w:bookmarkEnd w:id="250"/>
    <w:p>
      <w:pPr>
        <w:ind w:right="60" w:firstLine="957"/>
        <w:spacing w:after="0" w:line="272"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70" w:lineRule="exact"/>
        <w:rPr>
          <w:rFonts w:ascii="Arial" w:cs="Arial" w:eastAsia="Arial" w:hAnsi="Arial"/>
          <w:sz w:val="17"/>
          <w:szCs w:val="17"/>
          <w:color w:val="auto"/>
        </w:rPr>
      </w:pPr>
    </w:p>
    <w:p>
      <w:pPr>
        <w:ind w:right="80" w:firstLine="957"/>
        <w:spacing w:after="0" w:line="320" w:lineRule="auto"/>
        <w:tabs>
          <w:tab w:leader="none" w:pos="11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5" w:lineRule="exact"/>
        <w:rPr>
          <w:rFonts w:ascii="Arial" w:cs="Arial" w:eastAsia="Arial" w:hAnsi="Arial"/>
          <w:sz w:val="16"/>
          <w:szCs w:val="16"/>
          <w:color w:val="auto"/>
        </w:rPr>
      </w:pPr>
    </w:p>
    <w:p>
      <w:pPr>
        <w:ind w:right="40" w:firstLine="957"/>
        <w:spacing w:after="0" w:line="266"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7" w:lineRule="exact"/>
        <w:rPr>
          <w:rFonts w:ascii="Arial" w:cs="Arial" w:eastAsia="Arial" w:hAnsi="Arial"/>
          <w:sz w:val="17"/>
          <w:szCs w:val="17"/>
          <w:color w:val="auto"/>
        </w:rPr>
      </w:pPr>
    </w:p>
    <w:p>
      <w:pPr>
        <w:ind w:right="180" w:firstLine="957"/>
        <w:spacing w:after="0" w:line="287" w:lineRule="auto"/>
        <w:tabs>
          <w:tab w:leader="none" w:pos="11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underwriter(s) of such offering;</w:t>
      </w:r>
    </w:p>
    <w:p>
      <w:pPr>
        <w:spacing w:after="0" w:line="159" w:lineRule="exact"/>
        <w:rPr>
          <w:rFonts w:ascii="Arial" w:cs="Arial" w:eastAsia="Arial" w:hAnsi="Arial"/>
          <w:sz w:val="17"/>
          <w:szCs w:val="17"/>
          <w:color w:val="auto"/>
        </w:rPr>
      </w:pPr>
    </w:p>
    <w:p>
      <w:pPr>
        <w:ind w:right="120" w:firstLine="957"/>
        <w:spacing w:after="0" w:line="272" w:lineRule="auto"/>
        <w:tabs>
          <w:tab w:leader="none" w:pos="117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0" w:lineRule="exact"/>
        <w:rPr>
          <w:rFonts w:ascii="Arial" w:cs="Arial" w:eastAsia="Arial" w:hAnsi="Arial"/>
          <w:sz w:val="17"/>
          <w:szCs w:val="17"/>
          <w:color w:val="auto"/>
        </w:rPr>
      </w:pPr>
    </w:p>
    <w:p>
      <w:pPr>
        <w:ind w:right="80" w:firstLine="957"/>
        <w:spacing w:after="0" w:line="287"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59" w:lineRule="exact"/>
        <w:rPr>
          <w:rFonts w:ascii="Arial" w:cs="Arial" w:eastAsia="Arial" w:hAnsi="Arial"/>
          <w:sz w:val="17"/>
          <w:szCs w:val="17"/>
          <w:color w:val="auto"/>
        </w:rPr>
      </w:pPr>
    </w:p>
    <w:p>
      <w:pPr>
        <w:ind w:firstLine="957"/>
        <w:spacing w:after="0" w:line="262"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1" w:lineRule="exact"/>
        <w:rPr>
          <w:rFonts w:ascii="Arial" w:cs="Arial" w:eastAsia="Arial" w:hAnsi="Arial"/>
          <w:sz w:val="17"/>
          <w:szCs w:val="17"/>
          <w:color w:val="auto"/>
        </w:rPr>
      </w:pPr>
    </w:p>
    <w:p>
      <w:pPr>
        <w:ind w:right="180" w:firstLine="957"/>
        <w:spacing w:after="0" w:line="287" w:lineRule="auto"/>
        <w:tabs>
          <w:tab w:leader="none" w:pos="116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59" w:lineRule="exact"/>
        <w:rPr>
          <w:rFonts w:ascii="Arial" w:cs="Arial" w:eastAsia="Arial" w:hAnsi="Arial"/>
          <w:sz w:val="17"/>
          <w:szCs w:val="17"/>
          <w:color w:val="auto"/>
        </w:rPr>
      </w:pPr>
    </w:p>
    <w:p>
      <w:pPr>
        <w:ind w:right="200" w:firstLine="957"/>
        <w:spacing w:after="0" w:line="287" w:lineRule="auto"/>
        <w:tabs>
          <w:tab w:leader="none" w:pos="116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after such registration statement becomes effective, notify each selling Holder of any request by the SEC that the Company amend or supplement such registration statement or prospectus.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620" w:top="271" w:right="639" w:bottom="1440" w:gutter="0" w:footer="0" w:header="0"/>
        </w:sectPr>
      </w:pPr>
    </w:p>
    <w:bookmarkStart w:id="251" w:name="page252"/>
    <w:bookmarkEnd w:id="251"/>
    <w:p>
      <w:pPr>
        <w:ind w:right="240" w:firstLine="42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1" w:lineRule="exact"/>
        <w:rPr>
          <w:sz w:val="20"/>
          <w:szCs w:val="20"/>
          <w:color w:val="auto"/>
        </w:rPr>
      </w:pPr>
    </w:p>
    <w:p>
      <w:pPr>
        <w:ind w:right="280" w:firstLine="426"/>
        <w:spacing w:after="0" w:line="26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Furnish Information</w:t>
      </w:r>
      <w:r>
        <w:rPr>
          <w:rFonts w:ascii="Arial" w:cs="Arial" w:eastAsia="Arial" w:hAnsi="Arial"/>
          <w:sz w:val="17"/>
          <w:szCs w:val="17"/>
          <w:color w:val="auto"/>
        </w:rPr>
        <w:t xml:space="preserve">. It shall be a condition precedent to the obligations of the Company to take any action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78" w:lineRule="exact"/>
        <w:rPr>
          <w:sz w:val="20"/>
          <w:szCs w:val="20"/>
          <w:color w:val="auto"/>
        </w:rPr>
      </w:pPr>
    </w:p>
    <w:p>
      <w:pPr>
        <w:ind w:firstLine="426"/>
        <w:spacing w:after="0" w:line="296"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Expenses of Registration</w:t>
      </w:r>
      <w:r>
        <w:rPr>
          <w:rFonts w:ascii="Arial" w:cs="Arial" w:eastAsia="Arial" w:hAnsi="Arial"/>
          <w:sz w:val="15"/>
          <w:szCs w:val="15"/>
          <w:color w:val="auto"/>
        </w:rPr>
        <w:t xml:space="preserve">. All expenses (other than Selling Expenses) incurred in connection with registrations, filings, or qualifications pursuant to </w:t>
      </w:r>
      <w:r>
        <w:rPr>
          <w:rFonts w:ascii="Arial" w:cs="Arial" w:eastAsia="Arial" w:hAnsi="Arial"/>
          <w:sz w:val="15"/>
          <w:szCs w:val="15"/>
          <w:u w:val="single" w:color="auto"/>
          <w:color w:val="auto"/>
        </w:rPr>
        <w:t>Section 2</w:t>
      </w:r>
      <w:r>
        <w:rPr>
          <w:rFonts w:ascii="Arial" w:cs="Arial" w:eastAsia="Arial" w:hAnsi="Arial"/>
          <w:sz w:val="15"/>
          <w:szCs w:val="15"/>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5"/>
          <w:szCs w:val="15"/>
          <w:b w:val="1"/>
          <w:bCs w:val="1"/>
          <w:color w:val="auto"/>
        </w:rPr>
        <w:t>Selling Holder Counsel</w:t>
      </w:r>
      <w:r>
        <w:rPr>
          <w:rFonts w:ascii="Arial" w:cs="Arial" w:eastAsia="Arial" w:hAnsi="Arial"/>
          <w:sz w:val="15"/>
          <w:szCs w:val="15"/>
          <w:color w:val="auto"/>
        </w:rPr>
        <w:t xml:space="preserve">”), shall be borne and paid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Company shall not be required to pay for any expenses of any registration proceeding begun pursuant to </w:t>
      </w:r>
      <w:r>
        <w:rPr>
          <w:rFonts w:ascii="Arial" w:cs="Arial" w:eastAsia="Arial" w:hAnsi="Arial"/>
          <w:sz w:val="15"/>
          <w:szCs w:val="15"/>
          <w:u w:val="single" w:color="auto"/>
          <w:color w:val="auto"/>
        </w:rPr>
        <w:t>Subsection 2.1</w:t>
      </w:r>
      <w:r>
        <w:rPr>
          <w:rFonts w:ascii="Arial" w:cs="Arial" w:eastAsia="Arial" w:hAnsi="Arial"/>
          <w:sz w:val="15"/>
          <w:szCs w:val="15"/>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5"/>
          <w:szCs w:val="15"/>
          <w:u w:val="single" w:color="auto"/>
          <w:color w:val="auto"/>
        </w:rPr>
        <w:t>Subsections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2.1(b)</w:t>
      </w:r>
      <w:r>
        <w:rPr>
          <w:rFonts w:ascii="Arial" w:cs="Arial" w:eastAsia="Arial" w:hAnsi="Arial"/>
          <w:sz w:val="15"/>
          <w:szCs w:val="15"/>
          <w:color w:val="auto"/>
        </w:rPr>
        <w:t xml:space="preserve">, as the case may be;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5"/>
          <w:szCs w:val="15"/>
          <w:u w:val="single" w:color="auto"/>
          <w:color w:val="auto"/>
        </w:rPr>
        <w:t>Subsections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2.1(b)</w:t>
      </w:r>
      <w:r>
        <w:rPr>
          <w:rFonts w:ascii="Arial" w:cs="Arial" w:eastAsia="Arial" w:hAnsi="Arial"/>
          <w:sz w:val="15"/>
          <w:szCs w:val="15"/>
          <w:color w:val="auto"/>
        </w:rPr>
        <w:t xml:space="preserve">. All Selling Expenses relating to Registrable Securities registered pursuant to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be borne and paid by the Holders pro rata on the basis of the number of Registrable Securities registered on their behalf.</w:t>
      </w:r>
    </w:p>
    <w:p>
      <w:pPr>
        <w:spacing w:after="0" w:line="162" w:lineRule="exact"/>
        <w:rPr>
          <w:sz w:val="20"/>
          <w:szCs w:val="20"/>
          <w:color w:val="auto"/>
        </w:rPr>
      </w:pPr>
    </w:p>
    <w:p>
      <w:pPr>
        <w:jc w:val="both"/>
        <w:ind w:right="500" w:firstLine="426"/>
        <w:spacing w:after="0" w:line="35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Delay of Registration</w:t>
      </w:r>
      <w:r>
        <w:rPr>
          <w:rFonts w:ascii="Arial" w:cs="Arial" w:eastAsia="Arial" w:hAnsi="Arial"/>
          <w:sz w:val="15"/>
          <w:szCs w:val="15"/>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5"/>
          <w:szCs w:val="15"/>
          <w:u w:val="single" w:color="auto"/>
          <w:color w:val="auto"/>
        </w:rPr>
        <w:t>Section 2</w:t>
      </w:r>
      <w:r>
        <w:rPr>
          <w:rFonts w:ascii="Arial" w:cs="Arial" w:eastAsia="Arial" w:hAnsi="Arial"/>
          <w:sz w:val="15"/>
          <w:szCs w:val="15"/>
          <w:color w:val="auto"/>
        </w:rPr>
        <w: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If any Registrable Securities are included in a registration statement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18" w:lineRule="exact"/>
        <w:rPr>
          <w:sz w:val="20"/>
          <w:szCs w:val="20"/>
          <w:color w:val="auto"/>
        </w:rPr>
      </w:pPr>
    </w:p>
    <w:p>
      <w:pPr>
        <w:ind w:right="120" w:firstLine="957"/>
        <w:spacing w:after="0" w:line="262" w:lineRule="auto"/>
        <w:tabs>
          <w:tab w:leader="none" w:pos="119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80"/>
          </w:cols>
          <w:pgMar w:left="620" w:top="270" w:right="699" w:bottom="1440" w:gutter="0" w:footer="0" w:header="0"/>
        </w:sectPr>
      </w:pPr>
    </w:p>
    <w:bookmarkStart w:id="252" w:name="page253"/>
    <w:bookmarkEnd w:id="252"/>
    <w:p>
      <w:pPr>
        <w:ind w:right="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expenses are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8" w:lineRule="exact"/>
        <w:rPr>
          <w:sz w:val="20"/>
          <w:szCs w:val="20"/>
          <w:color w:val="auto"/>
        </w:rPr>
      </w:pPr>
    </w:p>
    <w:p>
      <w:pPr>
        <w:ind w:right="20" w:firstLine="957"/>
        <w:spacing w:after="0" w:line="276" w:lineRule="auto"/>
        <w:tabs>
          <w:tab w:leader="none" w:pos="12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76" w:lineRule="exact"/>
        <w:rPr>
          <w:rFonts w:ascii="Arial" w:cs="Arial" w:eastAsia="Arial" w:hAnsi="Arial"/>
          <w:sz w:val="16"/>
          <w:szCs w:val="16"/>
          <w:color w:val="auto"/>
        </w:rPr>
      </w:pPr>
    </w:p>
    <w:p>
      <w:pPr>
        <w:ind w:firstLine="957"/>
        <w:spacing w:after="0" w:line="277" w:lineRule="auto"/>
        <w:tabs>
          <w:tab w:leader="none" w:pos="11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to the extent that such failure materially prejudices the indemnifying party’s ability to defend such 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0"/>
          </w:cols>
          <w:pgMar w:left="620" w:top="270" w:right="639" w:bottom="1440" w:gutter="0" w:footer="0" w:header="0"/>
        </w:sectPr>
      </w:pPr>
    </w:p>
    <w:bookmarkStart w:id="253" w:name="page254"/>
    <w:bookmarkEnd w:id="253"/>
    <w:p>
      <w:pPr>
        <w:ind w:left="2" w:right="100" w:firstLine="424"/>
        <w:spacing w:after="0" w:line="276" w:lineRule="auto"/>
        <w:tabs>
          <w:tab w:leader="none" w:pos="674" w:val="left"/>
        </w:tabs>
        <w:numPr>
          <w:ilvl w:val="1"/>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 w:hanging="2"/>
        <w:spacing w:after="0" w:line="274" w:lineRule="auto"/>
        <w:tabs>
          <w:tab w:leader="none" w:pos="25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Subsection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Subsection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79" w:lineRule="exact"/>
        <w:rPr>
          <w:rFonts w:ascii="Arial" w:cs="Arial" w:eastAsia="Arial" w:hAnsi="Arial"/>
          <w:sz w:val="16"/>
          <w:szCs w:val="16"/>
          <w:color w:val="auto"/>
        </w:rPr>
      </w:pPr>
    </w:p>
    <w:p>
      <w:pPr>
        <w:ind w:left="2" w:right="380" w:firstLine="957"/>
        <w:spacing w:after="0" w:line="272" w:lineRule="auto"/>
        <w:tabs>
          <w:tab w:leader="none" w:pos="1197" w:val="left"/>
        </w:tabs>
        <w:numPr>
          <w:ilvl w:val="2"/>
          <w:numId w:val="183"/>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0" w:lineRule="exact"/>
        <w:rPr>
          <w:rFonts w:ascii="Arial" w:cs="Arial" w:eastAsia="Arial" w:hAnsi="Arial"/>
          <w:sz w:val="17"/>
          <w:szCs w:val="17"/>
          <w:color w:val="auto"/>
        </w:rPr>
      </w:pPr>
    </w:p>
    <w:p>
      <w:pPr>
        <w:ind w:left="2" w:right="20" w:firstLine="957"/>
        <w:spacing w:after="0" w:line="272" w:lineRule="auto"/>
        <w:tabs>
          <w:tab w:leader="none" w:pos="1178" w:val="left"/>
        </w:tabs>
        <w:numPr>
          <w:ilvl w:val="2"/>
          <w:numId w:val="183"/>
        </w:numPr>
        <w:rPr>
          <w:rFonts w:ascii="Arial" w:cs="Arial" w:eastAsia="Arial" w:hAnsi="Arial"/>
          <w:sz w:val="17"/>
          <w:szCs w:val="17"/>
          <w:color w:val="auto"/>
        </w:rPr>
      </w:pPr>
      <w:r>
        <w:rPr>
          <w:rFonts w:ascii="Arial" w:cs="Arial" w:eastAsia="Arial" w:hAnsi="Arial"/>
          <w:sz w:val="17"/>
          <w:szCs w:val="17"/>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shall survive the completion of any offering of Registrable Securities in a registration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and otherwise shall survive the termination of this Agreement.</w:t>
      </w:r>
    </w:p>
    <w:p>
      <w:pPr>
        <w:spacing w:after="0" w:line="171" w:lineRule="exact"/>
        <w:rPr>
          <w:sz w:val="20"/>
          <w:szCs w:val="20"/>
          <w:color w:val="auto"/>
        </w:rPr>
      </w:pPr>
    </w:p>
    <w:p>
      <w:pPr>
        <w:ind w:left="2" w:right="20" w:firstLine="426"/>
        <w:spacing w:after="0" w:line="272"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Reports Under Exchange Act</w:t>
      </w:r>
      <w:r>
        <w:rPr>
          <w:rFonts w:ascii="Arial" w:cs="Arial" w:eastAsia="Arial" w:hAnsi="Arial"/>
          <w:sz w:val="17"/>
          <w:szCs w:val="17"/>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6" w:lineRule="exact"/>
        <w:rPr>
          <w:sz w:val="20"/>
          <w:szCs w:val="20"/>
          <w:color w:val="auto"/>
        </w:rPr>
      </w:pPr>
    </w:p>
    <w:p>
      <w:pPr>
        <w:ind w:left="2" w:right="120" w:firstLine="957"/>
        <w:spacing w:after="0" w:line="287" w:lineRule="auto"/>
        <w:tabs>
          <w:tab w:leader="none" w:pos="119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9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2"/>
          </w:cols>
          <w:pgMar w:left="618" w:top="271" w:right="639" w:bottom="1440" w:gutter="0" w:footer="0" w:header="0"/>
        </w:sectPr>
      </w:pPr>
    </w:p>
    <w:bookmarkStart w:id="254" w:name="page255"/>
    <w:bookmarkEnd w:id="254"/>
    <w:p>
      <w:pPr>
        <w:ind w:right="120" w:firstLine="957"/>
        <w:spacing w:after="0" w:line="320" w:lineRule="auto"/>
        <w:tabs>
          <w:tab w:leader="none" w:pos="1205"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5" w:lineRule="exact"/>
        <w:rPr>
          <w:rFonts w:ascii="Arial" w:cs="Arial" w:eastAsia="Arial" w:hAnsi="Arial"/>
          <w:sz w:val="16"/>
          <w:szCs w:val="16"/>
          <w:color w:val="auto"/>
        </w:rPr>
      </w:pPr>
    </w:p>
    <w:p>
      <w:pPr>
        <w:ind w:firstLine="957"/>
        <w:spacing w:after="0" w:line="279" w:lineRule="auto"/>
        <w:tabs>
          <w:tab w:leader="none" w:pos="11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9" w:lineRule="exact"/>
        <w:rPr>
          <w:sz w:val="20"/>
          <w:szCs w:val="20"/>
          <w:color w:val="auto"/>
        </w:rPr>
      </w:pPr>
    </w:p>
    <w:p>
      <w:pPr>
        <w:ind w:right="40" w:firstLine="426"/>
        <w:spacing w:after="0" w:line="26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at least eighty percent (80%) of the shares of Common Stock issued or issuable upon conversion of the then outstanding shares of Preferred Stock held by the Investors,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186" w:lineRule="exact"/>
        <w:rPr>
          <w:sz w:val="20"/>
          <w:szCs w:val="20"/>
          <w:color w:val="auto"/>
        </w:rPr>
      </w:pPr>
    </w:p>
    <w:p>
      <w:pPr>
        <w:ind w:right="20" w:firstLine="426"/>
        <w:spacing w:after="0" w:line="27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2711(0(4)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620" w:top="271" w:right="639" w:bottom="1440" w:gutter="0" w:footer="0" w:header="0"/>
        </w:sectPr>
      </w:pPr>
    </w:p>
    <w:bookmarkStart w:id="255" w:name="page256"/>
    <w:bookmarkEnd w:id="255"/>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The foregoing provisions of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shall apply only to the IPO and shall not apply to the sale of any shares to an underwriter pursuant to an underwriting agreement, and shall be applicable to the Holders only if all officers and directors are subject to the same restrictions.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or that are necessary to give further effect thereto.</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222" w:lineRule="exact"/>
        <w:rPr>
          <w:sz w:val="20"/>
          <w:szCs w:val="20"/>
          <w:color w:val="auto"/>
        </w:rPr>
      </w:pPr>
    </w:p>
    <w:p>
      <w:pPr>
        <w:ind w:right="80" w:firstLine="957"/>
        <w:spacing w:after="0" w:line="264" w:lineRule="auto"/>
        <w:tabs>
          <w:tab w:leader="none" w:pos="119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8" w:lineRule="exact"/>
        <w:rPr>
          <w:rFonts w:ascii="Arial" w:cs="Arial" w:eastAsia="Arial" w:hAnsi="Arial"/>
          <w:sz w:val="17"/>
          <w:szCs w:val="17"/>
          <w:color w:val="auto"/>
        </w:rPr>
      </w:pPr>
    </w:p>
    <w:p>
      <w:pPr>
        <w:ind w:firstLine="957"/>
        <w:spacing w:after="0" w:line="324" w:lineRule="auto"/>
        <w:tabs>
          <w:tab w:leader="none" w:pos="1205" w:val="left"/>
        </w:tabs>
        <w:numPr>
          <w:ilvl w:val="0"/>
          <w:numId w:val="186"/>
        </w:numPr>
        <w:rPr>
          <w:rFonts w:ascii="Arial" w:cs="Arial" w:eastAsia="Arial" w:hAnsi="Arial"/>
          <w:sz w:val="15"/>
          <w:szCs w:val="15"/>
          <w:color w:val="auto"/>
        </w:rPr>
      </w:pPr>
      <w:r>
        <w:rPr>
          <w:rFonts w:ascii="Arial" w:cs="Arial" w:eastAsia="Arial" w:hAnsi="Arial"/>
          <w:sz w:val="15"/>
          <w:szCs w:val="15"/>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5"/>
          <w:szCs w:val="15"/>
          <w:u w:val="single" w:color="auto"/>
          <w:color w:val="auto"/>
        </w:rPr>
        <w:t>Subsection 2.12(c)</w:t>
      </w:r>
      <w:r>
        <w:rPr>
          <w:rFonts w:ascii="Arial" w:cs="Arial" w:eastAsia="Arial" w:hAnsi="Arial"/>
          <w:sz w:val="15"/>
          <w:szCs w:val="15"/>
          <w:color w:val="auto"/>
        </w:rPr>
        <w:t>) be notated with a legend substantially in the following form:</w:t>
      </w:r>
    </w:p>
    <w:p>
      <w:pPr>
        <w:spacing w:after="0" w:line="32" w:lineRule="exact"/>
        <w:rPr>
          <w:sz w:val="20"/>
          <w:szCs w:val="20"/>
          <w:color w:val="auto"/>
        </w:rPr>
      </w:pPr>
    </w:p>
    <w:p>
      <w:pPr>
        <w:ind w:left="420" w:right="80"/>
        <w:spacing w:after="0" w:line="26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3" w:lineRule="exact"/>
        <w:rPr>
          <w:sz w:val="20"/>
          <w:szCs w:val="20"/>
          <w:color w:val="auto"/>
        </w:rPr>
      </w:pPr>
    </w:p>
    <w:p>
      <w:pPr>
        <w:ind w:left="420" w:right="180"/>
        <w:spacing w:after="0" w:line="272" w:lineRule="auto"/>
        <w:rPr>
          <w:sz w:val="20"/>
          <w:szCs w:val="20"/>
          <w:color w:val="auto"/>
        </w:rPr>
      </w:pPr>
      <w:r>
        <w:rPr>
          <w:rFonts w:ascii="Arial" w:cs="Arial" w:eastAsia="Arial" w:hAnsi="Arial"/>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171" w:lineRule="exact"/>
        <w:rPr>
          <w:sz w:val="20"/>
          <w:szCs w:val="20"/>
          <w:color w:val="auto"/>
        </w:rPr>
      </w:pPr>
    </w:p>
    <w:p>
      <w:pPr>
        <w:ind w:right="180" w:firstLine="426"/>
        <w:spacing w:after="0" w:line="287" w:lineRule="auto"/>
        <w:rPr>
          <w:sz w:val="20"/>
          <w:szCs w:val="20"/>
          <w:color w:val="auto"/>
        </w:rPr>
      </w:pPr>
      <w:r>
        <w:rPr>
          <w:rFonts w:ascii="Arial" w:cs="Arial" w:eastAsia="Arial" w:hAnsi="Arial"/>
          <w:sz w:val="17"/>
          <w:szCs w:val="17"/>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7"/>
          <w:szCs w:val="17"/>
          <w:u w:val="single" w:color="auto"/>
          <w:color w:val="auto"/>
        </w:rPr>
        <w:t>Subsection 2.12</w:t>
      </w:r>
      <w:r>
        <w:rPr>
          <w:rFonts w:ascii="Arial" w:cs="Arial" w:eastAsia="Arial" w:hAnsi="Arial"/>
          <w:sz w:val="17"/>
          <w:szCs w:val="17"/>
          <w:color w:val="auto"/>
        </w:rPr>
        <w:t>.</w:t>
      </w:r>
    </w:p>
    <w:p>
      <w:pPr>
        <w:spacing w:after="0" w:line="159" w:lineRule="exact"/>
        <w:rPr>
          <w:sz w:val="20"/>
          <w:szCs w:val="20"/>
          <w:color w:val="auto"/>
        </w:rPr>
      </w:pPr>
    </w:p>
    <w:p>
      <w:pPr>
        <w:ind w:right="260" w:firstLine="957"/>
        <w:spacing w:after="0" w:line="264" w:lineRule="auto"/>
        <w:tabs>
          <w:tab w:leader="none" w:pos="119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71" w:right="639" w:bottom="1440" w:gutter="0" w:footer="0" w:header="0"/>
        </w:sectPr>
      </w:pPr>
    </w:p>
    <w:bookmarkStart w:id="256" w:name="page257"/>
    <w:bookmarkEnd w:id="256"/>
    <w:p>
      <w:pPr>
        <w:ind w:left="2"/>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73" w:lineRule="exact"/>
        <w:rPr>
          <w:sz w:val="20"/>
          <w:szCs w:val="20"/>
          <w:color w:val="auto"/>
        </w:rPr>
      </w:pPr>
    </w:p>
    <w:p>
      <w:pPr>
        <w:ind w:left="2" w:right="200" w:firstLine="426"/>
        <w:spacing w:after="0" w:line="287"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Termination of Registration Rights</w:t>
      </w:r>
      <w:r>
        <w:rPr>
          <w:rFonts w:ascii="Arial" w:cs="Arial" w:eastAsia="Arial" w:hAnsi="Arial"/>
          <w:sz w:val="17"/>
          <w:szCs w:val="17"/>
          <w:color w:val="auto"/>
        </w:rPr>
        <w:t xml:space="preserve">. The right of any Holder to request registration or inclusion of Registrable Securities in any registration pursuant to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shall terminate upon the earliest to occur of:</w:t>
      </w:r>
    </w:p>
    <w:p>
      <w:pPr>
        <w:spacing w:after="0" w:line="55" w:lineRule="exact"/>
        <w:rPr>
          <w:sz w:val="20"/>
          <w:szCs w:val="20"/>
          <w:color w:val="auto"/>
        </w:rPr>
      </w:pPr>
    </w:p>
    <w:p>
      <w:pPr>
        <w:ind w:left="1202" w:hanging="243"/>
        <w:spacing w:after="0"/>
        <w:tabs>
          <w:tab w:leader="none" w:pos="120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closing of a Deemed Liquidation Event, as such term is defined in the Company’s Certificate of Incorporation;</w:t>
      </w:r>
    </w:p>
    <w:p>
      <w:pPr>
        <w:spacing w:after="0" w:line="222" w:lineRule="exact"/>
        <w:rPr>
          <w:rFonts w:ascii="Arial" w:cs="Arial" w:eastAsia="Arial" w:hAnsi="Arial"/>
          <w:sz w:val="17"/>
          <w:szCs w:val="17"/>
          <w:color w:val="auto"/>
        </w:rPr>
      </w:pPr>
    </w:p>
    <w:p>
      <w:pPr>
        <w:ind w:left="2" w:right="400" w:firstLine="957"/>
        <w:spacing w:after="0" w:line="287" w:lineRule="auto"/>
        <w:tabs>
          <w:tab w:leader="none" w:pos="1207" w:val="left"/>
        </w:tabs>
        <w:numPr>
          <w:ilvl w:val="1"/>
          <w:numId w:val="188"/>
        </w:numPr>
        <w:rPr>
          <w:rFonts w:ascii="Arial" w:cs="Arial" w:eastAsia="Arial" w:hAnsi="Arial"/>
          <w:sz w:val="17"/>
          <w:szCs w:val="17"/>
          <w:color w:val="auto"/>
        </w:rPr>
      </w:pPr>
      <w:r>
        <w:rPr>
          <w:rFonts w:ascii="Arial" w:cs="Arial" w:eastAsia="Arial" w:hAnsi="Arial"/>
          <w:sz w:val="17"/>
          <w:szCs w:val="17"/>
          <w:color w:val="auto"/>
        </w:rPr>
        <w:t>such time as Rule 144 or another similar exemption under the Securities Act is available for the sale of all of such Holder’s shares without limitation during a three-month period without registration; and</w:t>
      </w:r>
    </w:p>
    <w:p>
      <w:pPr>
        <w:spacing w:after="0" w:line="159" w:lineRule="exact"/>
        <w:rPr>
          <w:rFonts w:ascii="Arial" w:cs="Arial" w:eastAsia="Arial" w:hAnsi="Arial"/>
          <w:sz w:val="17"/>
          <w:szCs w:val="17"/>
          <w:color w:val="auto"/>
        </w:rPr>
      </w:pPr>
    </w:p>
    <w:p>
      <w:pPr>
        <w:ind w:left="1202" w:hanging="243"/>
        <w:spacing w:after="0"/>
        <w:tabs>
          <w:tab w:leader="none" w:pos="120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five year anniversary of the IPO.</w:t>
      </w:r>
    </w:p>
    <w:p>
      <w:pPr>
        <w:spacing w:after="0" w:line="216" w:lineRule="exact"/>
        <w:rPr>
          <w:rFonts w:ascii="Arial" w:cs="Arial" w:eastAsia="Arial" w:hAnsi="Arial"/>
          <w:sz w:val="17"/>
          <w:szCs w:val="17"/>
          <w:color w:val="auto"/>
        </w:rPr>
      </w:pPr>
    </w:p>
    <w:p>
      <w:pPr>
        <w:ind w:left="182" w:hanging="182"/>
        <w:spacing w:after="0"/>
        <w:tabs>
          <w:tab w:leader="none" w:pos="182"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Information and Observer Rights</w:t>
      </w:r>
      <w:r>
        <w:rPr>
          <w:rFonts w:ascii="Arial" w:cs="Arial" w:eastAsia="Arial" w:hAnsi="Arial"/>
          <w:sz w:val="17"/>
          <w:szCs w:val="17"/>
          <w:color w:val="auto"/>
        </w:rPr>
        <w:t>.</w:t>
      </w:r>
    </w:p>
    <w:p>
      <w:pPr>
        <w:spacing w:after="0" w:line="228" w:lineRule="exact"/>
        <w:rPr>
          <w:sz w:val="20"/>
          <w:szCs w:val="20"/>
          <w:color w:val="auto"/>
        </w:rPr>
      </w:pPr>
    </w:p>
    <w:p>
      <w:pPr>
        <w:ind w:left="2" w:right="120" w:firstLine="426"/>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Delivery of Financial Statements</w:t>
      </w:r>
      <w:r>
        <w:rPr>
          <w:rFonts w:ascii="Arial" w:cs="Arial" w:eastAsia="Arial" w:hAnsi="Arial"/>
          <w:sz w:val="17"/>
          <w:szCs w:val="17"/>
          <w:color w:val="auto"/>
        </w:rPr>
        <w:t xml:space="preserve">. The Company shall deliver to each Major Investor,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has not reasonably determined that such Major Investor is a Competitor of the Company:</w:t>
      </w:r>
    </w:p>
    <w:p>
      <w:pPr>
        <w:spacing w:after="0" w:line="55" w:lineRule="exact"/>
        <w:rPr>
          <w:sz w:val="20"/>
          <w:szCs w:val="20"/>
          <w:color w:val="auto"/>
        </w:rPr>
      </w:pPr>
    </w:p>
    <w:p>
      <w:pPr>
        <w:ind w:left="2" w:right="40" w:firstLine="957"/>
        <w:spacing w:after="0" w:line="284" w:lineRule="auto"/>
        <w:tabs>
          <w:tab w:leader="none" w:pos="119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and eighty (180) days after the end of each fiscal year of the Company, financial statements of the Company for such year including a consolidated balance sheet of the Company as of the end of such year, and statements of income and statements of cash flow of the Company for such year, setting forth in each case in comparative form the figures for the previous fiscal year, all in reasonable detail, United States dollar-denominated, prepared in accordance with GAAP, audited by one of the “big four” U.S. accounting firms, which has been approved by Holders of a majority of the Registrable Securities (the “</w:t>
      </w:r>
      <w:r>
        <w:rPr>
          <w:rFonts w:ascii="Arial" w:cs="Arial" w:eastAsia="Arial" w:hAnsi="Arial"/>
          <w:sz w:val="16"/>
          <w:szCs w:val="16"/>
          <w:b w:val="1"/>
          <w:bCs w:val="1"/>
          <w:color w:val="auto"/>
        </w:rPr>
        <w:t>Accounting Firm</w:t>
      </w:r>
      <w:r>
        <w:rPr>
          <w:rFonts w:ascii="Arial" w:cs="Arial" w:eastAsia="Arial" w:hAnsi="Arial"/>
          <w:sz w:val="16"/>
          <w:szCs w:val="16"/>
          <w:color w:val="auto"/>
        </w:rPr>
        <w:t>”);</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2"/>
          </w:cols>
          <w:pgMar w:left="618" w:top="271" w:right="639" w:bottom="1440" w:gutter="0" w:footer="0" w:header="0"/>
        </w:sectPr>
      </w:pPr>
    </w:p>
    <w:bookmarkStart w:id="257" w:name="page258"/>
    <w:bookmarkEnd w:id="257"/>
    <w:p>
      <w:pPr>
        <w:ind w:right="20" w:firstLine="957"/>
        <w:spacing w:after="0" w:line="288" w:lineRule="auto"/>
        <w:tabs>
          <w:tab w:leader="none" w:pos="1205"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soon as practicable, but in any event within forty-five (45) days after the end of each of the first three (3) quarters of each fiscal year of the Company, unaudited statements of income and cash flows for such fiscal quarter, and an unaudited balance sheet as of the end of such fiscal quarter, all prepared in accordance with GAAP and reviewed by the Accounting Firm (except that such financial statements may (i) be subject to normal year-end audit adjustments; and (ii) not contain all notes thereto that may be required in accordance with GAAP);</w:t>
      </w:r>
    </w:p>
    <w:p>
      <w:pPr>
        <w:spacing w:after="0" w:line="161" w:lineRule="exact"/>
        <w:rPr>
          <w:rFonts w:ascii="Arial" w:cs="Arial" w:eastAsia="Arial" w:hAnsi="Arial"/>
          <w:sz w:val="16"/>
          <w:szCs w:val="16"/>
          <w:color w:val="auto"/>
        </w:rPr>
      </w:pPr>
    </w:p>
    <w:p>
      <w:pPr>
        <w:ind w:right="60" w:firstLine="957"/>
        <w:spacing w:after="0" w:line="261" w:lineRule="auto"/>
        <w:tabs>
          <w:tab w:leader="none" w:pos="11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82" w:lineRule="exact"/>
        <w:rPr>
          <w:rFonts w:ascii="Arial" w:cs="Arial" w:eastAsia="Arial" w:hAnsi="Arial"/>
          <w:sz w:val="17"/>
          <w:szCs w:val="17"/>
          <w:color w:val="auto"/>
        </w:rPr>
      </w:pPr>
    </w:p>
    <w:p>
      <w:pPr>
        <w:ind w:right="420" w:firstLine="957"/>
        <w:spacing w:after="0" w:line="287" w:lineRule="auto"/>
        <w:tabs>
          <w:tab w:leader="none" w:pos="120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as soon as practicable, but in any event within ten (10) days of the end of each month, a monthly report in a form approved by the Board of Directors;</w:t>
      </w:r>
    </w:p>
    <w:p>
      <w:pPr>
        <w:spacing w:after="0" w:line="159" w:lineRule="exact"/>
        <w:rPr>
          <w:rFonts w:ascii="Arial" w:cs="Arial" w:eastAsia="Arial" w:hAnsi="Arial"/>
          <w:sz w:val="17"/>
          <w:szCs w:val="17"/>
          <w:color w:val="auto"/>
        </w:rPr>
      </w:pPr>
    </w:p>
    <w:p>
      <w:pPr>
        <w:jc w:val="both"/>
        <w:ind w:firstLine="957"/>
        <w:spacing w:after="0" w:line="324" w:lineRule="auto"/>
        <w:tabs>
          <w:tab w:leader="none" w:pos="1195"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as soon as practicable, but in any event thirty (30) days before the end of each fiscal year, a budget and business plan for the next fiscal year (collectively, the “</w:t>
      </w:r>
      <w:r>
        <w:rPr>
          <w:rFonts w:ascii="Arial" w:cs="Arial" w:eastAsia="Arial" w:hAnsi="Arial"/>
          <w:sz w:val="15"/>
          <w:szCs w:val="15"/>
          <w:b w:val="1"/>
          <w:bCs w:val="1"/>
          <w:color w:val="auto"/>
        </w:rPr>
        <w:t>Budget</w:t>
      </w:r>
      <w:r>
        <w:rPr>
          <w:rFonts w:ascii="Arial" w:cs="Arial" w:eastAsia="Arial" w:hAnsi="Arial"/>
          <w:sz w:val="15"/>
          <w:szCs w:val="15"/>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36" w:lineRule="exact"/>
        <w:rPr>
          <w:rFonts w:ascii="Arial" w:cs="Arial" w:eastAsia="Arial" w:hAnsi="Arial"/>
          <w:sz w:val="15"/>
          <w:szCs w:val="15"/>
          <w:color w:val="auto"/>
        </w:rPr>
      </w:pPr>
    </w:p>
    <w:p>
      <w:pPr>
        <w:ind w:right="100" w:firstLine="957"/>
        <w:spacing w:after="0" w:line="264" w:lineRule="auto"/>
        <w:tabs>
          <w:tab w:leader="none" w:pos="117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78" w:lineRule="exact"/>
        <w:rPr>
          <w:sz w:val="20"/>
          <w:szCs w:val="20"/>
          <w:color w:val="auto"/>
        </w:rPr>
      </w:pPr>
    </w:p>
    <w:p>
      <w:pPr>
        <w:jc w:val="both"/>
        <w:ind w:firstLine="426"/>
        <w:spacing w:after="0" w:line="272" w:lineRule="auto"/>
        <w:rPr>
          <w:sz w:val="20"/>
          <w:szCs w:val="20"/>
          <w:color w:val="auto"/>
        </w:rPr>
      </w:pPr>
      <w:r>
        <w:rPr>
          <w:rFonts w:ascii="Arial" w:cs="Arial" w:eastAsia="Arial" w:hAnsi="Arial"/>
          <w:sz w:val="17"/>
          <w:szCs w:val="17"/>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1" w:lineRule="exact"/>
        <w:rPr>
          <w:sz w:val="20"/>
          <w:szCs w:val="20"/>
          <w:color w:val="auto"/>
        </w:rPr>
      </w:pPr>
    </w:p>
    <w:p>
      <w:pPr>
        <w:ind w:right="160" w:firstLine="426"/>
        <w:spacing w:after="0" w:line="264" w:lineRule="auto"/>
        <w:rPr>
          <w:sz w:val="20"/>
          <w:szCs w:val="20"/>
          <w:color w:val="auto"/>
        </w:rPr>
      </w:pPr>
      <w:r>
        <w:rPr>
          <w:rFonts w:ascii="Arial" w:cs="Arial" w:eastAsia="Arial" w:hAnsi="Arial"/>
          <w:sz w:val="17"/>
          <w:szCs w:val="17"/>
          <w:color w:val="auto"/>
        </w:rPr>
        <w:t xml:space="preserve">Notwithstanding anything else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Company’s covenants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40"/>
          </w:cols>
          <w:pgMar w:left="620" w:top="271" w:right="639" w:bottom="1440" w:gutter="0" w:footer="0" w:header="0"/>
        </w:sectPr>
      </w:pPr>
    </w:p>
    <w:bookmarkStart w:id="258" w:name="page259"/>
    <w:bookmarkEnd w:id="258"/>
    <w:p>
      <w:pPr>
        <w:ind w:firstLine="426"/>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The Company shall permit each Major Investor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77" w:lineRule="exact"/>
        <w:rPr>
          <w:sz w:val="20"/>
          <w:szCs w:val="20"/>
          <w:color w:val="auto"/>
        </w:rPr>
      </w:pPr>
    </w:p>
    <w:p>
      <w:pPr>
        <w:ind w:right="100" w:firstLine="426"/>
        <w:spacing w:after="0" w:line="26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Observer</w:t>
      </w:r>
      <w:r>
        <w:rPr>
          <w:rFonts w:ascii="Arial" w:cs="Arial" w:eastAsia="Arial" w:hAnsi="Arial"/>
          <w:sz w:val="17"/>
          <w:szCs w:val="17"/>
          <w:color w:val="auto"/>
        </w:rPr>
        <w:t>. For so long as Arkin Bio Ventures Limited Partnership (“</w:t>
      </w:r>
      <w:r>
        <w:rPr>
          <w:rFonts w:ascii="Arial" w:cs="Arial" w:eastAsia="Arial" w:hAnsi="Arial"/>
          <w:sz w:val="17"/>
          <w:szCs w:val="17"/>
          <w:b w:val="1"/>
          <w:bCs w:val="1"/>
          <w:color w:val="auto"/>
        </w:rPr>
        <w:t>Arkin</w:t>
      </w:r>
      <w:r>
        <w:rPr>
          <w:rFonts w:ascii="Arial" w:cs="Arial" w:eastAsia="Arial" w:hAnsi="Arial"/>
          <w:sz w:val="17"/>
          <w:szCs w:val="17"/>
          <w:color w:val="auto"/>
        </w:rPr>
        <w:t>”), together with its Affiliates, continue to own beneficially at least 100,000 shares of Common Stock of the Company (including shares of Common Stock issued or issuable upon conversion of Preferred Stock), Arkin shall be entitled to designate one (1) observer to the Board of Directors (the “</w:t>
      </w:r>
      <w:r>
        <w:rPr>
          <w:rFonts w:ascii="Arial" w:cs="Arial" w:eastAsia="Arial" w:hAnsi="Arial"/>
          <w:sz w:val="17"/>
          <w:szCs w:val="17"/>
          <w:b w:val="1"/>
          <w:bCs w:val="1"/>
          <w:color w:val="auto"/>
        </w:rPr>
        <w:t>Observer</w:t>
      </w:r>
      <w:r>
        <w:rPr>
          <w:rFonts w:ascii="Arial" w:cs="Arial" w:eastAsia="Arial" w:hAnsi="Arial"/>
          <w:sz w:val="17"/>
          <w:szCs w:val="17"/>
          <w:color w:val="auto"/>
        </w:rPr>
        <w:t xml:space="preserve">”), who shall be entitled to attend any meeting of the Board of Directors, but shall not be entitled to vote in such meetings;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appointment of the Observer is conditional upon the Observer entering into a confidentiality agreement with the Company in a form acceptable to Company.</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rights of the Observer shall be subject to the following:</w:t>
      </w:r>
    </w:p>
    <w:p>
      <w:pPr>
        <w:spacing w:after="0" w:line="118" w:lineRule="exact"/>
        <w:rPr>
          <w:sz w:val="20"/>
          <w:szCs w:val="20"/>
          <w:color w:val="auto"/>
        </w:rPr>
      </w:pPr>
    </w:p>
    <w:p>
      <w:pPr>
        <w:ind w:right="80" w:firstLine="957"/>
        <w:spacing w:after="0" w:line="288" w:lineRule="auto"/>
        <w:tabs>
          <w:tab w:leader="none" w:pos="119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shall give the Observer the same prior notice given to the members of the Board of Directors regarding any proposed meeting of the Board of Directors or of any committee of the Board of Directors, such notice in all cases to include true and complete copies of all documents furnished to any member of the Board of Directors in connection with such meeting. The Observer will be entitled to be present in person as an observer at any such meeting or, if a meeting is held by telephone conference, to participate therein for the purpose of listening thereto.</w:t>
      </w:r>
    </w:p>
    <w:p>
      <w:pPr>
        <w:spacing w:after="0" w:line="161" w:lineRule="exact"/>
        <w:rPr>
          <w:rFonts w:ascii="Arial" w:cs="Arial" w:eastAsia="Arial" w:hAnsi="Arial"/>
          <w:sz w:val="16"/>
          <w:szCs w:val="16"/>
          <w:color w:val="auto"/>
        </w:rPr>
      </w:pPr>
    </w:p>
    <w:p>
      <w:pPr>
        <w:ind w:right="260" w:firstLine="957"/>
        <w:spacing w:after="0" w:line="287" w:lineRule="auto"/>
        <w:tabs>
          <w:tab w:leader="none" w:pos="120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Company will deliver to each Observer copies of all papers which may be distributed from time to time to the Directors at such time as such papers are so distributed to them, including copies of any written consent.</w:t>
      </w:r>
    </w:p>
    <w:p>
      <w:pPr>
        <w:spacing w:after="0" w:line="159" w:lineRule="exact"/>
        <w:rPr>
          <w:rFonts w:ascii="Arial" w:cs="Arial" w:eastAsia="Arial" w:hAnsi="Arial"/>
          <w:sz w:val="17"/>
          <w:szCs w:val="17"/>
          <w:color w:val="auto"/>
        </w:rPr>
      </w:pPr>
    </w:p>
    <w:p>
      <w:pPr>
        <w:ind w:right="320" w:firstLine="957"/>
        <w:spacing w:after="0" w:line="287" w:lineRule="auto"/>
        <w:tabs>
          <w:tab w:leader="none" w:pos="119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Observer will treat and maintain such information in strict confidence, and will not disclose such information without the prior written consent of the Company.</w:t>
      </w:r>
    </w:p>
    <w:p>
      <w:pPr>
        <w:spacing w:after="0" w:line="159" w:lineRule="exact"/>
        <w:rPr>
          <w:rFonts w:ascii="Arial" w:cs="Arial" w:eastAsia="Arial" w:hAnsi="Arial"/>
          <w:sz w:val="17"/>
          <w:szCs w:val="17"/>
          <w:color w:val="auto"/>
        </w:rPr>
      </w:pPr>
    </w:p>
    <w:p>
      <w:pPr>
        <w:ind w:firstLine="957"/>
        <w:spacing w:after="0" w:line="284" w:lineRule="auto"/>
        <w:tabs>
          <w:tab w:leader="none" w:pos="120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If the Board of Directors determines, in good faith, that the attendance of the person appointed as the Observer in a specific meeting (or part of the specific meeting) (i) constitutes a conflict of interests between such person (or his designator) and the Company, (ii) would adversely impact the attorney/client privilege, or (iii) would result in disclosure of trade secrets, or if such person is affiliated with a direct competitor of the Company, then the Board may exclude such person from attending such specific meeting (or relevant part thereof), accordingly, any related materials may as well be withheld from the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Board observers are afforded equivalent treatment.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40"/>
          </w:cols>
          <w:pgMar w:left="620" w:top="270" w:right="639" w:bottom="1440" w:gutter="0" w:footer="0" w:header="0"/>
        </w:sectPr>
      </w:pPr>
    </w:p>
    <w:bookmarkStart w:id="259" w:name="page260"/>
    <w:bookmarkEnd w:id="259"/>
    <w:p>
      <w:pPr>
        <w:ind w:left="2" w:right="60" w:firstLine="42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3.4 </w:t>
      </w:r>
      <w:r>
        <w:rPr>
          <w:rFonts w:ascii="Arial" w:cs="Arial" w:eastAsia="Arial" w:hAnsi="Arial"/>
          <w:sz w:val="17"/>
          <w:szCs w:val="17"/>
          <w:u w:val="single" w:color="auto"/>
          <w:color w:val="auto"/>
        </w:rPr>
        <w:t>Termination of Information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3.3</w:t>
      </w:r>
      <w:r>
        <w:rPr>
          <w:rFonts w:ascii="Arial" w:cs="Arial" w:eastAsia="Arial" w:hAnsi="Arial"/>
          <w:sz w:val="17"/>
          <w:szCs w:val="17"/>
          <w:color w:val="auto"/>
        </w:rPr>
        <w:t xml:space="preserve"> shall terminate and be of no further force or effect (a) immediately before the consummation of the IPO, (b) when the Company first becomes subject to the periodic reporting requirements of Section 13 or 15(d) of the Exchange Act, or (c) upon a Deemed Liquidation Event, as such term is defined in the Company’s Certificate of Incorporation, whichever event occurs first.</w:t>
      </w:r>
    </w:p>
    <w:p>
      <w:pPr>
        <w:spacing w:after="0" w:line="178" w:lineRule="exact"/>
        <w:rPr>
          <w:sz w:val="20"/>
          <w:szCs w:val="20"/>
          <w:color w:val="auto"/>
        </w:rPr>
      </w:pPr>
    </w:p>
    <w:p>
      <w:pPr>
        <w:ind w:left="2" w:firstLine="426"/>
        <w:spacing w:after="0" w:line="27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(iii) to any Affiliate, partner, member, stockholder, or wholly owned subsidiary of such Investor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w:t>
      </w:r>
    </w:p>
    <w:p>
      <w:pPr>
        <w:spacing w:after="0" w:line="170" w:lineRule="exact"/>
        <w:rPr>
          <w:sz w:val="20"/>
          <w:szCs w:val="20"/>
          <w:color w:val="auto"/>
        </w:rPr>
      </w:pPr>
    </w:p>
    <w:p>
      <w:pPr>
        <w:ind w:left="182" w:hanging="182"/>
        <w:spacing w:after="0"/>
        <w:tabs>
          <w:tab w:leader="none" w:pos="182"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to Future Stock Issuances</w:t>
      </w:r>
      <w:r>
        <w:rPr>
          <w:rFonts w:ascii="Arial" w:cs="Arial" w:eastAsia="Arial" w:hAnsi="Arial"/>
          <w:sz w:val="17"/>
          <w:szCs w:val="17"/>
          <w:color w:val="auto"/>
        </w:rPr>
        <w:t>.</w:t>
      </w:r>
    </w:p>
    <w:p>
      <w:pPr>
        <w:spacing w:after="0" w:line="228" w:lineRule="exact"/>
        <w:rPr>
          <w:sz w:val="20"/>
          <w:szCs w:val="20"/>
          <w:color w:val="auto"/>
        </w:rPr>
      </w:pPr>
    </w:p>
    <w:p>
      <w:pPr>
        <w:ind w:left="2" w:firstLine="426"/>
        <w:spacing w:after="0" w:line="27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Investor. An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Affiliate or Investor Beneficial Owner (x) is not a Competitor of the Company, unless such party’s purchase of New Securities is otherwise consented to by the Board of Directors, (y) agrees to enter into this Agreement, the Voting Agreement and the Right of First Refusal and Co-Sale Agreement of even date herewith among the Company, the Investors and the other parties named therein,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Competitor of the Company shall not be entitled to any rights as an Investor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and (z) agrees to purchase at least such number of New Securities as are allocable hereunder to the Investor holding the fewest number of Preferred Stock and any other Derivative Securities.</w:t>
      </w:r>
    </w:p>
    <w:p>
      <w:pPr>
        <w:spacing w:after="0" w:line="10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42"/>
          </w:cols>
          <w:pgMar w:left="618" w:top="271" w:right="639" w:bottom="1440" w:gutter="0" w:footer="0" w:header="0"/>
        </w:sectPr>
      </w:pPr>
    </w:p>
    <w:bookmarkStart w:id="260" w:name="page261"/>
    <w:bookmarkEnd w:id="260"/>
    <w:p>
      <w:pPr>
        <w:ind w:left="-40" w:right="520" w:firstLine="957"/>
        <w:spacing w:after="0" w:line="275" w:lineRule="auto"/>
        <w:tabs>
          <w:tab w:leader="none" w:pos="11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Company shall give notice (the “</w:t>
      </w:r>
      <w:r>
        <w:rPr>
          <w:rFonts w:ascii="Arial" w:cs="Arial" w:eastAsia="Arial" w:hAnsi="Arial"/>
          <w:sz w:val="17"/>
          <w:szCs w:val="17"/>
          <w:b w:val="1"/>
          <w:bCs w:val="1"/>
          <w:color w:val="auto"/>
        </w:rPr>
        <w:t>Offer Notice</w:t>
      </w:r>
      <w:r>
        <w:rPr>
          <w:rFonts w:ascii="Arial" w:cs="Arial" w:eastAsia="Arial" w:hAnsi="Arial"/>
          <w:sz w:val="17"/>
          <w:szCs w:val="17"/>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69" w:lineRule="exact"/>
        <w:rPr>
          <w:rFonts w:ascii="Arial" w:cs="Arial" w:eastAsia="Arial" w:hAnsi="Arial"/>
          <w:sz w:val="17"/>
          <w:szCs w:val="17"/>
          <w:color w:val="auto"/>
        </w:rPr>
      </w:pPr>
    </w:p>
    <w:p>
      <w:pPr>
        <w:ind w:left="-40" w:firstLine="957"/>
        <w:spacing w:after="0" w:line="275" w:lineRule="auto"/>
        <w:tabs>
          <w:tab w:leader="none" w:pos="11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40" w:right="240" w:firstLine="957"/>
        <w:spacing w:after="0" w:line="304" w:lineRule="auto"/>
        <w:tabs>
          <w:tab w:leader="none" w:pos="115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If all New Securities referred to in the Offer Notice are not elected to be purchased or acquired as provided in </w:t>
      </w:r>
      <w:r>
        <w:rPr>
          <w:rFonts w:ascii="Arial" w:cs="Arial" w:eastAsia="Arial" w:hAnsi="Arial"/>
          <w:sz w:val="15"/>
          <w:szCs w:val="15"/>
          <w:u w:val="single" w:color="auto"/>
          <w:color w:val="auto"/>
        </w:rPr>
        <w:t>Subsection 4.1(b)</w:t>
      </w:r>
      <w:r>
        <w:rPr>
          <w:rFonts w:ascii="Arial" w:cs="Arial" w:eastAsia="Arial" w:hAnsi="Arial"/>
          <w:sz w:val="15"/>
          <w:szCs w:val="15"/>
          <w:color w:val="auto"/>
        </w:rPr>
        <w:t xml:space="preserve">, the Company may, during the ninety (90) day period following the expiration of the periods provided in </w:t>
      </w:r>
      <w:r>
        <w:rPr>
          <w:rFonts w:ascii="Arial" w:cs="Arial" w:eastAsia="Arial" w:hAnsi="Arial"/>
          <w:sz w:val="15"/>
          <w:szCs w:val="15"/>
          <w:u w:val="single" w:color="auto"/>
          <w:color w:val="auto"/>
        </w:rPr>
        <w:t>Subsection 4.1(b)</w:t>
      </w:r>
      <w:r>
        <w:rPr>
          <w:rFonts w:ascii="Arial" w:cs="Arial" w:eastAsia="Arial" w:hAnsi="Arial"/>
          <w:sz w:val="15"/>
          <w:szCs w:val="15"/>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5"/>
          <w:szCs w:val="15"/>
          <w:u w:val="single" w:color="auto"/>
          <w:color w:val="auto"/>
        </w:rPr>
        <w:t>Subsection 4.1</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40" w:right="20" w:firstLine="957"/>
        <w:spacing w:after="0" w:line="262" w:lineRule="auto"/>
        <w:tabs>
          <w:tab w:leader="none" w:pos="116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right of first offer in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shall not be applicable to (i) Exempted Securities (as defined in the Company’s Certificate of Incorporation); (ii) shares of Common Stock issued in the IPO; (iii) the issuance of shares of Series A Preferred Stock pursuant to that certain Series A Preferred Stock Purchase Agreement between the Company and the other parties thereto dated April 15, 2016; (iv) the issuance of shares of Series A-1 Preferred Stock pursuant to that certain Series A-1 Preferred Stock Purchase Agreement between the Company and the other parties thereto dated August 16, 2016; (v) the issuance of shares of Series B-1 Preferred Stock pursuant to the Purchase Agreement; and (vi) the issuance of shares of Series B-2 Preferred Stock pursuant to the Purchase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80"/>
          </w:cols>
          <w:pgMar w:left="660" w:top="265" w:right="659" w:bottom="1440" w:gutter="0" w:footer="0" w:header="0"/>
        </w:sectPr>
      </w:pPr>
    </w:p>
    <w:bookmarkStart w:id="261" w:name="page262"/>
    <w:bookmarkEnd w:id="261"/>
    <w:p>
      <w:pPr>
        <w:ind w:left="2" w:firstLine="426"/>
        <w:spacing w:after="0" w:line="32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4.2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The covenants set forth in </w:t>
      </w:r>
      <w:r>
        <w:rPr>
          <w:rFonts w:ascii="Arial" w:cs="Arial" w:eastAsia="Arial" w:hAnsi="Arial"/>
          <w:sz w:val="15"/>
          <w:szCs w:val="15"/>
          <w:u w:val="single" w:color="auto"/>
          <w:color w:val="auto"/>
        </w:rPr>
        <w:t>Subsection 4.1</w:t>
      </w:r>
      <w:r>
        <w:rPr>
          <w:rFonts w:ascii="Arial" w:cs="Arial" w:eastAsia="Arial" w:hAnsi="Arial"/>
          <w:sz w:val="15"/>
          <w:szCs w:val="15"/>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31" w:lineRule="exact"/>
        <w:rPr>
          <w:sz w:val="20"/>
          <w:szCs w:val="20"/>
          <w:color w:val="auto"/>
        </w:rPr>
      </w:pPr>
    </w:p>
    <w:p>
      <w:pPr>
        <w:ind w:left="182" w:hanging="182"/>
        <w:spacing w:after="0"/>
        <w:tabs>
          <w:tab w:leader="none" w:pos="182"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Covenants</w:t>
      </w:r>
      <w:r>
        <w:rPr>
          <w:rFonts w:ascii="Arial" w:cs="Arial" w:eastAsia="Arial" w:hAnsi="Arial"/>
          <w:sz w:val="17"/>
          <w:szCs w:val="17"/>
          <w:color w:val="auto"/>
        </w:rPr>
        <w:t>.</w:t>
      </w:r>
    </w:p>
    <w:p>
      <w:pPr>
        <w:spacing w:after="0" w:line="228" w:lineRule="exact"/>
        <w:rPr>
          <w:sz w:val="20"/>
          <w:szCs w:val="20"/>
          <w:color w:val="auto"/>
        </w:rPr>
      </w:pPr>
    </w:p>
    <w:p>
      <w:pPr>
        <w:ind w:left="2" w:right="60" w:firstLine="426"/>
        <w:spacing w:after="0" w:line="26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use its commercially reasonable efforts to obtain, within ninety (90) days of the date hereof, from financially sound and reputable insurers Directors and Officers liability insurance in an amount and on terms and conditions satisfactory to the Board of Directors, and will use commercially reasonable efforts to cause such insurance policies to be maintained until such time as the Board of Directors determines that such insurance should be discontinued,</w:t>
      </w:r>
    </w:p>
    <w:p>
      <w:pPr>
        <w:spacing w:after="0" w:line="178" w:lineRule="exact"/>
        <w:rPr>
          <w:sz w:val="20"/>
          <w:szCs w:val="20"/>
          <w:color w:val="auto"/>
        </w:rPr>
      </w:pPr>
    </w:p>
    <w:p>
      <w:pPr>
        <w:ind w:left="2" w:right="100" w:firstLine="426"/>
        <w:spacing w:after="0" w:line="307"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Employee Agreements</w:t>
      </w:r>
      <w:r>
        <w:rPr>
          <w:rFonts w:ascii="Arial" w:cs="Arial" w:eastAsia="Arial" w:hAnsi="Arial"/>
          <w:sz w:val="15"/>
          <w:szCs w:val="15"/>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In addition, the Company shall not amend, modify, terminate, waive, or otherwise alter, in whole or in part, any of the above-referenced agreements or any restricted stock agreement between the Company and any employee, without the consent of the Board of Directors.</w:t>
      </w:r>
    </w:p>
    <w:p>
      <w:pPr>
        <w:spacing w:after="0" w:line="150" w:lineRule="exact"/>
        <w:rPr>
          <w:sz w:val="20"/>
          <w:szCs w:val="20"/>
          <w:color w:val="auto"/>
        </w:rPr>
      </w:pPr>
    </w:p>
    <w:p>
      <w:pPr>
        <w:ind w:left="2" w:right="20" w:firstLine="426"/>
        <w:spacing w:after="0" w:line="28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installments over the following thirty-six (36) months, and (ii) a market stand 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68" w:lineRule="exact"/>
        <w:rPr>
          <w:sz w:val="20"/>
          <w:szCs w:val="20"/>
          <w:color w:val="auto"/>
        </w:rPr>
      </w:pPr>
    </w:p>
    <w:p>
      <w:pPr>
        <w:ind w:left="2" w:firstLine="426"/>
        <w:spacing w:after="0" w:line="264"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Matters Requiring Investor Director Approval</w:t>
      </w:r>
      <w:r>
        <w:rPr>
          <w:rFonts w:ascii="Arial" w:cs="Arial" w:eastAsia="Arial" w:hAnsi="Arial"/>
          <w:sz w:val="17"/>
          <w:szCs w:val="17"/>
          <w:color w:val="auto"/>
        </w:rPr>
        <w:t>. So long as the holders of Preferred Stock are entitled to elect a Preferred Director, the Company hereby covenants and agrees with each of the Investors that it shall not, without approval of the Board of Directors, which approval must include the affirmative vote, if still seated, of the PIF Director, the Arkin Director, the Global Health Director, and at least one Pontifax Director (each as defined in the Voting Agreement) hire, terminate, or change the compensation of the executive officers, including approving any option grants or stock awards to executive officers.</w:t>
      </w:r>
    </w:p>
    <w:p>
      <w:pPr>
        <w:spacing w:after="0" w:line="11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42"/>
          </w:cols>
          <w:pgMar w:left="618" w:top="270" w:right="639" w:bottom="1440" w:gutter="0" w:footer="0" w:header="0"/>
        </w:sectPr>
      </w:pPr>
    </w:p>
    <w:bookmarkStart w:id="262" w:name="page263"/>
    <w:bookmarkEnd w:id="262"/>
    <w:p>
      <w:pPr>
        <w:jc w:val="both"/>
        <w:ind w:right="60" w:firstLine="42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w:t>
      </w:r>
    </w:p>
    <w:p>
      <w:pPr>
        <w:spacing w:after="0" w:line="155" w:lineRule="exact"/>
        <w:rPr>
          <w:sz w:val="20"/>
          <w:szCs w:val="20"/>
          <w:color w:val="auto"/>
        </w:rPr>
      </w:pPr>
    </w:p>
    <w:p>
      <w:pPr>
        <w:ind w:firstLine="426"/>
        <w:spacing w:after="0" w:line="264"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Successor Indemnification</w:t>
      </w:r>
      <w:r>
        <w:rPr>
          <w:rFonts w:ascii="Arial" w:cs="Arial" w:eastAsia="Arial" w:hAnsi="Arial"/>
          <w:sz w:val="17"/>
          <w:szCs w:val="17"/>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78" w:lineRule="exact"/>
        <w:rPr>
          <w:sz w:val="20"/>
          <w:szCs w:val="20"/>
          <w:color w:val="auto"/>
        </w:rPr>
      </w:pPr>
    </w:p>
    <w:p>
      <w:pPr>
        <w:ind w:firstLine="426"/>
        <w:spacing w:after="0" w:line="27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73" w:lineRule="exact"/>
        <w:rPr>
          <w:sz w:val="20"/>
          <w:szCs w:val="20"/>
          <w:color w:val="auto"/>
        </w:rPr>
      </w:pPr>
    </w:p>
    <w:p>
      <w:pPr>
        <w:ind w:right="20" w:firstLine="426"/>
        <w:spacing w:after="0" w:line="26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Section 5, except for </w:t>
      </w:r>
      <w:r>
        <w:rPr>
          <w:rFonts w:ascii="Arial" w:cs="Arial" w:eastAsia="Arial" w:hAnsi="Arial"/>
          <w:sz w:val="17"/>
          <w:szCs w:val="17"/>
          <w:u w:val="single" w:color="auto"/>
          <w:color w:val="auto"/>
        </w:rPr>
        <w:t>Subsections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5.7</w:t>
      </w:r>
      <w:r>
        <w:rPr>
          <w:rFonts w:ascii="Arial" w:cs="Arial" w:eastAsia="Arial" w:hAnsi="Arial"/>
          <w:sz w:val="17"/>
          <w:szCs w:val="17"/>
          <w:color w:val="auto"/>
        </w:rPr>
        <w:t>, shall terminate and be of no further force or effect (a) immediately before the consummation of the IPO, (b) when the Company first becomes subject to the periodic reporting requirements of Section 12(g) or 15(d) of the Exchange Act, or (c) upon a Deemed Liquidation Event, as such term is defined in the Company’s Certificate of Incorporation, whichever event occurs first.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00"/>
          </w:cols>
          <w:pgMar w:left="620" w:top="270" w:right="679" w:bottom="1440" w:gutter="0" w:footer="0" w:header="0"/>
        </w:sectPr>
      </w:pPr>
    </w:p>
    <w:bookmarkStart w:id="263" w:name="page264"/>
    <w:bookmarkEnd w:id="263"/>
    <w:p>
      <w:pPr>
        <w:ind w:left="182" w:hanging="182"/>
        <w:spacing w:after="0"/>
        <w:tabs>
          <w:tab w:leader="none" w:pos="182"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Miscellaneous</w:t>
      </w:r>
      <w:r>
        <w:rPr>
          <w:rFonts w:ascii="Arial" w:cs="Arial" w:eastAsia="Arial" w:hAnsi="Arial"/>
          <w:sz w:val="17"/>
          <w:szCs w:val="17"/>
          <w:b w:val="1"/>
          <w:bCs w:val="1"/>
          <w:color w:val="auto"/>
        </w:rPr>
        <w:t>.</w:t>
      </w:r>
    </w:p>
    <w:p>
      <w:pPr>
        <w:spacing w:after="0" w:line="228" w:lineRule="exact"/>
        <w:rPr>
          <w:sz w:val="20"/>
          <w:szCs w:val="20"/>
          <w:color w:val="auto"/>
        </w:rPr>
      </w:pPr>
    </w:p>
    <w:p>
      <w:pPr>
        <w:ind w:left="2" w:right="20" w:firstLine="426"/>
        <w:spacing w:after="0" w:line="27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1"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the internal law of the State of Delaware.</w:t>
      </w:r>
    </w:p>
    <w:p>
      <w:pPr>
        <w:spacing w:after="0" w:line="222" w:lineRule="exact"/>
        <w:rPr>
          <w:sz w:val="20"/>
          <w:szCs w:val="20"/>
          <w:color w:val="auto"/>
        </w:rPr>
      </w:pPr>
    </w:p>
    <w:p>
      <w:pPr>
        <w:ind w:left="2" w:right="40" w:firstLine="426"/>
        <w:spacing w:after="0" w:line="26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ind w:left="2" w:right="400" w:firstLine="426"/>
        <w:spacing w:after="0" w:line="28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and subtitles used in this Agreement are for convenience only and are not to be considered in construing or interpreting this Agreement.</w:t>
      </w:r>
    </w:p>
    <w:p>
      <w:pPr>
        <w:spacing w:after="0" w:line="159" w:lineRule="exact"/>
        <w:rPr>
          <w:sz w:val="20"/>
          <w:szCs w:val="20"/>
          <w:color w:val="auto"/>
        </w:rPr>
      </w:pPr>
    </w:p>
    <w:p>
      <w:pPr>
        <w:ind w:left="2" w:firstLine="426"/>
        <w:spacing w:after="0" w:line="27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(c) five (5) days after having been sent by registered or certified mail, return receipt requested, postage prepaid; or (iv) two (2) business days after the deposit with an internationally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shall also be sent to Faber Daeufer &amp; Itrato, PC, 890 Winter Street, Suite 315, Waltham, MA 02451, Attention: Kurt L. Machemer, Esq.</w:t>
      </w:r>
    </w:p>
    <w:p>
      <w:pPr>
        <w:spacing w:after="0" w:line="10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42"/>
          </w:cols>
          <w:pgMar w:left="618" w:top="265" w:right="639" w:bottom="1440" w:gutter="0" w:footer="0" w:header="0"/>
        </w:sectPr>
      </w:pPr>
    </w:p>
    <w:bookmarkStart w:id="264" w:name="page265"/>
    <w:bookmarkEnd w:id="264"/>
    <w:p>
      <w:pPr>
        <w:ind w:right="80" w:firstLine="426"/>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at least eighty percent (80%) of the shares of Common Stock issued or issuable upon conversion of the then outstanding shares of Preferred Stock held by the Investors;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any provision hereof may be waived by any waiving party on such party’s own behalf, without the consent of any other 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sz w:val="20"/>
          <w:szCs w:val="20"/>
          <w:color w:val="auto"/>
        </w:rPr>
      </w:pPr>
    </w:p>
    <w:p>
      <w:pPr>
        <w:ind w:right="240" w:firstLine="426"/>
        <w:spacing w:after="0" w:line="26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78" w:lineRule="exact"/>
        <w:rPr>
          <w:sz w:val="20"/>
          <w:szCs w:val="20"/>
          <w:color w:val="auto"/>
        </w:rPr>
      </w:pPr>
    </w:p>
    <w:p>
      <w:pPr>
        <w:ind w:right="460" w:firstLine="426"/>
        <w:spacing w:after="0" w:line="272"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71" w:lineRule="exact"/>
        <w:rPr>
          <w:sz w:val="20"/>
          <w:szCs w:val="20"/>
          <w:color w:val="auto"/>
        </w:rPr>
      </w:pPr>
    </w:p>
    <w:p>
      <w:pPr>
        <w:ind w:firstLine="426"/>
        <w:spacing w:after="0" w:line="264"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60"/>
          </w:cols>
          <w:pgMar w:left="620" w:top="271" w:right="619" w:bottom="1440" w:gutter="0" w:footer="0" w:header="0"/>
        </w:sectPr>
      </w:pPr>
    </w:p>
    <w:bookmarkStart w:id="265" w:name="page266"/>
    <w:bookmarkEnd w:id="265"/>
    <w:p>
      <w:pPr>
        <w:ind w:firstLine="42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8" w:lineRule="exact"/>
        <w:rPr>
          <w:sz w:val="20"/>
          <w:szCs w:val="20"/>
          <w:color w:val="auto"/>
        </w:rPr>
      </w:pPr>
    </w:p>
    <w:p>
      <w:pPr>
        <w:ind w:firstLine="426"/>
        <w:spacing w:after="0" w:line="301" w:lineRule="auto"/>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Dispute Resolution</w:t>
      </w:r>
      <w:r>
        <w:rPr>
          <w:rFonts w:ascii="Arial" w:cs="Arial" w:eastAsia="Arial" w:hAnsi="Arial"/>
          <w:sz w:val="15"/>
          <w:szCs w:val="15"/>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57" w:lineRule="exact"/>
        <w:rPr>
          <w:sz w:val="20"/>
          <w:szCs w:val="20"/>
          <w:color w:val="auto"/>
        </w:rPr>
      </w:pPr>
    </w:p>
    <w:p>
      <w:pPr>
        <w:ind w:right="200" w:firstLine="426"/>
        <w:spacing w:after="0" w:line="284"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0"/>
          </w:cols>
          <w:pgMar w:left="620" w:top="271" w:right="639" w:bottom="1440" w:gutter="0" w:footer="0" w:header="0"/>
        </w:sectPr>
      </w:pPr>
    </w:p>
    <w:bookmarkStart w:id="266" w:name="page267"/>
    <w:bookmarkEnd w:id="266"/>
    <w:p>
      <w:pPr>
        <w:ind w:left="1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COMPANY:</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Jasbir S. Seehra</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Jasbir S.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-123190</wp:posOffset>
            </wp:positionV>
            <wp:extent cx="25114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7"/>
          <w:szCs w:val="17"/>
          <w:color w:val="auto"/>
        </w:rPr>
        <w:t>Title: Chief Executive Officer</w:t>
      </w: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Address: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99 Hayden Ave.</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Building E, Suite 120</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Lexington, MA 02421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019"/>
          </w:cols>
          <w:pgMar w:left="1440" w:top="271" w:right="1440" w:bottom="1440" w:gutter="0" w:footer="0" w:header="0"/>
        </w:sectPr>
      </w:pPr>
    </w:p>
    <w:bookmarkStart w:id="267" w:name="page268"/>
    <w:bookmarkEnd w:id="267"/>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PONTIFAX (ISRAEL) IV, L.P.</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Tomer Kariv</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CEO</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PONTIFAX (CAYMAN) IV, L.P.</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Tomer Kariv</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CEO</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PONTIFAX (CHINA) IV, L.P.</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Tomer Kariv</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CEO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019"/>
          </w:cols>
          <w:pgMar w:left="1440" w:top="271" w:right="1440" w:bottom="1440" w:gutter="0" w:footer="0" w:header="0"/>
        </w:sectPr>
      </w:pPr>
    </w:p>
    <w:bookmarkStart w:id="268" w:name="page269"/>
    <w:bookmarkEnd w:id="268"/>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ARKIN BIO VENTURES LIMITED PARTNERSHIP</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BY ITS GENERAL PARTNER: ARKIN BIO</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VENTURE PARTNERS LTD.</w:t>
      </w: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Moshe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Moshe Arkin</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Director</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600"/>
          </w:cols>
          <w:pgMar w:left="1440" w:top="270" w:right="859" w:bottom="1440" w:gutter="0" w:footer="0" w:header="0"/>
        </w:sectPr>
      </w:pPr>
    </w:p>
    <w:bookmarkStart w:id="269" w:name="page270"/>
    <w:bookmarkEnd w:id="269"/>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PARTNERS INNOVATION FUND, LLC</w:t>
      </w:r>
    </w:p>
    <w:p>
      <w:pPr>
        <w:spacing w:after="0" w:line="228"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Julius Knowles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16510</wp:posOffset>
            </wp:positionV>
            <wp:extent cx="24866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Julius Knowles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 Partner</w:t>
      </w: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PARTNERS INNOVATION FUND II, L.P.</w:t>
      </w:r>
    </w:p>
    <w:p>
      <w:pPr>
        <w:spacing w:after="0" w:line="228"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Partners Innovation II, LLC</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Its General Partner</w:t>
      </w:r>
    </w:p>
    <w:p>
      <w:pPr>
        <w:spacing w:after="0" w:line="314"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Julius Knowles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16510</wp:posOffset>
            </wp:positionV>
            <wp:extent cx="24866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Julius Knowles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 Partner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019"/>
          </w:cols>
          <w:pgMar w:left="1440" w:top="271" w:right="1440" w:bottom="1440" w:gutter="0" w:footer="0" w:header="0"/>
        </w:sectPr>
      </w:pPr>
    </w:p>
    <w:bookmarkStart w:id="270" w:name="page271"/>
    <w:bookmarkEnd w:id="270"/>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MEDISON VENTURES LTD.</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Gil Gurfinkel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Gil Gurfinkel</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Vp CORPORATE Development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019"/>
          </w:cols>
          <w:pgMar w:left="1440" w:top="270" w:right="1440" w:bottom="1440" w:gutter="0" w:footer="0" w:header="0"/>
        </w:sectPr>
      </w:pPr>
    </w:p>
    <w:bookmarkStart w:id="271" w:name="page272"/>
    <w:bookmarkEnd w:id="271"/>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GLOBAL HEALTH SCIENCE FUND II, L.P.</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Signed for and on behalf of GHS Partners Limited, acting as</w:t>
      </w:r>
    </w:p>
    <w:p>
      <w:pPr>
        <w:spacing w:after="0" w:line="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the general partner of GHS Partnership II L.P. being the</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general partner of Global Health Science Fund II, L.P.</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Karimah Es Sabar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16510</wp:posOffset>
            </wp:positionV>
            <wp:extent cx="25114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Karimah Es Sabar</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Director</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780"/>
          </w:cols>
          <w:pgMar w:left="1440" w:top="271" w:right="679" w:bottom="1440" w:gutter="0" w:footer="0" w:header="0"/>
        </w:sectPr>
      </w:pPr>
    </w:p>
    <w:bookmarkStart w:id="272" w:name="page273"/>
    <w:bookmarkEnd w:id="272"/>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INVESTORS:</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PONTIFAX LATE STAGE FUND L.P.</w:t>
      </w:r>
    </w:p>
    <w:p>
      <w:pPr>
        <w:spacing w:after="0" w:line="228"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Shlomo Karako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16510</wp:posOffset>
            </wp:positionV>
            <wp:extent cx="24866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 Shlomo Karako</w:t>
      </w:r>
    </w:p>
    <w:p>
      <w:pPr>
        <w:spacing w:after="0" w:line="2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7"/>
          <w:szCs w:val="17"/>
          <w:color w:val="auto"/>
        </w:rPr>
        <w:t>Title:</w:t>
        <w:tab/>
        <w:t>Managing Partner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 PAGE TO</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EROS 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AMENDED AND RESTATED INVESTORS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RIGHTS AGREEMENT</w:t>
      </w:r>
    </w:p>
    <w:p>
      <w:pPr>
        <w:sectPr>
          <w:pgSz w:w="11900" w:h="16838" w:orient="portrait"/>
          <w:cols w:equalWidth="0" w:num="1">
            <w:col w:w="9019"/>
          </w:cols>
          <w:pgMar w:left="1440" w:top="271" w:right="1440" w:bottom="1440" w:gutter="0" w:footer="0" w:header="0"/>
        </w:sectPr>
      </w:pPr>
    </w:p>
    <w:bookmarkStart w:id="273" w:name="page274"/>
    <w:bookmarkEnd w:id="273"/>
    <w:p>
      <w:pPr>
        <w:jc w:val="center"/>
        <w:ind w:right="-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A</w:t>
      </w:r>
    </w:p>
    <w:p>
      <w:pPr>
        <w:spacing w:after="0" w:line="118"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Investors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Pontifax (Israel) IV, 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Pontifax (Cayman) IV, 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Pontifax (China) IV, 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Arkin Bio Ventures Limited Partnership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Partners Innovation Fund, LLC</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Partners Innovation Fund II, 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Medison Ventures Ltd.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Health Science Fund II, 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Pontifax Late Stage Fund L.P.</w:t>
      </w:r>
    </w:p>
    <w:p>
      <w:pPr>
        <w:sectPr>
          <w:pgSz w:w="11900" w:h="16838" w:orient="portrait"/>
          <w:cols w:equalWidth="0" w:num="1">
            <w:col w:w="9839"/>
          </w:cols>
          <w:pgMar w:left="620" w:top="265" w:right="1440" w:bottom="1440" w:gutter="0" w:footer="0" w:header="0"/>
        </w:sectPr>
      </w:pPr>
    </w:p>
    <w:bookmarkStart w:id="274" w:name="page275"/>
    <w:bookmarkEnd w:id="274"/>
    <w:p>
      <w:pPr>
        <w:jc w:val="right"/>
        <w:spacing w:after="0"/>
        <w:rPr>
          <w:sz w:val="20"/>
          <w:szCs w:val="20"/>
          <w:color w:val="auto"/>
        </w:rPr>
      </w:pPr>
      <w:r>
        <w:rPr>
          <w:rFonts w:ascii="Arial" w:cs="Arial" w:eastAsia="Arial" w:hAnsi="Arial"/>
          <w:sz w:val="17"/>
          <w:szCs w:val="17"/>
          <w:b w:val="1"/>
          <w:bCs w:val="1"/>
          <w:color w:val="auto"/>
        </w:rPr>
        <w:t>Exhibit 10.2</w:t>
      </w:r>
    </w:p>
    <w:p>
      <w:pPr>
        <w:spacing w:after="0" w:line="124" w:lineRule="exact"/>
        <w:rPr>
          <w:sz w:val="20"/>
          <w:szCs w:val="20"/>
          <w:color w:val="auto"/>
        </w:rPr>
      </w:pPr>
    </w:p>
    <w:p>
      <w:pPr>
        <w:ind w:left="4162"/>
        <w:spacing w:after="0"/>
        <w:rPr>
          <w:sz w:val="20"/>
          <w:szCs w:val="20"/>
          <w:color w:val="auto"/>
        </w:rPr>
      </w:pPr>
      <w:r>
        <w:rPr>
          <w:rFonts w:ascii="Arial" w:cs="Arial" w:eastAsia="Arial" w:hAnsi="Arial"/>
          <w:sz w:val="17"/>
          <w:szCs w:val="17"/>
          <w:color w:val="auto"/>
        </w:rPr>
        <w:t>KEROS THERAPEUTICS, INC.</w:t>
      </w:r>
    </w:p>
    <w:p>
      <w:pPr>
        <w:spacing w:after="0" w:line="118" w:lineRule="exact"/>
        <w:rPr>
          <w:sz w:val="20"/>
          <w:szCs w:val="20"/>
          <w:color w:val="auto"/>
        </w:rPr>
      </w:pPr>
    </w:p>
    <w:p>
      <w:pPr>
        <w:ind w:left="4122"/>
        <w:spacing w:after="0"/>
        <w:rPr>
          <w:sz w:val="20"/>
          <w:szCs w:val="20"/>
          <w:color w:val="auto"/>
        </w:rPr>
      </w:pPr>
      <w:r>
        <w:rPr>
          <w:rFonts w:ascii="Arial" w:cs="Arial" w:eastAsia="Arial" w:hAnsi="Arial"/>
          <w:sz w:val="17"/>
          <w:szCs w:val="17"/>
          <w:u w:val="single" w:color="auto"/>
          <w:color w:val="auto"/>
        </w:rPr>
        <w:t>2017 STOCK INCENTIVE PLAN</w:t>
      </w:r>
    </w:p>
    <w:p>
      <w:pPr>
        <w:spacing w:after="0" w:line="222" w:lineRule="exact"/>
        <w:rPr>
          <w:sz w:val="20"/>
          <w:szCs w:val="20"/>
          <w:color w:val="auto"/>
        </w:rPr>
      </w:pPr>
    </w:p>
    <w:p>
      <w:pPr>
        <w:ind w:left="182" w:hanging="182"/>
        <w:spacing w:after="0"/>
        <w:tabs>
          <w:tab w:leader="none" w:pos="182"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Purpose</w:t>
      </w:r>
    </w:p>
    <w:p>
      <w:pPr>
        <w:spacing w:after="0" w:line="222" w:lineRule="exact"/>
        <w:rPr>
          <w:sz w:val="20"/>
          <w:szCs w:val="20"/>
          <w:color w:val="auto"/>
        </w:rPr>
      </w:pPr>
    </w:p>
    <w:p>
      <w:pPr>
        <w:ind w:left="2" w:right="160" w:firstLine="426"/>
        <w:spacing w:after="0" w:line="260" w:lineRule="auto"/>
        <w:rPr>
          <w:sz w:val="20"/>
          <w:szCs w:val="20"/>
          <w:color w:val="auto"/>
        </w:rPr>
      </w:pPr>
      <w:r>
        <w:rPr>
          <w:rFonts w:ascii="Arial" w:cs="Arial" w:eastAsia="Arial" w:hAnsi="Arial"/>
          <w:sz w:val="17"/>
          <w:szCs w:val="17"/>
          <w:color w:val="auto"/>
        </w:rPr>
        <w:t>The purpose of this 2017 Stock Incentive Plan (the “Plan”) of Keros Therapeutics,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86" w:lineRule="exact"/>
        <w:rPr>
          <w:sz w:val="20"/>
          <w:szCs w:val="20"/>
          <w:color w:val="auto"/>
        </w:rPr>
      </w:pPr>
    </w:p>
    <w:p>
      <w:pPr>
        <w:ind w:left="182" w:hanging="182"/>
        <w:spacing w:after="0"/>
        <w:tabs>
          <w:tab w:leader="none" w:pos="182"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222" w:lineRule="exact"/>
        <w:rPr>
          <w:sz w:val="20"/>
          <w:szCs w:val="20"/>
          <w:color w:val="auto"/>
        </w:rPr>
      </w:pPr>
    </w:p>
    <w:p>
      <w:pPr>
        <w:ind w:left="2" w:right="220" w:firstLine="426"/>
        <w:spacing w:after="0" w:line="272" w:lineRule="auto"/>
        <w:rPr>
          <w:sz w:val="20"/>
          <w:szCs w:val="20"/>
          <w:color w:val="auto"/>
        </w:rPr>
      </w:pPr>
      <w:r>
        <w:rPr>
          <w:rFonts w:ascii="Arial" w:cs="Arial" w:eastAsia="Arial" w:hAnsi="Arial"/>
          <w:sz w:val="17"/>
          <w:szCs w:val="17"/>
          <w:color w:val="auto"/>
        </w:rPr>
        <w:t>All of the Company’s employees, officers, directors, consultants and advisors are eligible to be granted options, restricted stock, restricted stock units (“RSUs”) and other stock-based awards (each, an “Award”) under the Plan. Each person who receives an Award under the Plan is deemed a “Participant”.</w:t>
      </w:r>
    </w:p>
    <w:p>
      <w:pPr>
        <w:spacing w:after="0" w:line="171" w:lineRule="exact"/>
        <w:rPr>
          <w:sz w:val="20"/>
          <w:szCs w:val="20"/>
          <w:color w:val="auto"/>
        </w:rPr>
      </w:pPr>
    </w:p>
    <w:p>
      <w:pPr>
        <w:ind w:left="182" w:hanging="182"/>
        <w:spacing w:after="0"/>
        <w:tabs>
          <w:tab w:leader="none" w:pos="182"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Administration and Delegation</w:t>
      </w:r>
    </w:p>
    <w:p>
      <w:pPr>
        <w:spacing w:after="0" w:line="222" w:lineRule="exact"/>
        <w:rPr>
          <w:rFonts w:ascii="Arial" w:cs="Arial" w:eastAsia="Arial" w:hAnsi="Arial"/>
          <w:sz w:val="17"/>
          <w:szCs w:val="17"/>
          <w:color w:val="auto"/>
        </w:rPr>
      </w:pPr>
    </w:p>
    <w:p>
      <w:pPr>
        <w:ind w:left="2" w:right="100" w:firstLine="424"/>
        <w:spacing w:after="0" w:line="280" w:lineRule="auto"/>
        <w:tabs>
          <w:tab w:leader="none" w:pos="664"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68" w:lineRule="exact"/>
        <w:rPr>
          <w:rFonts w:ascii="Arial" w:cs="Arial" w:eastAsia="Arial" w:hAnsi="Arial"/>
          <w:sz w:val="16"/>
          <w:szCs w:val="16"/>
          <w:color w:val="auto"/>
        </w:rPr>
      </w:pPr>
    </w:p>
    <w:p>
      <w:pPr>
        <w:jc w:val="both"/>
        <w:ind w:left="2" w:right="120" w:firstLine="424"/>
        <w:spacing w:after="0" w:line="266" w:lineRule="auto"/>
        <w:tabs>
          <w:tab w:leader="none" w:pos="674"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12"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2"/>
          </w:cols>
          <w:pgMar w:left="618" w:top="121" w:right="619" w:bottom="1440" w:gutter="0" w:footer="0" w:header="0"/>
        </w:sectPr>
      </w:pPr>
    </w:p>
    <w:bookmarkStart w:id="275" w:name="page276"/>
    <w:bookmarkEnd w:id="275"/>
    <w:p>
      <w:pPr>
        <w:ind w:left="2" w:firstLine="424"/>
        <w:spacing w:after="0" w:line="280" w:lineRule="auto"/>
        <w:tabs>
          <w:tab w:leader="none" w:pos="664"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Delegation to Officers</w:t>
      </w:r>
      <w:r>
        <w:rPr>
          <w:rFonts w:ascii="Arial" w:cs="Arial" w:eastAsia="Arial" w:hAnsi="Arial"/>
          <w:sz w:val="16"/>
          <w:szCs w:val="16"/>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68" w:lineRule="exact"/>
        <w:rPr>
          <w:rFonts w:ascii="Arial" w:cs="Arial" w:eastAsia="Arial" w:hAnsi="Arial"/>
          <w:sz w:val="16"/>
          <w:szCs w:val="16"/>
          <w:color w:val="auto"/>
        </w:rPr>
      </w:pPr>
    </w:p>
    <w:p>
      <w:pPr>
        <w:ind w:left="182" w:hanging="182"/>
        <w:spacing w:after="0"/>
        <w:tabs>
          <w:tab w:leader="none" w:pos="182"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 w:right="20" w:firstLine="424"/>
        <w:spacing w:after="0" w:line="276" w:lineRule="auto"/>
        <w:tabs>
          <w:tab w:leader="none" w:pos="664"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8, Awards may be made under the Plan for up to 518,1101</w:t>
      </w:r>
      <w:r>
        <w:rPr>
          <w:rFonts w:ascii="Arial" w:cs="Arial" w:eastAsia="Arial" w:hAnsi="Arial"/>
          <w:sz w:val="13"/>
          <w:szCs w:val="13"/>
          <w:color w:val="auto"/>
        </w:rPr>
        <w:t>1</w:t>
      </w:r>
      <w:r>
        <w:rPr>
          <w:rFonts w:ascii="Arial" w:cs="Arial" w:eastAsia="Arial" w:hAnsi="Arial"/>
          <w:sz w:val="16"/>
          <w:szCs w:val="16"/>
          <w:color w:val="auto"/>
        </w:rPr>
        <w:t xml:space="preserve"> shares of common stock, $0.0001 par value per share, of the Company (the “Common Stock”).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shall be added to the number of shares of Common Stock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“California Regulations”), based on the shares of the Company which are outstanding at the time the calculation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37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spacing w:after="0" w:line="246" w:lineRule="exact"/>
        <w:rPr>
          <w:sz w:val="20"/>
          <w:szCs w:val="20"/>
          <w:color w:val="auto"/>
        </w:rPr>
      </w:pPr>
    </w:p>
    <w:p>
      <w:pPr>
        <w:ind w:left="422" w:right="1460" w:hanging="422"/>
        <w:spacing w:after="0" w:line="435" w:lineRule="auto"/>
        <w:tabs>
          <w:tab w:leader="none" w:pos="414" w:val="left"/>
        </w:tabs>
        <w:numPr>
          <w:ilvl w:val="0"/>
          <w:numId w:val="202"/>
        </w:numPr>
        <w:rPr>
          <w:rFonts w:ascii="Arial" w:cs="Arial" w:eastAsia="Arial" w:hAnsi="Arial"/>
          <w:sz w:val="13"/>
          <w:szCs w:val="13"/>
          <w:color w:val="auto"/>
        </w:rPr>
      </w:pPr>
      <w:r>
        <w:rPr>
          <w:rFonts w:ascii="Arial" w:cs="Arial" w:eastAsia="Arial" w:hAnsi="Arial"/>
          <w:sz w:val="15"/>
          <w:szCs w:val="15"/>
          <w:color w:val="auto"/>
        </w:rPr>
        <w:t>Increased by 982,533 shares, from 518,110 shares to 1,500,643 shares, pursuant to Board action taken on December 18, 2017. Increased by 442,000 shares, from 1,500,643 shares to 1,942,643 shares, pursuant to Board action taken on January 2, 2018.</w:t>
      </w:r>
    </w:p>
    <w:p>
      <w:pPr>
        <w:spacing w:after="0" w:line="1" w:lineRule="exact"/>
        <w:rPr>
          <w:rFonts w:ascii="Arial" w:cs="Arial" w:eastAsia="Arial" w:hAnsi="Arial"/>
          <w:sz w:val="13"/>
          <w:szCs w:val="13"/>
          <w:color w:val="auto"/>
        </w:rPr>
      </w:pPr>
    </w:p>
    <w:p>
      <w:pPr>
        <w:ind w:left="422" w:right="440"/>
        <w:spacing w:after="0" w:line="287" w:lineRule="auto"/>
        <w:rPr>
          <w:rFonts w:ascii="Arial" w:cs="Arial" w:eastAsia="Arial" w:hAnsi="Arial"/>
          <w:sz w:val="13"/>
          <w:szCs w:val="13"/>
          <w:color w:val="auto"/>
        </w:rPr>
      </w:pPr>
      <w:r>
        <w:rPr>
          <w:rFonts w:ascii="Arial" w:cs="Arial" w:eastAsia="Arial" w:hAnsi="Arial"/>
          <w:sz w:val="17"/>
          <w:szCs w:val="17"/>
          <w:color w:val="auto"/>
        </w:rPr>
        <w:t>1,424,533 share increase (inclusive of December 18, 2017 and January 2, 2018 board approved increases) ratified by stockholder consent on January 2, 2018.</w:t>
      </w:r>
    </w:p>
    <w:p>
      <w:pPr>
        <w:spacing w:after="0" w:line="54" w:lineRule="exact"/>
        <w:rPr>
          <w:rFonts w:ascii="Arial" w:cs="Arial" w:eastAsia="Arial" w:hAnsi="Arial"/>
          <w:sz w:val="13"/>
          <w:szCs w:val="13"/>
          <w:color w:val="auto"/>
        </w:rPr>
      </w:pPr>
    </w:p>
    <w:p>
      <w:pPr>
        <w:ind w:left="422" w:right="660"/>
        <w:spacing w:after="0" w:line="287" w:lineRule="auto"/>
        <w:rPr>
          <w:rFonts w:ascii="Arial" w:cs="Arial" w:eastAsia="Arial" w:hAnsi="Arial"/>
          <w:sz w:val="13"/>
          <w:szCs w:val="13"/>
          <w:color w:val="auto"/>
        </w:rPr>
      </w:pPr>
      <w:r>
        <w:rPr>
          <w:rFonts w:ascii="Arial" w:cs="Arial" w:eastAsia="Arial" w:hAnsi="Arial"/>
          <w:sz w:val="17"/>
          <w:szCs w:val="17"/>
          <w:color w:val="auto"/>
        </w:rPr>
        <w:t>Increased by 80,000 shares, from 1,942,643 to 2,022,643 shares, pursuant to Board action taken on October 9, 2018 and later stockholder ratification.</w:t>
      </w:r>
    </w:p>
    <w:p>
      <w:pPr>
        <w:spacing w:after="0" w:line="54" w:lineRule="exact"/>
        <w:rPr>
          <w:rFonts w:ascii="Arial" w:cs="Arial" w:eastAsia="Arial" w:hAnsi="Arial"/>
          <w:sz w:val="13"/>
          <w:szCs w:val="13"/>
          <w:color w:val="auto"/>
        </w:rPr>
      </w:pPr>
    </w:p>
    <w:p>
      <w:pPr>
        <w:ind w:left="422" w:right="600"/>
        <w:spacing w:after="0" w:line="287" w:lineRule="auto"/>
        <w:rPr>
          <w:rFonts w:ascii="Arial" w:cs="Arial" w:eastAsia="Arial" w:hAnsi="Arial"/>
          <w:sz w:val="13"/>
          <w:szCs w:val="13"/>
          <w:color w:val="auto"/>
        </w:rPr>
      </w:pPr>
      <w:r>
        <w:rPr>
          <w:rFonts w:ascii="Arial" w:cs="Arial" w:eastAsia="Arial" w:hAnsi="Arial"/>
          <w:sz w:val="17"/>
          <w:szCs w:val="17"/>
          <w:color w:val="auto"/>
        </w:rPr>
        <w:t>Increased by 933,500 shares, from 2,022,643 to 2,956,143 shares, pursuant to Board action taken on March 4, 2019 (subject to delivery of requisite stockholder approval).</w:t>
      </w:r>
    </w:p>
    <w:p>
      <w:pPr>
        <w:spacing w:after="0" w:line="9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2"/>
          </w:cols>
          <w:pgMar w:left="618" w:top="271" w:right="639" w:bottom="1440" w:gutter="0" w:footer="0" w:header="0"/>
        </w:sectPr>
      </w:pPr>
    </w:p>
    <w:bookmarkStart w:id="276" w:name="page277"/>
    <w:bookmarkEnd w:id="276"/>
    <w:p>
      <w:pPr>
        <w:ind w:left="2" w:right="20" w:firstLine="424"/>
        <w:spacing w:after="0" w:line="264" w:lineRule="auto"/>
        <w:tabs>
          <w:tab w:leader="none" w:pos="674"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78" w:lineRule="exact"/>
        <w:rPr>
          <w:rFonts w:ascii="Arial" w:cs="Arial" w:eastAsia="Arial" w:hAnsi="Arial"/>
          <w:sz w:val="17"/>
          <w:szCs w:val="17"/>
          <w:color w:val="auto"/>
        </w:rPr>
      </w:pPr>
    </w:p>
    <w:p>
      <w:pPr>
        <w:ind w:left="182" w:hanging="182"/>
        <w:spacing w:after="0"/>
        <w:tabs>
          <w:tab w:leader="none" w:pos="182"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Stock Options</w:t>
      </w:r>
    </w:p>
    <w:p>
      <w:pPr>
        <w:spacing w:after="0" w:line="222" w:lineRule="exact"/>
        <w:rPr>
          <w:rFonts w:ascii="Arial" w:cs="Arial" w:eastAsia="Arial" w:hAnsi="Arial"/>
          <w:sz w:val="17"/>
          <w:szCs w:val="17"/>
          <w:color w:val="auto"/>
        </w:rPr>
      </w:pPr>
    </w:p>
    <w:p>
      <w:pPr>
        <w:ind w:left="2" w:right="40" w:firstLine="424"/>
        <w:spacing w:after="0" w:line="266" w:lineRule="auto"/>
        <w:tabs>
          <w:tab w:leader="none" w:pos="664"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77" w:lineRule="exact"/>
        <w:rPr>
          <w:rFonts w:ascii="Arial" w:cs="Arial" w:eastAsia="Arial" w:hAnsi="Arial"/>
          <w:sz w:val="17"/>
          <w:szCs w:val="17"/>
          <w:color w:val="auto"/>
        </w:rPr>
      </w:pPr>
    </w:p>
    <w:p>
      <w:pPr>
        <w:ind w:left="2" w:firstLine="424"/>
        <w:spacing w:after="0" w:line="276" w:lineRule="auto"/>
        <w:tabs>
          <w:tab w:leader="none" w:pos="674"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the Company, any of the Company’s present or future parent or subsidiary corporations as defined in Sections 424(e) or (f) of the Code, and any other entities the employees of which are eligible to receive Incentive Stock Options under the Code. The Option shall be subject to and shall be construed consistently with the requirements of Section 422 of the Code, and without limiting generality of the foregoing, the Option shall be deemed to include terms that comply with the eligibility standards described section 422(b) of the Code. Subject to the remaining provisions of this Section 5(b), if an Option intended to qualify as an Incentive Stock Option does not so qualify, the Board may, at its discretion, amend the Plan and Award with respect to such Option so that such Option qualifies as an Incentive Stock Option.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Award.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70" w:lineRule="exact"/>
        <w:rPr>
          <w:rFonts w:ascii="Arial" w:cs="Arial" w:eastAsia="Arial" w:hAnsi="Arial"/>
          <w:sz w:val="16"/>
          <w:szCs w:val="16"/>
          <w:color w:val="auto"/>
        </w:rPr>
      </w:pPr>
    </w:p>
    <w:p>
      <w:pPr>
        <w:ind w:left="662" w:hanging="236"/>
        <w:spacing w:after="0"/>
        <w:tabs>
          <w:tab w:leader="none" w:pos="662"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Board shall establish the exercise price of each Option and specify the exercise price in the applicable option agreement.</w:t>
      </w:r>
    </w:p>
    <w:p>
      <w:pPr>
        <w:spacing w:after="0" w:line="245" w:lineRule="exact"/>
        <w:rPr>
          <w:rFonts w:ascii="Arial" w:cs="Arial" w:eastAsia="Arial" w:hAnsi="Arial"/>
          <w:sz w:val="15"/>
          <w:szCs w:val="15"/>
          <w:color w:val="auto"/>
        </w:rPr>
      </w:pPr>
    </w:p>
    <w:p>
      <w:pPr>
        <w:ind w:left="2" w:right="100" w:firstLine="424"/>
        <w:spacing w:after="0" w:line="287" w:lineRule="auto"/>
        <w:tabs>
          <w:tab w:leader="none" w:pos="674"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Duration of Options</w:t>
      </w:r>
      <w:r>
        <w:rPr>
          <w:rFonts w:ascii="Arial" w:cs="Arial" w:eastAsia="Arial" w:hAnsi="Arial"/>
          <w:sz w:val="17"/>
          <w:szCs w:val="17"/>
          <w:color w:val="auto"/>
        </w:rPr>
        <w:t>. Each Option shall be exercisable at such times and subject to such terms and conditions as the Board may specify in the applicable option agreement.</w:t>
      </w:r>
    </w:p>
    <w:p>
      <w:pPr>
        <w:spacing w:after="0" w:line="94" w:lineRule="exact"/>
        <w:rPr>
          <w:sz w:val="20"/>
          <w:szCs w:val="20"/>
          <w:color w:val="auto"/>
        </w:rPr>
      </w:pPr>
    </w:p>
    <w:p>
      <w:pPr>
        <w:jc w:val="center"/>
        <w:ind w:right="-6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2"/>
          </w:cols>
          <w:pgMar w:left="618" w:top="271" w:right="679" w:bottom="1440" w:gutter="0" w:footer="0" w:header="0"/>
        </w:sectPr>
      </w:pPr>
    </w:p>
    <w:bookmarkStart w:id="277" w:name="page278"/>
    <w:bookmarkEnd w:id="277"/>
    <w:p>
      <w:pPr>
        <w:ind w:left="2" w:firstLine="424"/>
        <w:spacing w:after="0" w:line="266" w:lineRule="auto"/>
        <w:tabs>
          <w:tab w:leader="none" w:pos="664"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Exercise of Option</w:t>
      </w:r>
      <w:r>
        <w:rPr>
          <w:rFonts w:ascii="Arial" w:cs="Arial" w:eastAsia="Arial" w:hAnsi="Arial"/>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177" w:lineRule="exact"/>
        <w:rPr>
          <w:rFonts w:ascii="Arial" w:cs="Arial" w:eastAsia="Arial" w:hAnsi="Arial"/>
          <w:sz w:val="17"/>
          <w:szCs w:val="17"/>
          <w:color w:val="auto"/>
        </w:rPr>
      </w:pPr>
    </w:p>
    <w:p>
      <w:pPr>
        <w:ind w:left="642" w:hanging="216"/>
        <w:spacing w:after="0"/>
        <w:tabs>
          <w:tab w:leader="none" w:pos="642"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29" w:lineRule="exact"/>
        <w:rPr>
          <w:rFonts w:ascii="Arial" w:cs="Arial" w:eastAsia="Arial" w:hAnsi="Arial"/>
          <w:sz w:val="16"/>
          <w:szCs w:val="16"/>
          <w:color w:val="auto"/>
        </w:rPr>
      </w:pPr>
    </w:p>
    <w:p>
      <w:pPr>
        <w:ind w:left="1202" w:hanging="243"/>
        <w:spacing w:after="0"/>
        <w:tabs>
          <w:tab w:leader="none" w:pos="1202" w:val="left"/>
        </w:tabs>
        <w:numPr>
          <w:ilvl w:val="2"/>
          <w:numId w:val="205"/>
        </w:numPr>
        <w:rPr>
          <w:rFonts w:ascii="Arial" w:cs="Arial" w:eastAsia="Arial" w:hAnsi="Arial"/>
          <w:sz w:val="17"/>
          <w:szCs w:val="17"/>
          <w:color w:val="auto"/>
        </w:rPr>
      </w:pPr>
      <w:r>
        <w:rPr>
          <w:rFonts w:ascii="Arial" w:cs="Arial" w:eastAsia="Arial" w:hAnsi="Arial"/>
          <w:sz w:val="17"/>
          <w:szCs w:val="17"/>
          <w:color w:val="auto"/>
        </w:rPr>
        <w:t>in cash or by check, payable to the order of the Company;</w:t>
      </w:r>
    </w:p>
    <w:p>
      <w:pPr>
        <w:spacing w:after="0" w:line="222" w:lineRule="exact"/>
        <w:rPr>
          <w:rFonts w:ascii="Arial" w:cs="Arial" w:eastAsia="Arial" w:hAnsi="Arial"/>
          <w:sz w:val="17"/>
          <w:szCs w:val="17"/>
          <w:color w:val="auto"/>
        </w:rPr>
      </w:pPr>
    </w:p>
    <w:p>
      <w:pPr>
        <w:ind w:left="2" w:firstLine="957"/>
        <w:spacing w:after="0" w:line="264" w:lineRule="auto"/>
        <w:tabs>
          <w:tab w:leader="none" w:pos="1207" w:val="left"/>
        </w:tabs>
        <w:numPr>
          <w:ilvl w:val="2"/>
          <w:numId w:val="205"/>
        </w:numPr>
        <w:rPr>
          <w:rFonts w:ascii="Arial" w:cs="Arial" w:eastAsia="Arial" w:hAnsi="Arial"/>
          <w:sz w:val="17"/>
          <w:szCs w:val="17"/>
          <w:color w:val="auto"/>
        </w:rPr>
      </w:pPr>
      <w:r>
        <w:rPr>
          <w:rFonts w:ascii="Arial" w:cs="Arial" w:eastAsia="Arial" w:hAnsi="Arial"/>
          <w:sz w:val="17"/>
          <w:szCs w:val="17"/>
          <w:color w:val="auto"/>
        </w:rPr>
        <w:t>when the Common Stock is registered under the Exchange Act, 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8" w:lineRule="exact"/>
        <w:rPr>
          <w:rFonts w:ascii="Arial" w:cs="Arial" w:eastAsia="Arial" w:hAnsi="Arial"/>
          <w:sz w:val="17"/>
          <w:szCs w:val="17"/>
          <w:color w:val="auto"/>
        </w:rPr>
      </w:pPr>
    </w:p>
    <w:p>
      <w:pPr>
        <w:ind w:left="2" w:right="120" w:firstLine="957"/>
        <w:spacing w:after="0" w:line="262" w:lineRule="auto"/>
        <w:tabs>
          <w:tab w:leader="none" w:pos="1207" w:val="left"/>
        </w:tabs>
        <w:numPr>
          <w:ilvl w:val="2"/>
          <w:numId w:val="205"/>
        </w:numPr>
        <w:rPr>
          <w:rFonts w:ascii="Arial" w:cs="Arial" w:eastAsia="Arial" w:hAnsi="Arial"/>
          <w:sz w:val="17"/>
          <w:szCs w:val="17"/>
          <w:color w:val="auto"/>
        </w:rPr>
      </w:pPr>
      <w:r>
        <w:rPr>
          <w:rFonts w:ascii="Arial" w:cs="Arial" w:eastAsia="Arial" w:hAnsi="Arial"/>
          <w:sz w:val="17"/>
          <w:szCs w:val="17"/>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81" w:lineRule="exact"/>
        <w:rPr>
          <w:rFonts w:ascii="Arial" w:cs="Arial" w:eastAsia="Arial" w:hAnsi="Arial"/>
          <w:sz w:val="17"/>
          <w:szCs w:val="17"/>
          <w:color w:val="auto"/>
        </w:rPr>
      </w:pPr>
    </w:p>
    <w:p>
      <w:pPr>
        <w:ind w:left="2" w:right="20" w:firstLine="957"/>
        <w:spacing w:after="0" w:line="272" w:lineRule="auto"/>
        <w:tabs>
          <w:tab w:leader="none" w:pos="1207" w:val="left"/>
        </w:tabs>
        <w:numPr>
          <w:ilvl w:val="2"/>
          <w:numId w:val="205"/>
        </w:numPr>
        <w:rPr>
          <w:rFonts w:ascii="Arial" w:cs="Arial" w:eastAsia="Arial" w:hAnsi="Arial"/>
          <w:sz w:val="17"/>
          <w:szCs w:val="17"/>
          <w:color w:val="auto"/>
        </w:rPr>
      </w:pPr>
      <w:r>
        <w:rPr>
          <w:rFonts w:ascii="Arial" w:cs="Arial" w:eastAsia="Arial" w:hAnsi="Arial"/>
          <w:sz w:val="17"/>
          <w:szCs w:val="17"/>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70" w:lineRule="exact"/>
        <w:rPr>
          <w:rFonts w:ascii="Arial" w:cs="Arial" w:eastAsia="Arial" w:hAnsi="Arial"/>
          <w:sz w:val="17"/>
          <w:szCs w:val="17"/>
          <w:color w:val="auto"/>
        </w:rPr>
      </w:pPr>
    </w:p>
    <w:p>
      <w:pPr>
        <w:ind w:left="1202" w:hanging="243"/>
        <w:spacing w:after="0"/>
        <w:tabs>
          <w:tab w:leader="none" w:pos="1202" w:val="left"/>
        </w:tabs>
        <w:numPr>
          <w:ilvl w:val="2"/>
          <w:numId w:val="205"/>
        </w:numPr>
        <w:rPr>
          <w:rFonts w:ascii="Arial" w:cs="Arial" w:eastAsia="Arial" w:hAnsi="Arial"/>
          <w:sz w:val="17"/>
          <w:szCs w:val="17"/>
          <w:color w:val="auto"/>
        </w:rPr>
      </w:pPr>
      <w:r>
        <w:rPr>
          <w:rFonts w:ascii="Arial" w:cs="Arial" w:eastAsia="Arial" w:hAnsi="Arial"/>
          <w:sz w:val="17"/>
          <w:szCs w:val="17"/>
          <w:color w:val="auto"/>
        </w:rPr>
        <w:t>by any combination of the above permitted forms of payment.</w:t>
      </w:r>
    </w:p>
    <w:p>
      <w:pPr>
        <w:spacing w:after="0" w:line="222" w:lineRule="exact"/>
        <w:rPr>
          <w:rFonts w:ascii="Arial" w:cs="Arial" w:eastAsia="Arial" w:hAnsi="Arial"/>
          <w:sz w:val="17"/>
          <w:szCs w:val="17"/>
          <w:color w:val="auto"/>
        </w:rPr>
      </w:pPr>
    </w:p>
    <w:p>
      <w:pPr>
        <w:ind w:left="182" w:hanging="182"/>
        <w:spacing w:after="0"/>
        <w:tabs>
          <w:tab w:leader="none" w:pos="182"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Restricted Stock; Restricted Stock Units</w:t>
      </w:r>
    </w:p>
    <w:p>
      <w:pPr>
        <w:spacing w:after="0" w:line="222" w:lineRule="exact"/>
        <w:rPr>
          <w:rFonts w:ascii="Arial" w:cs="Arial" w:eastAsia="Arial" w:hAnsi="Arial"/>
          <w:sz w:val="17"/>
          <w:szCs w:val="17"/>
          <w:color w:val="auto"/>
        </w:rPr>
      </w:pPr>
    </w:p>
    <w:p>
      <w:pPr>
        <w:ind w:left="2" w:firstLine="424"/>
        <w:spacing w:after="0" w:line="282" w:lineRule="auto"/>
        <w:tabs>
          <w:tab w:leader="none" w:pos="664"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10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2"/>
          </w:cols>
          <w:pgMar w:left="618" w:top="270" w:right="639" w:bottom="1440" w:gutter="0" w:footer="0" w:header="0"/>
        </w:sectPr>
      </w:pPr>
    </w:p>
    <w:bookmarkStart w:id="278" w:name="page279"/>
    <w:bookmarkEnd w:id="278"/>
    <w:p>
      <w:pPr>
        <w:ind w:left="2" w:right="380" w:firstLine="424"/>
        <w:spacing w:after="0" w:line="287" w:lineRule="auto"/>
        <w:tabs>
          <w:tab w:leader="none" w:pos="674"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Terms and Conditions for All Restricted Stock Awards</w:t>
      </w:r>
      <w:r>
        <w:rPr>
          <w:rFonts w:ascii="Arial" w:cs="Arial" w:eastAsia="Arial" w:hAnsi="Arial"/>
          <w:sz w:val="17"/>
          <w:szCs w:val="17"/>
          <w:color w:val="auto"/>
        </w:rPr>
        <w:t>. The Board shall determine the terms and conditions of a Restricted Stock Award, including the conditions for vesting and repurchase (or forfeiture) and the issue price, if any.</w:t>
      </w:r>
    </w:p>
    <w:p>
      <w:pPr>
        <w:spacing w:after="0" w:line="159" w:lineRule="exact"/>
        <w:rPr>
          <w:rFonts w:ascii="Arial" w:cs="Arial" w:eastAsia="Arial" w:hAnsi="Arial"/>
          <w:sz w:val="17"/>
          <w:szCs w:val="17"/>
          <w:color w:val="auto"/>
        </w:rPr>
      </w:pPr>
    </w:p>
    <w:p>
      <w:pPr>
        <w:ind w:left="662" w:hanging="236"/>
        <w:spacing w:after="0"/>
        <w:tabs>
          <w:tab w:leader="none" w:pos="662"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Restricted Stock</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firstLine="957"/>
        <w:spacing w:after="0" w:line="282" w:lineRule="auto"/>
        <w:tabs>
          <w:tab w:leader="none" w:pos="1207" w:val="left"/>
        </w:tabs>
        <w:numPr>
          <w:ilvl w:val="2"/>
          <w:numId w:val="207"/>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164" w:lineRule="exact"/>
        <w:rPr>
          <w:rFonts w:ascii="Arial" w:cs="Arial" w:eastAsia="Arial" w:hAnsi="Arial"/>
          <w:sz w:val="16"/>
          <w:szCs w:val="16"/>
          <w:color w:val="auto"/>
        </w:rPr>
      </w:pPr>
    </w:p>
    <w:p>
      <w:pPr>
        <w:ind w:left="2" w:right="100" w:firstLine="957"/>
        <w:spacing w:after="0" w:line="262" w:lineRule="auto"/>
        <w:tabs>
          <w:tab w:leader="none" w:pos="1207" w:val="left"/>
        </w:tabs>
        <w:numPr>
          <w:ilvl w:val="2"/>
          <w:numId w:val="207"/>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1" w:lineRule="exact"/>
        <w:rPr>
          <w:rFonts w:ascii="Arial" w:cs="Arial" w:eastAsia="Arial" w:hAnsi="Arial"/>
          <w:sz w:val="17"/>
          <w:szCs w:val="17"/>
          <w:color w:val="auto"/>
        </w:rPr>
      </w:pPr>
    </w:p>
    <w:p>
      <w:pPr>
        <w:ind w:left="182" w:hanging="182"/>
        <w:spacing w:after="0"/>
        <w:tabs>
          <w:tab w:leader="none" w:pos="182"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Other Stock-Based Awards</w:t>
      </w:r>
    </w:p>
    <w:p>
      <w:pPr>
        <w:spacing w:after="0" w:line="222" w:lineRule="exact"/>
        <w:rPr>
          <w:sz w:val="20"/>
          <w:szCs w:val="20"/>
          <w:color w:val="auto"/>
        </w:rPr>
      </w:pPr>
    </w:p>
    <w:p>
      <w:pPr>
        <w:ind w:left="2" w:right="40" w:firstLine="426"/>
        <w:spacing w:after="0" w:line="261" w:lineRule="auto"/>
        <w:rPr>
          <w:sz w:val="20"/>
          <w:szCs w:val="20"/>
          <w:color w:val="auto"/>
        </w:rPr>
      </w:pPr>
      <w:r>
        <w:rPr>
          <w:rFonts w:ascii="Arial" w:cs="Arial" w:eastAsia="Arial" w:hAnsi="Arial"/>
          <w:sz w:val="17"/>
          <w:szCs w:val="17"/>
          <w:color w:val="auto"/>
        </w:rPr>
        <w:t>Other Awards of shares of Common Stock, and other Awards that are valued in whole or in part by reference to, or are otherwise based on, shares of Common Stock or other property, may be granted hereunder to Participants (“Other Stock-Based Awards”), including without limitation stock appreciation rights (“SARs”)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applicable thereto.</w:t>
      </w:r>
    </w:p>
    <w:p>
      <w:pPr>
        <w:spacing w:after="0" w:line="183" w:lineRule="exact"/>
        <w:rPr>
          <w:sz w:val="20"/>
          <w:szCs w:val="20"/>
          <w:color w:val="auto"/>
        </w:rPr>
      </w:pPr>
    </w:p>
    <w:p>
      <w:pPr>
        <w:ind w:left="182" w:hanging="182"/>
        <w:spacing w:after="0"/>
        <w:tabs>
          <w:tab w:leader="none" w:pos="182"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Common Stock and Certain Other Events</w:t>
      </w:r>
    </w:p>
    <w:p>
      <w:pPr>
        <w:spacing w:after="0" w:line="222" w:lineRule="exact"/>
        <w:rPr>
          <w:rFonts w:ascii="Arial" w:cs="Arial" w:eastAsia="Arial" w:hAnsi="Arial"/>
          <w:sz w:val="17"/>
          <w:szCs w:val="17"/>
          <w:color w:val="auto"/>
        </w:rPr>
      </w:pPr>
    </w:p>
    <w:p>
      <w:pPr>
        <w:ind w:left="2" w:right="140" w:firstLine="424"/>
        <w:spacing w:after="0" w:line="272" w:lineRule="auto"/>
        <w:tabs>
          <w:tab w:leader="none" w:pos="664"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w:t>
      </w:r>
    </w:p>
    <w:p>
      <w:pPr>
        <w:spacing w:after="0" w:line="106" w:lineRule="exact"/>
        <w:rPr>
          <w:sz w:val="20"/>
          <w:szCs w:val="20"/>
          <w:color w:val="auto"/>
        </w:rPr>
      </w:pPr>
    </w:p>
    <w:p>
      <w:pPr>
        <w:jc w:val="center"/>
        <w:ind w:right="-8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82"/>
          </w:cols>
          <w:pgMar w:left="618" w:top="270" w:right="699" w:bottom="1440" w:gutter="0" w:footer="0" w:header="0"/>
        </w:sectPr>
      </w:pPr>
    </w:p>
    <w:bookmarkStart w:id="279" w:name="page280"/>
    <w:bookmarkEnd w:id="279"/>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provided that, unless otherwise determined by the Board, such changes to the Options shall comply with section 1.424-1 of the Treasury Regulations.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1" w:lineRule="exact"/>
        <w:rPr>
          <w:sz w:val="20"/>
          <w:szCs w:val="20"/>
          <w:color w:val="auto"/>
        </w:rPr>
      </w:pPr>
    </w:p>
    <w:p>
      <w:pPr>
        <w:ind w:left="680" w:hanging="256"/>
        <w:spacing w:after="0"/>
        <w:tabs>
          <w:tab w:leader="none" w:pos="68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Reorganization Events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right="120" w:firstLine="957"/>
        <w:spacing w:after="0" w:line="266" w:lineRule="auto"/>
        <w:tabs>
          <w:tab w:leader="none" w:pos="1205"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77" w:lineRule="exact"/>
        <w:rPr>
          <w:rFonts w:ascii="Arial" w:cs="Arial" w:eastAsia="Arial" w:hAnsi="Arial"/>
          <w:sz w:val="17"/>
          <w:szCs w:val="17"/>
          <w:color w:val="auto"/>
        </w:rPr>
      </w:pPr>
    </w:p>
    <w:p>
      <w:pPr>
        <w:ind w:firstLine="957"/>
        <w:spacing w:after="0" w:line="275" w:lineRule="auto"/>
        <w:tabs>
          <w:tab w:leader="none" w:pos="1205"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provided that, unless otherwise determined by the Board, such assumption or substitution of the Options shall comply with section 1.424-1 of the Treasury Regulations,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71" w:right="639" w:bottom="1440" w:gutter="0" w:footer="0" w:header="0"/>
        </w:sectPr>
      </w:pPr>
    </w:p>
    <w:bookmarkStart w:id="280" w:name="page281"/>
    <w:bookmarkEnd w:id="280"/>
    <w:p>
      <w:pPr>
        <w:ind w:left="2" w:right="100" w:firstLine="426"/>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55" w:lineRule="exact"/>
        <w:rPr>
          <w:sz w:val="20"/>
          <w:szCs w:val="20"/>
          <w:color w:val="auto"/>
        </w:rPr>
      </w:pPr>
    </w:p>
    <w:p>
      <w:pPr>
        <w:ind w:left="2" w:firstLine="957"/>
        <w:spacing w:after="0" w:line="260" w:lineRule="auto"/>
        <w:tabs>
          <w:tab w:leader="none" w:pos="1207" w:val="left"/>
        </w:tabs>
        <w:numPr>
          <w:ilvl w:val="2"/>
          <w:numId w:val="211"/>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 Awards</w:t>
      </w:r>
      <w:r>
        <w:rPr>
          <w:rFonts w:ascii="Arial" w:cs="Arial" w:eastAsia="Arial" w:hAnsi="Arial"/>
          <w:sz w:val="17"/>
          <w:szCs w:val="17"/>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85" w:lineRule="exact"/>
        <w:rPr>
          <w:rFonts w:ascii="Arial" w:cs="Arial" w:eastAsia="Arial" w:hAnsi="Arial"/>
          <w:sz w:val="17"/>
          <w:szCs w:val="17"/>
          <w:color w:val="auto"/>
        </w:rPr>
      </w:pPr>
    </w:p>
    <w:p>
      <w:pPr>
        <w:ind w:left="182" w:hanging="182"/>
        <w:spacing w:after="0"/>
        <w:tabs>
          <w:tab w:leader="none" w:pos="182"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General Provisions Applicable to Awards</w:t>
      </w:r>
    </w:p>
    <w:p>
      <w:pPr>
        <w:spacing w:after="0" w:line="222" w:lineRule="exact"/>
        <w:rPr>
          <w:rFonts w:ascii="Arial" w:cs="Arial" w:eastAsia="Arial" w:hAnsi="Arial"/>
          <w:sz w:val="17"/>
          <w:szCs w:val="17"/>
          <w:color w:val="auto"/>
        </w:rPr>
      </w:pPr>
    </w:p>
    <w:p>
      <w:pPr>
        <w:ind w:left="2" w:right="120" w:firstLine="424"/>
        <w:spacing w:after="0" w:line="264" w:lineRule="auto"/>
        <w:tabs>
          <w:tab w:leader="none" w:pos="664"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178" w:lineRule="exact"/>
        <w:rPr>
          <w:rFonts w:ascii="Arial" w:cs="Arial" w:eastAsia="Arial" w:hAnsi="Arial"/>
          <w:sz w:val="17"/>
          <w:szCs w:val="17"/>
          <w:color w:val="auto"/>
        </w:rPr>
      </w:pPr>
    </w:p>
    <w:p>
      <w:pPr>
        <w:ind w:left="2" w:right="80" w:firstLine="424"/>
        <w:spacing w:after="0" w:line="287" w:lineRule="auto"/>
        <w:tabs>
          <w:tab w:leader="none" w:pos="674"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Each Award shall be evidenced in such form (written, electronic or otherwise) as the Board shall determine. Each Award may contain terms and conditions in addition to those set forth in the Plan.</w:t>
      </w:r>
    </w:p>
    <w:p>
      <w:pPr>
        <w:spacing w:after="0" w:line="9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2"/>
          </w:cols>
          <w:pgMar w:left="618" w:top="271" w:right="639" w:bottom="1440" w:gutter="0" w:footer="0" w:header="0"/>
        </w:sectPr>
      </w:pPr>
    </w:p>
    <w:bookmarkStart w:id="281" w:name="page282"/>
    <w:bookmarkEnd w:id="281"/>
    <w:p>
      <w:pPr>
        <w:ind w:left="-20" w:right="160" w:firstLine="424"/>
        <w:spacing w:after="0" w:line="287" w:lineRule="auto"/>
        <w:tabs>
          <w:tab w:leader="none" w:pos="642"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Board Discretion</w:t>
      </w:r>
      <w:r>
        <w:rPr>
          <w:rFonts w:ascii="Arial" w:cs="Arial" w:eastAsia="Arial" w:hAnsi="Arial"/>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59" w:lineRule="exact"/>
        <w:rPr>
          <w:rFonts w:ascii="Arial" w:cs="Arial" w:eastAsia="Arial" w:hAnsi="Arial"/>
          <w:sz w:val="17"/>
          <w:szCs w:val="17"/>
          <w:color w:val="auto"/>
        </w:rPr>
      </w:pPr>
    </w:p>
    <w:p>
      <w:pPr>
        <w:ind w:left="-20" w:firstLine="424"/>
        <w:spacing w:after="0" w:line="324" w:lineRule="auto"/>
        <w:tabs>
          <w:tab w:leader="none" w:pos="652"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36" w:lineRule="exact"/>
        <w:rPr>
          <w:rFonts w:ascii="Arial" w:cs="Arial" w:eastAsia="Arial" w:hAnsi="Arial"/>
          <w:sz w:val="15"/>
          <w:szCs w:val="15"/>
          <w:color w:val="auto"/>
        </w:rPr>
      </w:pPr>
    </w:p>
    <w:p>
      <w:pPr>
        <w:ind w:left="-20" w:firstLine="424"/>
        <w:spacing w:after="0" w:line="297" w:lineRule="auto"/>
        <w:tabs>
          <w:tab w:leader="none" w:pos="642"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limited to additional withholding on the Participant’s salary or wages, or from proceeds from the sale of Common Stock issued pursuant to an Award; (iv)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and provided, further, shares surrendered to satisfy tax withholding requirements cannot be subject to any repurchase, forfeiture, unfulfilled vesting or other similar requirements; or (v) by such other method as determined by the Board.</w:t>
      </w:r>
    </w:p>
    <w:p>
      <w:pPr>
        <w:spacing w:after="0" w:line="158" w:lineRule="exact"/>
        <w:rPr>
          <w:rFonts w:ascii="Arial" w:cs="Arial" w:eastAsia="Arial" w:hAnsi="Arial"/>
          <w:sz w:val="15"/>
          <w:szCs w:val="15"/>
          <w:color w:val="auto"/>
        </w:rPr>
      </w:pPr>
    </w:p>
    <w:p>
      <w:pPr>
        <w:ind w:left="620" w:hanging="216"/>
        <w:spacing w:after="0"/>
        <w:tabs>
          <w:tab w:leader="none" w:pos="62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0" w:right="140" w:firstLine="957"/>
        <w:spacing w:after="0" w:line="264" w:lineRule="auto"/>
        <w:tabs>
          <w:tab w:leader="none" w:pos="1185"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(ii) the change is permitted under Section 8 hereof, or (iii) the change is to ensure that an Option intended to qualify as an Incentive Stock Option qualifies as such.</w:t>
      </w:r>
    </w:p>
    <w:p>
      <w:pPr>
        <w:spacing w:after="0" w:line="178" w:lineRule="exact"/>
        <w:rPr>
          <w:rFonts w:ascii="Arial" w:cs="Arial" w:eastAsia="Arial" w:hAnsi="Arial"/>
          <w:sz w:val="17"/>
          <w:szCs w:val="17"/>
          <w:color w:val="auto"/>
        </w:rPr>
      </w:pPr>
    </w:p>
    <w:p>
      <w:pPr>
        <w:ind w:left="-20" w:right="80" w:firstLine="957"/>
        <w:spacing w:after="0" w:line="264" w:lineRule="auto"/>
        <w:tabs>
          <w:tab w:leader="none" w:pos="1185"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Board may, without stockholder approval, amend any outstanding Award granted under the Plan to provide an exercise price per share that is lower than the then- 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 current exercise price per share of the cancelled award.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640" w:top="271" w:right="659" w:bottom="1440" w:gutter="0" w:footer="0" w:header="0"/>
        </w:sectPr>
      </w:pPr>
    </w:p>
    <w:bookmarkStart w:id="282" w:name="page283"/>
    <w:bookmarkEnd w:id="282"/>
    <w:p>
      <w:pPr>
        <w:ind w:left="2" w:firstLine="424"/>
        <w:spacing w:after="0" w:line="262" w:lineRule="auto"/>
        <w:tabs>
          <w:tab w:leader="none" w:pos="674"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Conditions on Delivery of Stock</w:t>
      </w:r>
      <w:r>
        <w:rPr>
          <w:rFonts w:ascii="Arial" w:cs="Arial" w:eastAsia="Arial" w:hAnsi="Arial"/>
          <w:sz w:val="17"/>
          <w:szCs w:val="17"/>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1" w:lineRule="exact"/>
        <w:rPr>
          <w:rFonts w:ascii="Arial" w:cs="Arial" w:eastAsia="Arial" w:hAnsi="Arial"/>
          <w:sz w:val="17"/>
          <w:szCs w:val="17"/>
          <w:color w:val="auto"/>
        </w:rPr>
      </w:pPr>
    </w:p>
    <w:p>
      <w:pPr>
        <w:ind w:left="2" w:right="220" w:firstLine="424"/>
        <w:spacing w:after="0" w:line="287" w:lineRule="auto"/>
        <w:tabs>
          <w:tab w:leader="none" w:pos="674"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 The Board may at any time provide that any Award shall become immediately exercisable in full or in part, free of some or all restrictions or conditions, or otherwise realizable in full or in part, as the case may be.</w:t>
      </w:r>
    </w:p>
    <w:p>
      <w:pPr>
        <w:spacing w:after="0" w:line="159" w:lineRule="exact"/>
        <w:rPr>
          <w:rFonts w:ascii="Arial" w:cs="Arial" w:eastAsia="Arial" w:hAnsi="Arial"/>
          <w:sz w:val="17"/>
          <w:szCs w:val="17"/>
          <w:color w:val="auto"/>
        </w:rPr>
      </w:pPr>
    </w:p>
    <w:p>
      <w:pPr>
        <w:ind w:left="262" w:hanging="262"/>
        <w:spacing w:after="0"/>
        <w:tabs>
          <w:tab w:leader="none" w:pos="26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22" w:lineRule="exact"/>
        <w:rPr>
          <w:rFonts w:ascii="Arial" w:cs="Arial" w:eastAsia="Arial" w:hAnsi="Arial"/>
          <w:sz w:val="17"/>
          <w:szCs w:val="17"/>
          <w:color w:val="auto"/>
        </w:rPr>
      </w:pPr>
    </w:p>
    <w:p>
      <w:pPr>
        <w:jc w:val="both"/>
        <w:ind w:left="2" w:firstLine="424"/>
        <w:spacing w:after="0" w:line="266" w:lineRule="auto"/>
        <w:tabs>
          <w:tab w:leader="none" w:pos="664"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7" w:lineRule="exact"/>
        <w:rPr>
          <w:rFonts w:ascii="Arial" w:cs="Arial" w:eastAsia="Arial" w:hAnsi="Arial"/>
          <w:sz w:val="17"/>
          <w:szCs w:val="17"/>
          <w:color w:val="auto"/>
        </w:rPr>
      </w:pPr>
    </w:p>
    <w:p>
      <w:pPr>
        <w:ind w:left="2" w:right="20" w:firstLine="424"/>
        <w:spacing w:after="0" w:line="358" w:lineRule="auto"/>
        <w:tabs>
          <w:tab w:leader="none" w:pos="674" w:val="left"/>
        </w:tabs>
        <w:numPr>
          <w:ilvl w:val="1"/>
          <w:numId w:val="215"/>
        </w:numPr>
        <w:rPr>
          <w:rFonts w:ascii="Arial" w:cs="Arial" w:eastAsia="Arial" w:hAnsi="Arial"/>
          <w:sz w:val="15"/>
          <w:szCs w:val="15"/>
          <w:color w:val="auto"/>
        </w:rPr>
      </w:pPr>
      <w:r>
        <w:rPr>
          <w:rFonts w:ascii="Arial" w:cs="Arial" w:eastAsia="Arial" w:hAnsi="Arial"/>
          <w:sz w:val="15"/>
          <w:szCs w:val="15"/>
          <w:u w:val="single" w:color="auto"/>
          <w:color w:val="auto"/>
        </w:rPr>
        <w:t>No Rights As Stockholder</w:t>
      </w:r>
      <w:r>
        <w:rPr>
          <w:rFonts w:ascii="Arial" w:cs="Arial" w:eastAsia="Arial" w:hAnsi="Arial"/>
          <w:sz w:val="15"/>
          <w:szCs w:val="15"/>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11" w:lineRule="exact"/>
        <w:rPr>
          <w:rFonts w:ascii="Arial" w:cs="Arial" w:eastAsia="Arial" w:hAnsi="Arial"/>
          <w:sz w:val="15"/>
          <w:szCs w:val="15"/>
          <w:color w:val="auto"/>
        </w:rPr>
      </w:pPr>
    </w:p>
    <w:p>
      <w:pPr>
        <w:ind w:left="2" w:right="80" w:firstLine="424"/>
        <w:spacing w:after="0" w:line="272" w:lineRule="auto"/>
        <w:tabs>
          <w:tab w:leader="none" w:pos="664"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70" w:lineRule="exact"/>
        <w:rPr>
          <w:rFonts w:ascii="Arial" w:cs="Arial" w:eastAsia="Arial" w:hAnsi="Arial"/>
          <w:sz w:val="17"/>
          <w:szCs w:val="17"/>
          <w:color w:val="auto"/>
        </w:rPr>
      </w:pPr>
    </w:p>
    <w:p>
      <w:pPr>
        <w:ind w:left="2" w:firstLine="424"/>
        <w:spacing w:after="0" w:line="262" w:lineRule="auto"/>
        <w:tabs>
          <w:tab w:leader="none" w:pos="674"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Amendment of Plan</w:t>
      </w:r>
      <w:r>
        <w:rPr>
          <w:rFonts w:ascii="Arial" w:cs="Arial" w:eastAsia="Arial" w:hAnsi="Arial"/>
          <w:sz w:val="17"/>
          <w:szCs w:val="17"/>
          <w:color w:val="auto"/>
        </w:rPr>
        <w:t>. The Board may amend, suspend or terminate the Plan or any portion thereof at any time; provided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11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2"/>
          </w:cols>
          <w:pgMar w:left="618" w:top="271" w:right="639" w:bottom="1440" w:gutter="0" w:footer="0" w:header="0"/>
        </w:sectPr>
      </w:pPr>
    </w:p>
    <w:bookmarkStart w:id="283" w:name="page284"/>
    <w:bookmarkEnd w:id="283"/>
    <w:p>
      <w:pPr>
        <w:ind w:left="2" w:right="460" w:firstLine="424"/>
        <w:spacing w:after="0" w:line="304" w:lineRule="auto"/>
        <w:tabs>
          <w:tab w:leader="none" w:pos="664"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Authorization of Sub-Plans</w:t>
      </w:r>
      <w:r>
        <w:rPr>
          <w:rFonts w:ascii="Arial" w:cs="Arial" w:eastAsia="Arial" w:hAnsi="Arial"/>
          <w:sz w:val="15"/>
          <w:szCs w:val="15"/>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51" w:lineRule="exact"/>
        <w:rPr>
          <w:rFonts w:ascii="Arial" w:cs="Arial" w:eastAsia="Arial" w:hAnsi="Arial"/>
          <w:sz w:val="15"/>
          <w:szCs w:val="15"/>
          <w:color w:val="auto"/>
        </w:rPr>
      </w:pPr>
    </w:p>
    <w:p>
      <w:pPr>
        <w:ind w:left="2" w:firstLine="424"/>
        <w:spacing w:after="0" w:line="294" w:lineRule="auto"/>
        <w:tabs>
          <w:tab w:leader="none" w:pos="645"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t>Compliance with Code Section 409A</w:t>
      </w:r>
      <w:r>
        <w:rPr>
          <w:rFonts w:ascii="Arial" w:cs="Arial" w:eastAsia="Arial" w:hAnsi="Arial"/>
          <w:sz w:val="15"/>
          <w:szCs w:val="15"/>
          <w:color w:val="auto"/>
        </w:rPr>
        <w:t>.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w:t>
      </w:r>
    </w:p>
    <w:p>
      <w:pPr>
        <w:spacing w:after="0" w:line="2" w:lineRule="exact"/>
        <w:rPr>
          <w:rFonts w:ascii="Arial" w:cs="Arial" w:eastAsia="Arial" w:hAnsi="Arial"/>
          <w:sz w:val="15"/>
          <w:szCs w:val="15"/>
          <w:color w:val="auto"/>
        </w:rPr>
      </w:pPr>
    </w:p>
    <w:p>
      <w:pPr>
        <w:ind w:left="2"/>
        <w:spacing w:after="0" w:line="290" w:lineRule="auto"/>
        <w:rPr>
          <w:rFonts w:ascii="Arial" w:cs="Arial" w:eastAsia="Arial" w:hAnsi="Arial"/>
          <w:sz w:val="15"/>
          <w:szCs w:val="15"/>
          <w:color w:val="auto"/>
        </w:rPr>
      </w:pPr>
      <w:r>
        <w:rPr>
          <w:rFonts w:ascii="Arial" w:cs="Arial" w:eastAsia="Arial" w:hAnsi="Arial"/>
          <w:sz w:val="15"/>
          <w:szCs w:val="15"/>
          <w:color w:val="auto"/>
        </w:rPr>
        <w:t>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w:t>
      </w:r>
    </w:p>
    <w:p>
      <w:pPr>
        <w:spacing w:after="0" w:line="3" w:lineRule="exact"/>
        <w:rPr>
          <w:rFonts w:ascii="Arial" w:cs="Arial" w:eastAsia="Arial" w:hAnsi="Arial"/>
          <w:sz w:val="15"/>
          <w:szCs w:val="15"/>
          <w:color w:val="auto"/>
        </w:rPr>
      </w:pPr>
    </w:p>
    <w:p>
      <w:pPr>
        <w:ind w:left="242" w:hanging="242"/>
        <w:spacing w:after="0"/>
        <w:tabs>
          <w:tab w:leader="none" w:pos="24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month period elapses, with the balance paid thereafter on the original schedule. The Company shall have no liability to a Participant, or any other</w:t>
      </w:r>
    </w:p>
    <w:p>
      <w:pPr>
        <w:spacing w:after="0" w:line="24" w:lineRule="exact"/>
        <w:rPr>
          <w:rFonts w:ascii="Arial" w:cs="Arial" w:eastAsia="Arial" w:hAnsi="Arial"/>
          <w:sz w:val="16"/>
          <w:szCs w:val="16"/>
          <w:color w:val="auto"/>
        </w:rPr>
      </w:pPr>
    </w:p>
    <w:p>
      <w:pPr>
        <w:ind w:left="2" w:right="40"/>
        <w:spacing w:after="0" w:line="272" w:lineRule="auto"/>
        <w:rPr>
          <w:rFonts w:ascii="Arial" w:cs="Arial" w:eastAsia="Arial" w:hAnsi="Arial"/>
          <w:sz w:val="16"/>
          <w:szCs w:val="16"/>
          <w:color w:val="auto"/>
        </w:rPr>
      </w:pPr>
      <w:r>
        <w:rPr>
          <w:rFonts w:ascii="Arial" w:cs="Arial" w:eastAsia="Arial" w:hAnsi="Arial"/>
          <w:sz w:val="17"/>
          <w:szCs w:val="17"/>
          <w:color w:val="auto"/>
        </w:rPr>
        <w:t>party, if an Award that is intended to be exempt from, or compliant with, Section 409A of the Code is not so exempt or compliant or for any other action taken by the Board.</w:t>
      </w:r>
    </w:p>
    <w:p>
      <w:pPr>
        <w:spacing w:after="0" w:line="171" w:lineRule="exact"/>
        <w:rPr>
          <w:rFonts w:ascii="Arial" w:cs="Arial" w:eastAsia="Arial" w:hAnsi="Arial"/>
          <w:sz w:val="16"/>
          <w:szCs w:val="16"/>
          <w:color w:val="auto"/>
        </w:rPr>
      </w:pPr>
    </w:p>
    <w:p>
      <w:pPr>
        <w:ind w:left="2" w:right="40" w:firstLine="424"/>
        <w:spacing w:after="0" w:line="272" w:lineRule="auto"/>
        <w:tabs>
          <w:tab w:leader="none" w:pos="674"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0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2"/>
          </w:cols>
          <w:pgMar w:left="618" w:top="270" w:right="639" w:bottom="1440" w:gutter="0" w:footer="0" w:header="0"/>
        </w:sectPr>
      </w:pPr>
    </w:p>
    <w:bookmarkStart w:id="284" w:name="page285"/>
    <w:bookmarkEnd w:id="284"/>
    <w:p>
      <w:pPr>
        <w:jc w:val="center"/>
        <w:ind w:right="-4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KEROS THERAPEUTICS, INC.</w:t>
      </w:r>
    </w:p>
    <w:p>
      <w:pPr>
        <w:spacing w:after="0" w:line="118" w:lineRule="exact"/>
        <w:rPr>
          <w:sz w:val="20"/>
          <w:szCs w:val="20"/>
          <w:color w:val="auto"/>
        </w:rPr>
      </w:pPr>
    </w:p>
    <w:p>
      <w:pPr>
        <w:jc w:val="center"/>
        <w:ind w:right="-41"/>
        <w:spacing w:after="0"/>
        <w:rPr>
          <w:sz w:val="20"/>
          <w:szCs w:val="20"/>
          <w:color w:val="auto"/>
        </w:rPr>
      </w:pPr>
      <w:r>
        <w:rPr>
          <w:rFonts w:ascii="Arial" w:cs="Arial" w:eastAsia="Arial" w:hAnsi="Arial"/>
          <w:sz w:val="17"/>
          <w:szCs w:val="17"/>
          <w:u w:val="single" w:color="auto"/>
          <w:color w:val="auto"/>
        </w:rPr>
        <w:t>2017 STOCK INCENTIVE PLAN</w:t>
      </w:r>
    </w:p>
    <w:p>
      <w:pPr>
        <w:spacing w:after="0" w:line="118"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CALIFORNIA SUPPLEMENT</w:t>
      </w:r>
    </w:p>
    <w:p>
      <w:pPr>
        <w:spacing w:after="0" w:line="222" w:lineRule="exact"/>
        <w:rPr>
          <w:sz w:val="20"/>
          <w:szCs w:val="20"/>
          <w:color w:val="auto"/>
        </w:rPr>
      </w:pPr>
    </w:p>
    <w:p>
      <w:pPr>
        <w:ind w:left="2" w:right="200" w:firstLine="426"/>
        <w:spacing w:after="0" w:line="287" w:lineRule="auto"/>
        <w:rPr>
          <w:sz w:val="20"/>
          <w:szCs w:val="20"/>
          <w:color w:val="auto"/>
        </w:rPr>
      </w:pPr>
      <w:r>
        <w:rPr>
          <w:rFonts w:ascii="Arial" w:cs="Arial" w:eastAsia="Arial" w:hAnsi="Arial"/>
          <w:sz w:val="17"/>
          <w:szCs w:val="17"/>
          <w:color w:val="auto"/>
        </w:rPr>
        <w:t>Pursuant to Section 10(e) of the Plan, the Board has adopted this supplement for purposes of satisfying the requirements of Section 25102(o) of the California Law:</w:t>
      </w:r>
    </w:p>
    <w:p>
      <w:pPr>
        <w:spacing w:after="0" w:line="55" w:lineRule="exact"/>
        <w:rPr>
          <w:sz w:val="20"/>
          <w:szCs w:val="20"/>
          <w:color w:val="auto"/>
        </w:rPr>
      </w:pPr>
    </w:p>
    <w:p>
      <w:pPr>
        <w:ind w:left="422"/>
        <w:spacing w:after="0"/>
        <w:rPr>
          <w:sz w:val="20"/>
          <w:szCs w:val="20"/>
          <w:color w:val="auto"/>
        </w:rPr>
      </w:pPr>
      <w:r>
        <w:rPr>
          <w:rFonts w:ascii="Arial" w:cs="Arial" w:eastAsia="Arial" w:hAnsi="Arial"/>
          <w:sz w:val="16"/>
          <w:szCs w:val="16"/>
          <w:color w:val="auto"/>
        </w:rPr>
        <w:t>Any Awards granted under the Plan to a Participant who is a resident of the State of California on the date of grant (a “California Participant”)</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7"/>
          <w:szCs w:val="17"/>
          <w:color w:val="auto"/>
        </w:rPr>
        <w:t>shall be subject to the following additional limitations, terms and conditions:</w:t>
      </w:r>
    </w:p>
    <w:p>
      <w:pPr>
        <w:spacing w:after="0" w:line="210" w:lineRule="exact"/>
        <w:rPr>
          <w:sz w:val="20"/>
          <w:szCs w:val="20"/>
          <w:color w:val="auto"/>
        </w:rPr>
      </w:pPr>
    </w:p>
    <w:p>
      <w:pPr>
        <w:ind w:left="182" w:hanging="182"/>
        <w:spacing w:after="0"/>
        <w:tabs>
          <w:tab w:leader="none" w:pos="182"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Additional Limitations on Options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right="160" w:firstLine="424"/>
        <w:spacing w:after="0" w:line="276" w:lineRule="auto"/>
        <w:tabs>
          <w:tab w:leader="none" w:pos="664"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Minimum Vesting Rate</w:t>
      </w:r>
      <w:r>
        <w:rPr>
          <w:rFonts w:ascii="Arial" w:cs="Arial" w:eastAsia="Arial" w:hAnsi="Arial"/>
          <w:sz w:val="16"/>
          <w:szCs w:val="16"/>
          <w:color w:val="auto"/>
        </w:rPr>
        <w:t xml:space="preserve">. Except in the case of Options granted to California Participants who are officers, directors, managers, consultants or advisors of the Company or its affiliates (which Options may become exercisable at whatever rate is determined by the Board), Options granted to California Participants shall become exercisable at a rate of not less than 20% per year over five years from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Options may be subject to such reasonable forfeiture conditions as the Board may choose to impose and which are not inconsistent with</w:t>
      </w:r>
    </w:p>
    <w:p>
      <w:pPr>
        <w:spacing w:after="0" w:line="1"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7"/>
          <w:szCs w:val="17"/>
          <w:color w:val="auto"/>
        </w:rPr>
        <w:t>Section 260.140.41 of the California Regulations.</w:t>
      </w:r>
    </w:p>
    <w:p>
      <w:pPr>
        <w:spacing w:after="0" w:line="210" w:lineRule="exact"/>
        <w:rPr>
          <w:rFonts w:ascii="Arial" w:cs="Arial" w:eastAsia="Arial" w:hAnsi="Arial"/>
          <w:sz w:val="16"/>
          <w:szCs w:val="16"/>
          <w:color w:val="auto"/>
        </w:rPr>
      </w:pPr>
    </w:p>
    <w:p>
      <w:pPr>
        <w:ind w:left="2" w:firstLine="424"/>
        <w:spacing w:after="0" w:line="284" w:lineRule="auto"/>
        <w:tabs>
          <w:tab w:leader="none" w:pos="674"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Minimum Exercise Price</w:t>
      </w:r>
      <w:r>
        <w:rPr>
          <w:rFonts w:ascii="Arial" w:cs="Arial" w:eastAsia="Arial" w:hAnsi="Arial"/>
          <w:sz w:val="16"/>
          <w:szCs w:val="16"/>
          <w:color w:val="auto"/>
        </w:rPr>
        <w:t xml:space="preserve">. The exercise price of Options granted to California Participants may not be less than 85% of the Fair Market Value of the Common Stock on the date of grant in the case of a Nonstatutory Stock Option or less than 100% of the Fair Market Value of the Common Stock on the date of grant in the case of an Incentive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California Participant is a person who owns stock possessing more than 10% of the total combined voting power of all classes of stock of the Company or its parent or subsidiary corporations, the exercise price shall be not less than 110% of the Fair Market Value of the Common Stock on the date of grant.</w:t>
      </w:r>
    </w:p>
    <w:p>
      <w:pPr>
        <w:spacing w:after="0" w:line="164" w:lineRule="exact"/>
        <w:rPr>
          <w:rFonts w:ascii="Arial" w:cs="Arial" w:eastAsia="Arial" w:hAnsi="Arial"/>
          <w:sz w:val="16"/>
          <w:szCs w:val="16"/>
          <w:color w:val="auto"/>
        </w:rPr>
      </w:pPr>
    </w:p>
    <w:p>
      <w:pPr>
        <w:ind w:left="2" w:right="480" w:firstLine="424"/>
        <w:spacing w:after="0" w:line="287" w:lineRule="auto"/>
        <w:tabs>
          <w:tab w:leader="none" w:pos="664"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Maximum Duration of Options</w:t>
      </w:r>
      <w:r>
        <w:rPr>
          <w:rFonts w:ascii="Arial" w:cs="Arial" w:eastAsia="Arial" w:hAnsi="Arial"/>
          <w:sz w:val="17"/>
          <w:szCs w:val="17"/>
          <w:color w:val="auto"/>
        </w:rPr>
        <w:t>. No Options granted to California Participants shall have a term in excess of 10 years measured from the Option grant date.</w:t>
      </w:r>
    </w:p>
    <w:p>
      <w:pPr>
        <w:spacing w:after="0" w:line="159" w:lineRule="exact"/>
        <w:rPr>
          <w:rFonts w:ascii="Arial" w:cs="Arial" w:eastAsia="Arial" w:hAnsi="Arial"/>
          <w:sz w:val="17"/>
          <w:szCs w:val="17"/>
          <w:color w:val="auto"/>
        </w:rPr>
      </w:pPr>
    </w:p>
    <w:p>
      <w:pPr>
        <w:ind w:left="2" w:right="80" w:firstLine="424"/>
        <w:spacing w:after="0" w:line="261" w:lineRule="auto"/>
        <w:tabs>
          <w:tab w:leader="none" w:pos="674"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Minimum Exercise Period Following Termination</w:t>
      </w:r>
      <w:r>
        <w:rPr>
          <w:rFonts w:ascii="Arial" w:cs="Arial" w:eastAsia="Arial" w:hAnsi="Arial"/>
          <w:sz w:val="17"/>
          <w:szCs w:val="17"/>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w:t>
      </w:r>
    </w:p>
    <w:p>
      <w:pPr>
        <w:spacing w:after="0" w:line="118"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A - 1</w:t>
      </w:r>
    </w:p>
    <w:p>
      <w:pPr>
        <w:sectPr>
          <w:pgSz w:w="11900" w:h="16838" w:orient="portrait"/>
          <w:cols w:equalWidth="0" w:num="1">
            <w:col w:w="10622"/>
          </w:cols>
          <w:pgMar w:left="618" w:top="271" w:right="659" w:bottom="1440" w:gutter="0" w:footer="0" w:header="0"/>
        </w:sectPr>
      </w:pPr>
    </w:p>
    <w:bookmarkStart w:id="285" w:name="page286"/>
    <w:bookmarkEnd w:id="285"/>
    <w:p>
      <w:pPr>
        <w:ind w:left="2" w:right="160" w:firstLine="424"/>
        <w:spacing w:after="0" w:line="272" w:lineRule="auto"/>
        <w:tabs>
          <w:tab w:leader="none" w:pos="664"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Limitation on Repurchase Rights</w:t>
      </w:r>
      <w:r>
        <w:rPr>
          <w:rFonts w:ascii="Arial" w:cs="Arial" w:eastAsia="Arial" w:hAnsi="Arial"/>
          <w:sz w:val="17"/>
          <w:szCs w:val="17"/>
          <w:color w:val="auto"/>
        </w:rPr>
        <w:t>. If an Option granted to a California Participant gives the Company the right to repurchase shares of Common Stock issued pursuant to the Plan upon termination of employment of such Participant, the terms of such repurchase right must comply with Section 260.140.41(k) of the California Regulations.</w:t>
      </w:r>
    </w:p>
    <w:p>
      <w:pPr>
        <w:spacing w:after="0" w:line="170" w:lineRule="exact"/>
        <w:rPr>
          <w:rFonts w:ascii="Arial" w:cs="Arial" w:eastAsia="Arial" w:hAnsi="Arial"/>
          <w:sz w:val="17"/>
          <w:szCs w:val="17"/>
          <w:color w:val="auto"/>
        </w:rPr>
      </w:pPr>
    </w:p>
    <w:p>
      <w:pPr>
        <w:ind w:left="182" w:hanging="182"/>
        <w:spacing w:after="0"/>
        <w:tabs>
          <w:tab w:leader="none" w:pos="182"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Limitations for Restricted Stock Awards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firstLine="424"/>
        <w:spacing w:after="0" w:line="262" w:lineRule="auto"/>
        <w:tabs>
          <w:tab w:leader="none" w:pos="664"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Minimum Purchase Price</w:t>
      </w:r>
      <w:r>
        <w:rPr>
          <w:rFonts w:ascii="Arial" w:cs="Arial" w:eastAsia="Arial" w:hAnsi="Arial"/>
          <w:sz w:val="17"/>
          <w:szCs w:val="17"/>
          <w:color w:val="auto"/>
        </w:rPr>
        <w:t>. The purchase price for a Restricted Stock Award granted to a California Participant shall be not less than 85% of the Fair Market Value of the Common Stock at the time such Participant is granted the right to purchase shares under the Plan or at the time the purchase is consummated; provided, however, that if such Participant is a person who owns stock possessing more than 10% of the total combined voting power or value of all classes of stock of the Company or its parent or subsidiary corporations, the purchase price shall be not less than 100% of the Fair Market Value of the Common Stock at the time such Participant is granted the right to purchase shares under the Plan or at the time the purchase is consummated.</w:t>
      </w:r>
    </w:p>
    <w:p>
      <w:pPr>
        <w:spacing w:after="0" w:line="181" w:lineRule="exact"/>
        <w:rPr>
          <w:rFonts w:ascii="Arial" w:cs="Arial" w:eastAsia="Arial" w:hAnsi="Arial"/>
          <w:sz w:val="17"/>
          <w:szCs w:val="17"/>
          <w:color w:val="auto"/>
        </w:rPr>
      </w:pPr>
    </w:p>
    <w:p>
      <w:pPr>
        <w:ind w:left="2" w:right="240" w:firstLine="424"/>
        <w:spacing w:after="0" w:line="272" w:lineRule="auto"/>
        <w:tabs>
          <w:tab w:leader="none" w:pos="674"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Limitation of Repurchase Rights</w:t>
      </w:r>
      <w:r>
        <w:rPr>
          <w:rFonts w:ascii="Arial" w:cs="Arial" w:eastAsia="Arial" w:hAnsi="Arial"/>
          <w:sz w:val="17"/>
          <w:szCs w:val="17"/>
          <w:color w:val="auto"/>
        </w:rPr>
        <w:t>. If a Restricted Stock Award granted to a California Participant gives the Company the right to repurchase shares of Common Stock issued pursuant to the Plan upon termination of employment of such Participant, the terms of such repurchase right must comply with Section 260.140.42(h) of the California Regulations.</w:t>
      </w:r>
    </w:p>
    <w:p>
      <w:pPr>
        <w:spacing w:after="0" w:line="170" w:lineRule="exact"/>
        <w:rPr>
          <w:rFonts w:ascii="Arial" w:cs="Arial" w:eastAsia="Arial" w:hAnsi="Arial"/>
          <w:sz w:val="17"/>
          <w:szCs w:val="17"/>
          <w:color w:val="auto"/>
        </w:rPr>
      </w:pPr>
    </w:p>
    <w:p>
      <w:pPr>
        <w:ind w:left="2" w:right="180" w:hanging="2"/>
        <w:spacing w:after="0" w:line="287" w:lineRule="auto"/>
        <w:tabs>
          <w:tab w:leader="none" w:pos="17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Limitations for Other Stock-Based Awards</w:t>
      </w:r>
      <w:r>
        <w:rPr>
          <w:rFonts w:ascii="Arial" w:cs="Arial" w:eastAsia="Arial" w:hAnsi="Arial"/>
          <w:sz w:val="17"/>
          <w:szCs w:val="17"/>
          <w:color w:val="auto"/>
        </w:rPr>
        <w:t>. The terms of all Awards granted to a California Participant under Section 7 of the Plan shall comply, to the extent applicable, with Section 260.140.41 or Section 260.140.42 of the California Regulations.</w:t>
      </w:r>
    </w:p>
    <w:p>
      <w:pPr>
        <w:spacing w:after="0" w:line="159" w:lineRule="exact"/>
        <w:rPr>
          <w:rFonts w:ascii="Arial" w:cs="Arial" w:eastAsia="Arial" w:hAnsi="Arial"/>
          <w:sz w:val="17"/>
          <w:szCs w:val="17"/>
          <w:color w:val="auto"/>
        </w:rPr>
      </w:pPr>
    </w:p>
    <w:p>
      <w:pPr>
        <w:ind w:left="2" w:right="40" w:hanging="2"/>
        <w:spacing w:after="0" w:line="266" w:lineRule="auto"/>
        <w:tabs>
          <w:tab w:leader="none" w:pos="17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Requirement to Provide Information to California Participants</w:t>
      </w:r>
      <w:r>
        <w:rPr>
          <w:rFonts w:ascii="Arial" w:cs="Arial" w:eastAsia="Arial" w:hAnsi="Arial"/>
          <w:sz w:val="17"/>
          <w:szCs w:val="17"/>
          <w:color w:val="auto"/>
        </w:rPr>
        <w:t>.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w:t>
      </w:r>
    </w:p>
    <w:p>
      <w:pPr>
        <w:spacing w:after="0" w:line="177" w:lineRule="exact"/>
        <w:rPr>
          <w:rFonts w:ascii="Arial" w:cs="Arial" w:eastAsia="Arial" w:hAnsi="Arial"/>
          <w:sz w:val="17"/>
          <w:szCs w:val="17"/>
          <w:color w:val="auto"/>
        </w:rPr>
      </w:pPr>
    </w:p>
    <w:p>
      <w:pPr>
        <w:ind w:left="2" w:right="380" w:hanging="2"/>
        <w:spacing w:after="0" w:line="272" w:lineRule="auto"/>
        <w:tabs>
          <w:tab w:leader="none" w:pos="17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Limitations on Timing of Awards</w:t>
      </w:r>
      <w:r>
        <w:rPr>
          <w:rFonts w:ascii="Arial" w:cs="Arial" w:eastAsia="Arial" w:hAnsi="Arial"/>
          <w:sz w:val="17"/>
          <w:szCs w:val="17"/>
          <w:color w:val="auto"/>
        </w:rPr>
        <w:t>. 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w:t>
      </w:r>
    </w:p>
    <w:p>
      <w:pPr>
        <w:spacing w:after="0" w:line="170" w:lineRule="exact"/>
        <w:rPr>
          <w:rFonts w:ascii="Arial" w:cs="Arial" w:eastAsia="Arial" w:hAnsi="Arial"/>
          <w:sz w:val="17"/>
          <w:szCs w:val="17"/>
          <w:color w:val="auto"/>
        </w:rPr>
      </w:pPr>
    </w:p>
    <w:p>
      <w:pPr>
        <w:ind w:left="2" w:right="240" w:hanging="2"/>
        <w:spacing w:after="0" w:line="287" w:lineRule="auto"/>
        <w:tabs>
          <w:tab w:leader="none" w:pos="17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Limitations Relating to Definition of Fair Market Value</w:t>
      </w:r>
      <w:r>
        <w:rPr>
          <w:rFonts w:ascii="Arial" w:cs="Arial" w:eastAsia="Arial" w:hAnsi="Arial"/>
          <w:sz w:val="17"/>
          <w:szCs w:val="17"/>
          <w:color w:val="auto"/>
        </w:rPr>
        <w:t>. For purposes of Section 1(b) and 2(a) of this supplement, “Fair Market Value” shall be determined in a manner not inconsistent with Section 260.140.50 of the California Regulations.</w:t>
      </w:r>
    </w:p>
    <w:p>
      <w:pPr>
        <w:spacing w:after="0" w:line="159" w:lineRule="exact"/>
        <w:rPr>
          <w:rFonts w:ascii="Arial" w:cs="Arial" w:eastAsia="Arial" w:hAnsi="Arial"/>
          <w:sz w:val="17"/>
          <w:szCs w:val="17"/>
          <w:color w:val="auto"/>
        </w:rPr>
      </w:pPr>
    </w:p>
    <w:p>
      <w:pPr>
        <w:ind w:left="2" w:hanging="2"/>
        <w:spacing w:after="0" w:line="266" w:lineRule="auto"/>
        <w:tabs>
          <w:tab w:leader="none" w:pos="17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Additional Restriction Regarding Recapitalizations, Stock Splits, Etc</w:t>
      </w:r>
      <w:r>
        <w:rPr>
          <w:rFonts w:ascii="Arial" w:cs="Arial" w:eastAsia="Arial" w:hAnsi="Arial"/>
          <w:sz w:val="17"/>
          <w:szCs w:val="17"/>
          <w:color w:val="auto"/>
        </w:rPr>
        <w:t>. 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w:t>
      </w:r>
    </w:p>
    <w:p>
      <w:pPr>
        <w:spacing w:after="0" w:line="112"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A - 2</w:t>
      </w:r>
    </w:p>
    <w:p>
      <w:pPr>
        <w:sectPr>
          <w:pgSz w:w="11900" w:h="16838" w:orient="portrait"/>
          <w:cols w:equalWidth="0" w:num="1">
            <w:col w:w="10602"/>
          </w:cols>
          <w:pgMar w:left="618" w:top="271" w:right="679" w:bottom="1440"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b w:val="1"/>
          <w:bCs w:val="1"/>
          <w:color w:val="auto"/>
        </w:rPr>
        <w:t>Exhibit 10.3</w:t>
      </w:r>
    </w:p>
    <w:p>
      <w:pPr>
        <w:spacing w:after="0" w:line="124" w:lineRule="exact"/>
        <w:rPr>
          <w:sz w:val="20"/>
          <w:szCs w:val="20"/>
          <w:color w:val="auto"/>
        </w:rPr>
      </w:pPr>
    </w:p>
    <w:p>
      <w:pPr>
        <w:ind w:left="4162"/>
        <w:spacing w:after="0"/>
        <w:rPr>
          <w:sz w:val="20"/>
          <w:szCs w:val="20"/>
          <w:color w:val="auto"/>
        </w:rPr>
      </w:pPr>
      <w:r>
        <w:rPr>
          <w:rFonts w:ascii="Arial" w:cs="Arial" w:eastAsia="Arial" w:hAnsi="Arial"/>
          <w:sz w:val="17"/>
          <w:szCs w:val="17"/>
          <w:color w:val="auto"/>
        </w:rPr>
        <w:t>KEROS THERAPEUTICS, INC.</w:t>
      </w:r>
    </w:p>
    <w:p>
      <w:pPr>
        <w:spacing w:after="0" w:line="118" w:lineRule="exact"/>
        <w:rPr>
          <w:sz w:val="20"/>
          <w:szCs w:val="20"/>
          <w:color w:val="auto"/>
        </w:rPr>
      </w:pPr>
    </w:p>
    <w:p>
      <w:pPr>
        <w:ind w:left="4102"/>
        <w:spacing w:after="0"/>
        <w:rPr>
          <w:sz w:val="20"/>
          <w:szCs w:val="20"/>
          <w:color w:val="auto"/>
        </w:rPr>
      </w:pPr>
      <w:r>
        <w:rPr>
          <w:rFonts w:ascii="Arial" w:cs="Arial" w:eastAsia="Arial" w:hAnsi="Arial"/>
          <w:sz w:val="17"/>
          <w:szCs w:val="17"/>
          <w:color w:val="auto"/>
        </w:rPr>
        <w:t>Incentive Stock Option Agreement</w:t>
      </w:r>
    </w:p>
    <w:p>
      <w:pPr>
        <w:spacing w:after="0" w:line="26" w:lineRule="exact"/>
        <w:rPr>
          <w:sz w:val="20"/>
          <w:szCs w:val="20"/>
          <w:color w:val="auto"/>
        </w:rPr>
      </w:pPr>
    </w:p>
    <w:p>
      <w:pPr>
        <w:jc w:val="center"/>
        <w:ind w:right="-1"/>
        <w:spacing w:after="0"/>
        <w:rPr>
          <w:sz w:val="20"/>
          <w:szCs w:val="20"/>
          <w:color w:val="auto"/>
        </w:rPr>
      </w:pPr>
      <w:r>
        <w:rPr>
          <w:rFonts w:ascii="Arial" w:cs="Arial" w:eastAsia="Arial" w:hAnsi="Arial"/>
          <w:sz w:val="17"/>
          <w:szCs w:val="17"/>
          <w:u w:val="single" w:color="auto"/>
          <w:color w:val="auto"/>
        </w:rPr>
        <w:t>Granted Under 2017 Stock Incentive Plan</w:t>
      </w:r>
    </w:p>
    <w:p>
      <w:pPr>
        <w:spacing w:after="0" w:line="210" w:lineRule="exact"/>
        <w:rPr>
          <w:sz w:val="20"/>
          <w:szCs w:val="20"/>
          <w:color w:val="auto"/>
        </w:rPr>
      </w:pPr>
    </w:p>
    <w:p>
      <w:pPr>
        <w:ind w:left="182" w:hanging="182"/>
        <w:spacing w:after="0"/>
        <w:tabs>
          <w:tab w:leader="none" w:pos="182"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w:t>
      </w:r>
    </w:p>
    <w:p>
      <w:pPr>
        <w:spacing w:after="0" w:line="222" w:lineRule="exact"/>
        <w:rPr>
          <w:sz w:val="20"/>
          <w:szCs w:val="20"/>
          <w:color w:val="auto"/>
        </w:rPr>
      </w:pPr>
    </w:p>
    <w:p>
      <w:pPr>
        <w:ind w:left="2" w:right="20" w:firstLine="426"/>
        <w:spacing w:after="0" w:line="282" w:lineRule="auto"/>
        <w:rPr>
          <w:sz w:val="20"/>
          <w:szCs w:val="20"/>
          <w:color w:val="auto"/>
        </w:rPr>
      </w:pPr>
      <w:r>
        <w:rPr>
          <w:rFonts w:ascii="Arial" w:cs="Arial" w:eastAsia="Arial" w:hAnsi="Arial"/>
          <w:sz w:val="16"/>
          <w:szCs w:val="16"/>
          <w:color w:val="auto"/>
        </w:rPr>
        <w:t>This agreement evidences the grant by Keros Therapeutics, Inc., a Delaware corporation (the “Company”) on the “Grant date” (as set forth in the Carta Electronic Notice that is delivered electronically concurrent with this agreement (the “Carta Notice”)) to the Participant named in the Carta Notice, an employee, consultant or director of the Company, of an option to purchase, in whole or in part, at a per share “Exercise price” (as set forth in the Carta Notice), on the terms provided herein and in the Company’s 2017 Stock Incentive Plan (the “Plan”), that number of shares (the “Shares”) of common stock, $0.0001 par value per share, of the Company (the “Common Stock”) as set forth on the Carta Notice. Unless earlier terminated, this option shall expire at 5:00 p.m., Eastern time, on the 10-year anniversary of the Grant date (the “Final Exercise Date”).</w:t>
      </w:r>
    </w:p>
    <w:p>
      <w:pPr>
        <w:spacing w:after="0" w:line="165" w:lineRule="exact"/>
        <w:rPr>
          <w:sz w:val="20"/>
          <w:szCs w:val="20"/>
          <w:color w:val="auto"/>
        </w:rPr>
      </w:pPr>
    </w:p>
    <w:p>
      <w:pPr>
        <w:ind w:left="2" w:right="400" w:firstLine="426"/>
        <w:spacing w:after="0" w:line="324" w:lineRule="auto"/>
        <w:rPr>
          <w:sz w:val="20"/>
          <w:szCs w:val="20"/>
          <w:color w:val="auto"/>
        </w:rPr>
      </w:pPr>
      <w:r>
        <w:rPr>
          <w:rFonts w:ascii="Arial" w:cs="Arial" w:eastAsia="Arial" w:hAnsi="Arial"/>
          <w:sz w:val="15"/>
          <w:szCs w:val="15"/>
          <w:color w:val="auto"/>
        </w:rPr>
        <w:t>It is intended that the option evidenced by this agreement shall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37" w:lineRule="exact"/>
        <w:rPr>
          <w:sz w:val="20"/>
          <w:szCs w:val="20"/>
          <w:color w:val="auto"/>
        </w:rPr>
      </w:pPr>
    </w:p>
    <w:p>
      <w:pPr>
        <w:ind w:left="182" w:hanging="182"/>
        <w:spacing w:after="0"/>
        <w:tabs>
          <w:tab w:leader="none" w:pos="182"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This option will become exercisable (“vest”) as provided in the Carta Notice.</w:t>
      </w:r>
    </w:p>
    <w:p>
      <w:pPr>
        <w:spacing w:after="0" w:line="222" w:lineRule="exact"/>
        <w:rPr>
          <w:sz w:val="20"/>
          <w:szCs w:val="20"/>
          <w:color w:val="auto"/>
        </w:rPr>
      </w:pPr>
    </w:p>
    <w:p>
      <w:pPr>
        <w:ind w:left="2" w:right="140" w:firstLine="426"/>
        <w:spacing w:after="0" w:line="272" w:lineRule="auto"/>
        <w:rPr>
          <w:sz w:val="20"/>
          <w:szCs w:val="20"/>
          <w:color w:val="auto"/>
        </w:rPr>
      </w:pPr>
      <w:r>
        <w:rPr>
          <w:rFonts w:ascii="Arial" w:cs="Arial" w:eastAsia="Arial" w:hAnsi="Arial"/>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1" w:lineRule="exact"/>
        <w:rPr>
          <w:sz w:val="20"/>
          <w:szCs w:val="20"/>
          <w:color w:val="auto"/>
        </w:rPr>
      </w:pPr>
    </w:p>
    <w:p>
      <w:pPr>
        <w:ind w:left="182" w:hanging="182"/>
        <w:spacing w:after="0"/>
        <w:tabs>
          <w:tab w:leader="none" w:pos="182"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right="420" w:firstLine="424"/>
        <w:spacing w:after="0" w:line="266" w:lineRule="auto"/>
        <w:tabs>
          <w:tab w:leader="none" w:pos="664"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xml:space="preserve">. Each election to exercise this option shall be accompanied by a completed Notice of Stock Option Exercise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77" w:lineRule="exact"/>
        <w:rPr>
          <w:rFonts w:ascii="Arial" w:cs="Arial" w:eastAsia="Arial" w:hAnsi="Arial"/>
          <w:sz w:val="17"/>
          <w:szCs w:val="17"/>
          <w:color w:val="auto"/>
        </w:rPr>
      </w:pPr>
    </w:p>
    <w:p>
      <w:pPr>
        <w:ind w:left="2" w:right="20" w:firstLine="424"/>
        <w:spacing w:after="0" w:line="266" w:lineRule="auto"/>
        <w:tabs>
          <w:tab w:leader="none" w:pos="674"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(as set forth in the Carta Notice), an employee or officer of, or consultant or advisor to, the Company or any parent or subsidiary of the Company as defined in Section 424(e) or (0 of the Code (an “Eligible Participant”).</w:t>
      </w:r>
    </w:p>
    <w:p>
      <w:pPr>
        <w:sectPr>
          <w:pgSz w:w="11900" w:h="16838" w:orient="portrait"/>
          <w:cols w:equalWidth="0" w:num="1">
            <w:col w:w="10662"/>
          </w:cols>
          <w:pgMar w:left="618" w:top="121" w:right="619" w:bottom="1440" w:gutter="0" w:footer="0" w:header="0"/>
        </w:sectPr>
      </w:pPr>
    </w:p>
    <w:bookmarkStart w:id="287" w:name="page288"/>
    <w:bookmarkEnd w:id="287"/>
    <w:p>
      <w:pPr>
        <w:ind w:left="2" w:firstLine="424"/>
        <w:spacing w:after="0" w:line="264" w:lineRule="auto"/>
        <w:tabs>
          <w:tab w:leader="none" w:pos="664"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Termination of Relationship with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77" w:lineRule="exact"/>
        <w:rPr>
          <w:rFonts w:ascii="Arial" w:cs="Arial" w:eastAsia="Arial" w:hAnsi="Arial"/>
          <w:sz w:val="17"/>
          <w:szCs w:val="17"/>
          <w:color w:val="auto"/>
        </w:rPr>
      </w:pPr>
    </w:p>
    <w:p>
      <w:pPr>
        <w:ind w:left="2" w:right="80" w:firstLine="424"/>
        <w:spacing w:after="0" w:line="262" w:lineRule="auto"/>
        <w:tabs>
          <w:tab w:leader="none" w:pos="674"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Exercise Period Upon Death or Disability</w:t>
      </w:r>
      <w:r>
        <w:rPr>
          <w:rFonts w:ascii="Arial" w:cs="Arial" w:eastAsia="Arial" w:hAnsi="Arial"/>
          <w:sz w:val="17"/>
          <w:szCs w:val="17"/>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81" w:lineRule="exact"/>
        <w:rPr>
          <w:rFonts w:ascii="Arial" w:cs="Arial" w:eastAsia="Arial" w:hAnsi="Arial"/>
          <w:sz w:val="17"/>
          <w:szCs w:val="17"/>
          <w:color w:val="auto"/>
        </w:rPr>
      </w:pPr>
    </w:p>
    <w:p>
      <w:pPr>
        <w:ind w:left="2" w:right="40" w:firstLine="424"/>
        <w:spacing w:after="0" w:line="276" w:lineRule="auto"/>
        <w:tabs>
          <w:tab w:leader="none" w:pos="664"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is terminated by the Company for Cause (as defined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73" w:lineRule="exact"/>
        <w:rPr>
          <w:rFonts w:ascii="Arial" w:cs="Arial" w:eastAsia="Arial" w:hAnsi="Arial"/>
          <w:sz w:val="16"/>
          <w:szCs w:val="16"/>
          <w:color w:val="auto"/>
        </w:rPr>
      </w:pPr>
    </w:p>
    <w:p>
      <w:pPr>
        <w:ind w:left="182" w:hanging="182"/>
        <w:spacing w:after="0"/>
        <w:tabs>
          <w:tab w:leader="none" w:pos="18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Company Right of First Refusal</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right="120" w:firstLine="424"/>
        <w:spacing w:after="0" w:line="288" w:lineRule="auto"/>
        <w:tabs>
          <w:tab w:leader="none" w:pos="664"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“Transfer Notice”) to the Company. The Transfer Notice shall name the proposed transferee and state the number of such Shares the Participant proposes to transfer (the “Offered Shares”), the price per share and all other material terms and conditions of the transfer.</w:t>
      </w:r>
    </w:p>
    <w:p>
      <w:pPr>
        <w:spacing w:after="0" w:line="95" w:lineRule="exact"/>
        <w:rPr>
          <w:rFonts w:ascii="Arial" w:cs="Arial" w:eastAsia="Arial" w:hAnsi="Arial"/>
          <w:sz w:val="16"/>
          <w:szCs w:val="16"/>
          <w:color w:val="auto"/>
        </w:rPr>
      </w:pPr>
    </w:p>
    <w:p>
      <w:pPr>
        <w:ind w:left="5282" w:hanging="101"/>
        <w:spacing w:after="0"/>
        <w:tabs>
          <w:tab w:leader="none" w:pos="5282" w:val="left"/>
        </w:tabs>
        <w:numPr>
          <w:ilvl w:val="2"/>
          <w:numId w:val="225"/>
        </w:numPr>
        <w:rPr>
          <w:rFonts w:ascii="Arial" w:cs="Arial" w:eastAsia="Arial" w:hAnsi="Arial"/>
          <w:sz w:val="17"/>
          <w:szCs w:val="17"/>
          <w:color w:val="auto"/>
        </w:rPr>
      </w:pPr>
      <w:r>
        <w:rPr>
          <w:rFonts w:ascii="Arial" w:cs="Arial" w:eastAsia="Arial" w:hAnsi="Arial"/>
          <w:sz w:val="17"/>
          <w:szCs w:val="17"/>
          <w:color w:val="auto"/>
        </w:rPr>
        <w:t>2 -</w:t>
      </w:r>
    </w:p>
    <w:p>
      <w:pPr>
        <w:sectPr>
          <w:pgSz w:w="11900" w:h="16838" w:orient="portrait"/>
          <w:cols w:equalWidth="0" w:num="1">
            <w:col w:w="10642"/>
          </w:cols>
          <w:pgMar w:left="618" w:top="264" w:right="639" w:bottom="1440" w:gutter="0" w:footer="0" w:header="0"/>
        </w:sectPr>
      </w:pPr>
    </w:p>
    <w:bookmarkStart w:id="288" w:name="page289"/>
    <w:bookmarkEnd w:id="288"/>
    <w:p>
      <w:pPr>
        <w:ind w:left="-424" w:right="80" w:firstLine="424"/>
        <w:spacing w:after="0" w:line="299" w:lineRule="auto"/>
        <w:tabs>
          <w:tab w:leader="none" w:pos="248"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Company Right to Purchase</w:t>
      </w:r>
      <w:r>
        <w:rPr>
          <w:rFonts w:ascii="Arial" w:cs="Arial" w:eastAsia="Arial" w:hAnsi="Arial"/>
          <w:sz w:val="15"/>
          <w:szCs w:val="15"/>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any delay in making such payment shall not invalidate the Company’s exercise of its option to purchase the Offered Shares.</w:t>
      </w:r>
    </w:p>
    <w:p>
      <w:pPr>
        <w:spacing w:after="0" w:line="154" w:lineRule="exact"/>
        <w:rPr>
          <w:rFonts w:ascii="Arial" w:cs="Arial" w:eastAsia="Arial" w:hAnsi="Arial"/>
          <w:sz w:val="15"/>
          <w:szCs w:val="15"/>
          <w:color w:val="auto"/>
        </w:rPr>
      </w:pPr>
    </w:p>
    <w:p>
      <w:pPr>
        <w:ind w:left="-424" w:right="60" w:firstLine="424"/>
        <w:spacing w:after="0" w:line="282" w:lineRule="auto"/>
        <w:tabs>
          <w:tab w:leader="none" w:pos="238"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Shares Not Purchased By Company</w:t>
      </w:r>
      <w:r>
        <w:rPr>
          <w:rFonts w:ascii="Arial" w:cs="Arial" w:eastAsia="Arial" w:hAnsi="Arial"/>
          <w:sz w:val="16"/>
          <w:szCs w:val="16"/>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64" w:lineRule="exact"/>
        <w:rPr>
          <w:rFonts w:ascii="Arial" w:cs="Arial" w:eastAsia="Arial" w:hAnsi="Arial"/>
          <w:sz w:val="16"/>
          <w:szCs w:val="16"/>
          <w:color w:val="auto"/>
        </w:rPr>
      </w:pPr>
    </w:p>
    <w:p>
      <w:pPr>
        <w:ind w:left="-424" w:firstLine="424"/>
        <w:spacing w:after="0" w:line="266" w:lineRule="auto"/>
        <w:tabs>
          <w:tab w:leader="none" w:pos="248"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Consequences of Non-Delivery</w:t>
      </w:r>
      <w:r>
        <w:rPr>
          <w:rFonts w:ascii="Arial" w:cs="Arial" w:eastAsia="Arial" w:hAnsi="Arial"/>
          <w:sz w:val="17"/>
          <w:szCs w:val="17"/>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77" w:lineRule="exact"/>
        <w:rPr>
          <w:rFonts w:ascii="Arial" w:cs="Arial" w:eastAsia="Arial" w:hAnsi="Arial"/>
          <w:sz w:val="17"/>
          <w:szCs w:val="17"/>
          <w:color w:val="auto"/>
        </w:rPr>
      </w:pPr>
    </w:p>
    <w:p>
      <w:pPr>
        <w:ind w:left="236" w:hanging="236"/>
        <w:spacing w:after="0"/>
        <w:tabs>
          <w:tab w:leader="none" w:pos="236"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Exempt Transactions</w:t>
      </w:r>
      <w:r>
        <w:rPr>
          <w:rFonts w:ascii="Arial" w:cs="Arial" w:eastAsia="Arial" w:hAnsi="Arial"/>
          <w:sz w:val="17"/>
          <w:szCs w:val="17"/>
          <w:color w:val="auto"/>
        </w:rPr>
        <w:t>. The following transactions shall be exempt from the provisions of this Section 4:</w:t>
      </w:r>
    </w:p>
    <w:p>
      <w:pPr>
        <w:spacing w:after="0" w:line="117" w:lineRule="exact"/>
        <w:rPr>
          <w:rFonts w:ascii="Arial" w:cs="Arial" w:eastAsia="Arial" w:hAnsi="Arial"/>
          <w:sz w:val="17"/>
          <w:szCs w:val="17"/>
          <w:color w:val="auto"/>
        </w:rPr>
      </w:pPr>
    </w:p>
    <w:p>
      <w:pPr>
        <w:ind w:left="776" w:hanging="243"/>
        <w:spacing w:after="0"/>
        <w:tabs>
          <w:tab w:leader="none" w:pos="776"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222" w:lineRule="exact"/>
        <w:rPr>
          <w:rFonts w:ascii="Arial" w:cs="Arial" w:eastAsia="Arial" w:hAnsi="Arial"/>
          <w:sz w:val="17"/>
          <w:szCs w:val="17"/>
          <w:color w:val="auto"/>
        </w:rPr>
      </w:pPr>
    </w:p>
    <w:p>
      <w:pPr>
        <w:ind w:left="-424" w:right="300" w:firstLine="957"/>
        <w:spacing w:after="0" w:line="287" w:lineRule="auto"/>
        <w:tabs>
          <w:tab w:leader="none" w:pos="781"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any transfer pursuant to an effective registration statement filed by the Company under the Securities Act of 1933, as amended (the “Securities Act”); and</w:t>
      </w:r>
    </w:p>
    <w:p>
      <w:pPr>
        <w:spacing w:after="0" w:line="93" w:lineRule="exact"/>
        <w:rPr>
          <w:rFonts w:ascii="Arial" w:cs="Arial" w:eastAsia="Arial" w:hAnsi="Arial"/>
          <w:sz w:val="17"/>
          <w:szCs w:val="17"/>
          <w:color w:val="auto"/>
        </w:rPr>
      </w:pPr>
    </w:p>
    <w:p>
      <w:pPr>
        <w:ind w:left="4856" w:hanging="101"/>
        <w:spacing w:after="0"/>
        <w:tabs>
          <w:tab w:leader="none" w:pos="4856" w:val="left"/>
        </w:tabs>
        <w:numPr>
          <w:ilvl w:val="2"/>
          <w:numId w:val="226"/>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0196"/>
          </w:cols>
          <w:pgMar w:left="1044" w:top="271" w:right="659" w:bottom="1440" w:gutter="0" w:footer="0" w:header="0"/>
        </w:sectPr>
      </w:pPr>
    </w:p>
    <w:bookmarkStart w:id="289" w:name="page290"/>
    <w:bookmarkEnd w:id="289"/>
    <w:p>
      <w:pPr>
        <w:ind w:left="1202" w:hanging="243"/>
        <w:spacing w:after="0"/>
        <w:tabs>
          <w:tab w:leader="none" w:pos="1202"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sale of all or substantially all of the outstanding shares of capital stock of the Company (including pursuant to a merger or</w:t>
      </w:r>
    </w:p>
    <w:p>
      <w:pPr>
        <w:spacing w:after="0" w:line="25" w:lineRule="exact"/>
        <w:rPr>
          <w:rFonts w:ascii="Arial" w:cs="Arial" w:eastAsia="Arial" w:hAnsi="Arial"/>
          <w:sz w:val="17"/>
          <w:szCs w:val="17"/>
          <w:color w:val="auto"/>
        </w:rPr>
      </w:pPr>
    </w:p>
    <w:p>
      <w:pPr>
        <w:ind w:left="2"/>
        <w:spacing w:after="0"/>
        <w:rPr>
          <w:rFonts w:ascii="Arial" w:cs="Arial" w:eastAsia="Arial" w:hAnsi="Arial"/>
          <w:sz w:val="17"/>
          <w:szCs w:val="17"/>
          <w:color w:val="auto"/>
        </w:rPr>
      </w:pPr>
      <w:r>
        <w:rPr>
          <w:rFonts w:ascii="Arial" w:cs="Arial" w:eastAsia="Arial" w:hAnsi="Arial"/>
          <w:sz w:val="17"/>
          <w:szCs w:val="17"/>
          <w:color w:val="auto"/>
        </w:rPr>
        <w:t>consolidation);</w:t>
      </w:r>
    </w:p>
    <w:p>
      <w:pPr>
        <w:spacing w:after="0" w:line="210" w:lineRule="exact"/>
        <w:rPr>
          <w:sz w:val="20"/>
          <w:szCs w:val="20"/>
          <w:color w:val="auto"/>
        </w:rPr>
      </w:pPr>
    </w:p>
    <w:p>
      <w:pPr>
        <w:jc w:val="both"/>
        <w:ind w:left="2" w:right="4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pursuant to clause (1) above, such Shares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1" w:lineRule="exact"/>
        <w:rPr>
          <w:sz w:val="20"/>
          <w:szCs w:val="20"/>
          <w:color w:val="auto"/>
        </w:rPr>
      </w:pPr>
    </w:p>
    <w:p>
      <w:pPr>
        <w:ind w:left="2" w:right="620" w:firstLine="424"/>
        <w:spacing w:after="0" w:line="287" w:lineRule="auto"/>
        <w:tabs>
          <w:tab w:leader="none" w:pos="645"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Assignment of Company Right</w:t>
      </w:r>
      <w:r>
        <w:rPr>
          <w:rFonts w:ascii="Arial" w:cs="Arial" w:eastAsia="Arial" w:hAnsi="Arial"/>
          <w:sz w:val="17"/>
          <w:szCs w:val="17"/>
          <w:color w:val="auto"/>
        </w:rPr>
        <w:t>. The Company may assign its rights to purchase Offered Shares in any particular transaction under this Section 4 to one or more persons or entities.</w:t>
      </w:r>
    </w:p>
    <w:p>
      <w:pPr>
        <w:spacing w:after="0" w:line="159" w:lineRule="exact"/>
        <w:rPr>
          <w:rFonts w:ascii="Arial" w:cs="Arial" w:eastAsia="Arial" w:hAnsi="Arial"/>
          <w:sz w:val="17"/>
          <w:szCs w:val="17"/>
          <w:color w:val="auto"/>
        </w:rPr>
      </w:pPr>
    </w:p>
    <w:p>
      <w:pPr>
        <w:ind w:left="682" w:hanging="256"/>
        <w:spacing w:after="0"/>
        <w:tabs>
          <w:tab w:leader="none" w:pos="682"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provisions of this Section 4 shall terminate upon the earlier of the following events:</w:t>
      </w:r>
    </w:p>
    <w:p>
      <w:pPr>
        <w:spacing w:after="0" w:line="117" w:lineRule="exact"/>
        <w:rPr>
          <w:rFonts w:ascii="Arial" w:cs="Arial" w:eastAsia="Arial" w:hAnsi="Arial"/>
          <w:sz w:val="17"/>
          <w:szCs w:val="17"/>
          <w:color w:val="auto"/>
        </w:rPr>
      </w:pPr>
    </w:p>
    <w:p>
      <w:pPr>
        <w:ind w:left="2" w:right="320" w:firstLine="957"/>
        <w:spacing w:after="0" w:line="287" w:lineRule="auto"/>
        <w:tabs>
          <w:tab w:leader="none" w:pos="120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closing of the sale of shares of Common Stock in an underwritten public offering pursuant to an effective registration statement filed by the Company under the Securities Act; or</w:t>
      </w:r>
    </w:p>
    <w:p>
      <w:pPr>
        <w:spacing w:after="0" w:line="159" w:lineRule="exact"/>
        <w:rPr>
          <w:rFonts w:ascii="Arial" w:cs="Arial" w:eastAsia="Arial" w:hAnsi="Arial"/>
          <w:sz w:val="17"/>
          <w:szCs w:val="17"/>
          <w:color w:val="auto"/>
        </w:rPr>
      </w:pPr>
    </w:p>
    <w:p>
      <w:pPr>
        <w:ind w:left="2" w:right="160" w:firstLine="957"/>
        <w:spacing w:after="0" w:line="264" w:lineRule="auto"/>
        <w:tabs>
          <w:tab w:leader="none" w:pos="120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78" w:lineRule="exact"/>
        <w:rPr>
          <w:rFonts w:ascii="Arial" w:cs="Arial" w:eastAsia="Arial" w:hAnsi="Arial"/>
          <w:sz w:val="17"/>
          <w:szCs w:val="17"/>
          <w:color w:val="auto"/>
        </w:rPr>
      </w:pPr>
    </w:p>
    <w:p>
      <w:pPr>
        <w:ind w:left="2" w:firstLine="424"/>
        <w:spacing w:after="0" w:line="272" w:lineRule="auto"/>
        <w:tabs>
          <w:tab w:leader="none" w:pos="674"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 Obligation to Recognize Invalid Transfer</w:t>
      </w:r>
      <w:r>
        <w:rPr>
          <w:rFonts w:ascii="Arial" w:cs="Arial" w:eastAsia="Arial" w:hAnsi="Arial"/>
          <w:sz w:val="17"/>
          <w:szCs w:val="17"/>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70" w:lineRule="exact"/>
        <w:rPr>
          <w:rFonts w:ascii="Arial" w:cs="Arial" w:eastAsia="Arial" w:hAnsi="Arial"/>
          <w:sz w:val="17"/>
          <w:szCs w:val="17"/>
          <w:color w:val="auto"/>
        </w:rPr>
      </w:pPr>
    </w:p>
    <w:p>
      <w:pPr>
        <w:ind w:left="2" w:right="60" w:firstLine="424"/>
        <w:spacing w:after="0" w:line="287" w:lineRule="auto"/>
        <w:tabs>
          <w:tab w:leader="none" w:pos="635"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55" w:lineRule="exact"/>
        <w:rPr>
          <w:sz w:val="20"/>
          <w:szCs w:val="20"/>
          <w:color w:val="auto"/>
        </w:rPr>
      </w:pPr>
    </w:p>
    <w:p>
      <w:pPr>
        <w:ind w:left="962" w:right="400"/>
        <w:spacing w:after="0" w:line="287" w:lineRule="auto"/>
        <w:rPr>
          <w:sz w:val="20"/>
          <w:szCs w:val="20"/>
          <w:color w:val="auto"/>
        </w:rPr>
      </w:pPr>
      <w:r>
        <w:rPr>
          <w:rFonts w:ascii="Arial" w:cs="Arial" w:eastAsia="Arial" w:hAnsi="Arial"/>
          <w:sz w:val="17"/>
          <w:szCs w:val="17"/>
          <w:color w:val="auto"/>
        </w:rPr>
        <w:t>“The shares represented by this certificate are subject to a right of first refusal in favor of the Company, as provided in a certain stock option agreement with the Company.”</w:t>
      </w:r>
    </w:p>
    <w:p>
      <w:pPr>
        <w:spacing w:after="0" w:line="159" w:lineRule="exact"/>
        <w:rPr>
          <w:sz w:val="20"/>
          <w:szCs w:val="20"/>
          <w:color w:val="auto"/>
        </w:rPr>
      </w:pPr>
    </w:p>
    <w:p>
      <w:pPr>
        <w:ind w:left="182" w:hanging="182"/>
        <w:spacing w:after="0"/>
        <w:tabs>
          <w:tab w:leader="none" w:pos="182"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Agreement in Connection with Initial Public Offering</w:t>
      </w:r>
      <w:r>
        <w:rPr>
          <w:rFonts w:ascii="Arial" w:cs="Arial" w:eastAsia="Arial" w:hAnsi="Arial"/>
          <w:sz w:val="17"/>
          <w:szCs w:val="17"/>
          <w:color w:val="auto"/>
        </w:rPr>
        <w:t>.</w:t>
      </w:r>
    </w:p>
    <w:p>
      <w:pPr>
        <w:spacing w:after="0" w:line="222" w:lineRule="exact"/>
        <w:rPr>
          <w:sz w:val="20"/>
          <w:szCs w:val="20"/>
          <w:color w:val="auto"/>
        </w:rPr>
      </w:pPr>
    </w:p>
    <w:p>
      <w:pPr>
        <w:ind w:left="2" w:right="20"/>
        <w:spacing w:after="0" w:line="264"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(0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w:t>
      </w:r>
    </w:p>
    <w:p>
      <w:pPr>
        <w:spacing w:after="0" w:line="113"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642"/>
          </w:cols>
          <w:pgMar w:left="618" w:top="271" w:right="639" w:bottom="1440" w:gutter="0" w:footer="0" w:header="0"/>
        </w:sectPr>
      </w:pPr>
    </w:p>
    <w:bookmarkStart w:id="290" w:name="page291"/>
    <w:bookmarkEnd w:id="290"/>
    <w:p>
      <w:pPr>
        <w:ind w:left="2"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Rule 2711(f) of the National Association of Securities Dealers, 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83" w:lineRule="exact"/>
        <w:rPr>
          <w:sz w:val="20"/>
          <w:szCs w:val="20"/>
          <w:color w:val="auto"/>
        </w:rPr>
      </w:pPr>
    </w:p>
    <w:p>
      <w:pPr>
        <w:ind w:left="182" w:hanging="182"/>
        <w:spacing w:after="0"/>
        <w:tabs>
          <w:tab w:leader="none" w:pos="182"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right="380" w:firstLine="424"/>
        <w:spacing w:after="0" w:line="287" w:lineRule="auto"/>
        <w:tabs>
          <w:tab w:leader="none" w:pos="664"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No Shares will be issued pursuant to the exercise of this option unless and until the Company satisfies all applicable federal, state, and local or other income and employment tax withholding obligations as described in the Plan.</w:t>
      </w:r>
    </w:p>
    <w:p>
      <w:pPr>
        <w:spacing w:after="0" w:line="159" w:lineRule="exact"/>
        <w:rPr>
          <w:rFonts w:ascii="Arial" w:cs="Arial" w:eastAsia="Arial" w:hAnsi="Arial"/>
          <w:sz w:val="17"/>
          <w:szCs w:val="17"/>
          <w:color w:val="auto"/>
        </w:rPr>
      </w:pPr>
    </w:p>
    <w:p>
      <w:pPr>
        <w:jc w:val="both"/>
        <w:ind w:left="2" w:right="80" w:firstLine="424"/>
        <w:spacing w:after="0" w:line="272" w:lineRule="auto"/>
        <w:tabs>
          <w:tab w:leader="none" w:pos="674"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the Participant disposes of Shares acquired upon exercise of this option within two years from the Grant date (as set forth in the Carta Notice) or one year after such Shares were acquired pursuant to exercise of this option, the Participant shall notify the Company in writing of such disposition.</w:t>
      </w:r>
    </w:p>
    <w:p>
      <w:pPr>
        <w:spacing w:after="0" w:line="170" w:lineRule="exact"/>
        <w:rPr>
          <w:rFonts w:ascii="Arial" w:cs="Arial" w:eastAsia="Arial" w:hAnsi="Arial"/>
          <w:sz w:val="17"/>
          <w:szCs w:val="17"/>
          <w:color w:val="auto"/>
        </w:rPr>
      </w:pPr>
    </w:p>
    <w:p>
      <w:pPr>
        <w:ind w:left="2" w:right="20" w:firstLine="424"/>
        <w:spacing w:after="0" w:line="260" w:lineRule="auto"/>
        <w:tabs>
          <w:tab w:leader="none" w:pos="664"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Electronic Delivery of Documents</w:t>
      </w:r>
      <w:r>
        <w:rPr>
          <w:rFonts w:ascii="Arial" w:cs="Arial" w:eastAsia="Arial" w:hAnsi="Arial"/>
          <w:sz w:val="17"/>
          <w:szCs w:val="17"/>
          <w:color w:val="auto"/>
        </w:rPr>
        <w:t>. The Participant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Participant also agrees that the Company may deliver these documents by posting them on a website maintained by the Company or by a third party under contract with the Company. If the Company posts these documents on a website, it shall notify the Participant by email of their availability. The Participant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Participant gives the Company written notice that it should deliver paper documents.</w:t>
      </w:r>
    </w:p>
    <w:p>
      <w:pPr>
        <w:spacing w:after="0" w:line="185" w:lineRule="exact"/>
        <w:rPr>
          <w:rFonts w:ascii="Arial" w:cs="Arial" w:eastAsia="Arial" w:hAnsi="Arial"/>
          <w:sz w:val="17"/>
          <w:szCs w:val="17"/>
          <w:color w:val="auto"/>
        </w:rPr>
      </w:pPr>
    </w:p>
    <w:p>
      <w:pPr>
        <w:ind w:left="182" w:hanging="182"/>
        <w:spacing w:after="0"/>
        <w:tabs>
          <w:tab w:leader="none" w:pos="182"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2" w:right="220" w:firstLine="424"/>
        <w:spacing w:after="0" w:line="272" w:lineRule="auto"/>
        <w:tabs>
          <w:tab w:leader="none" w:pos="66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70" w:lineRule="exact"/>
        <w:rPr>
          <w:rFonts w:ascii="Arial" w:cs="Arial" w:eastAsia="Arial" w:hAnsi="Arial"/>
          <w:sz w:val="17"/>
          <w:szCs w:val="17"/>
          <w:color w:val="auto"/>
        </w:rPr>
      </w:pPr>
    </w:p>
    <w:p>
      <w:pPr>
        <w:ind w:left="2" w:firstLine="424"/>
        <w:spacing w:after="0" w:line="264" w:lineRule="auto"/>
        <w:tabs>
          <w:tab w:leader="none" w:pos="67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12" w:lineRule="exact"/>
        <w:rPr>
          <w:rFonts w:ascii="Arial" w:cs="Arial" w:eastAsia="Arial" w:hAnsi="Arial"/>
          <w:sz w:val="17"/>
          <w:szCs w:val="17"/>
          <w:color w:val="auto"/>
        </w:rPr>
      </w:pPr>
    </w:p>
    <w:p>
      <w:pPr>
        <w:ind w:left="5282" w:hanging="101"/>
        <w:spacing w:after="0"/>
        <w:tabs>
          <w:tab w:leader="none" w:pos="5282" w:val="left"/>
        </w:tabs>
        <w:numPr>
          <w:ilvl w:val="2"/>
          <w:numId w:val="230"/>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642"/>
          </w:cols>
          <w:pgMar w:left="618" w:top="270" w:right="639" w:bottom="1440" w:gutter="0" w:footer="0" w:header="0"/>
        </w:sectPr>
      </w:pPr>
    </w:p>
    <w:bookmarkStart w:id="291" w:name="page292"/>
    <w:bookmarkEnd w:id="291"/>
    <w:p>
      <w:pPr>
        <w:ind w:left="182" w:hanging="182"/>
        <w:spacing w:after="0"/>
        <w:tabs>
          <w:tab w:leader="none" w:pos="182"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Provisions of the Plan</w:t>
      </w:r>
      <w:r>
        <w:rPr>
          <w:rFonts w:ascii="Arial" w:cs="Arial" w:eastAsia="Arial" w:hAnsi="Arial"/>
          <w:sz w:val="17"/>
          <w:szCs w:val="17"/>
          <w:color w:val="auto"/>
        </w:rPr>
        <w:t>.</w:t>
      </w:r>
    </w:p>
    <w:p>
      <w:pPr>
        <w:spacing w:after="0" w:line="222" w:lineRule="exact"/>
        <w:rPr>
          <w:sz w:val="20"/>
          <w:szCs w:val="20"/>
          <w:color w:val="auto"/>
        </w:rPr>
      </w:pPr>
    </w:p>
    <w:p>
      <w:pPr>
        <w:ind w:left="2" w:right="60" w:firstLine="426"/>
        <w:spacing w:after="0" w:line="287" w:lineRule="auto"/>
        <w:rPr>
          <w:sz w:val="20"/>
          <w:szCs w:val="20"/>
          <w:color w:val="auto"/>
        </w:rPr>
      </w:pPr>
      <w:r>
        <w:rPr>
          <w:rFonts w:ascii="Arial" w:cs="Arial" w:eastAsia="Arial" w:hAnsi="Arial"/>
          <w:sz w:val="17"/>
          <w:szCs w:val="17"/>
          <w:color w:val="auto"/>
        </w:rPr>
        <w:t>This option is subject to the provisions of the Plan (including the provisions relating to amendments to the Plan), a copy of which is furnished to the Participant with this option.</w:t>
      </w:r>
    </w:p>
    <w:p>
      <w:pPr>
        <w:spacing w:after="0" w:line="159" w:lineRule="exact"/>
        <w:rPr>
          <w:sz w:val="20"/>
          <w:szCs w:val="20"/>
          <w:color w:val="auto"/>
        </w:rPr>
      </w:pPr>
    </w:p>
    <w:p>
      <w:pPr>
        <w:ind w:left="2" w:firstLine="426"/>
        <w:spacing w:after="0" w:line="287" w:lineRule="auto"/>
        <w:rPr>
          <w:sz w:val="20"/>
          <w:szCs w:val="20"/>
          <w:color w:val="auto"/>
        </w:rPr>
      </w:pPr>
      <w:r>
        <w:rPr>
          <w:rFonts w:ascii="Arial" w:cs="Arial" w:eastAsia="Arial" w:hAnsi="Arial"/>
          <w:sz w:val="17"/>
          <w:szCs w:val="17"/>
          <w:color w:val="auto"/>
        </w:rPr>
        <w:t>IN WITNESS WHEREOF, the Company has caused this option to be executed under its corporate seal by its duly authorized officer. This option shall take effect as a sealed instrument.</w:t>
      </w:r>
    </w:p>
    <w:p>
      <w:pPr>
        <w:spacing w:after="0" w:line="185" w:lineRule="exact"/>
        <w:rPr>
          <w:sz w:val="20"/>
          <w:szCs w:val="20"/>
          <w:color w:val="auto"/>
        </w:rPr>
      </w:pPr>
    </w:p>
    <w:p>
      <w:pPr>
        <w:ind w:left="6402"/>
        <w:spacing w:after="0"/>
        <w:rPr>
          <w:sz w:val="20"/>
          <w:szCs w:val="20"/>
          <w:color w:val="auto"/>
        </w:rPr>
      </w:pPr>
      <w:r>
        <w:rPr>
          <w:rFonts w:ascii="Arial" w:cs="Arial" w:eastAsia="Arial" w:hAnsi="Arial"/>
          <w:sz w:val="17"/>
          <w:szCs w:val="17"/>
          <w:color w:val="auto"/>
        </w:rPr>
        <w:t>KEROS THERAPEUTICS, INC.</w:t>
      </w:r>
    </w:p>
    <w:p>
      <w:pPr>
        <w:spacing w:after="0" w:line="222" w:lineRule="exact"/>
        <w:rPr>
          <w:sz w:val="20"/>
          <w:szCs w:val="20"/>
          <w:color w:val="auto"/>
        </w:rPr>
      </w:pPr>
    </w:p>
    <w:p>
      <w:pPr>
        <w:ind w:left="6402"/>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16510</wp:posOffset>
            </wp:positionV>
            <wp:extent cx="25361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202" w:lineRule="exact"/>
        <w:rPr>
          <w:sz w:val="20"/>
          <w:szCs w:val="20"/>
          <w:color w:val="auto"/>
        </w:rPr>
      </w:pPr>
    </w:p>
    <w:p>
      <w:pPr>
        <w:ind w:left="6702"/>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-7620</wp:posOffset>
            </wp:positionV>
            <wp:extent cx="2181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8186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123825</wp:posOffset>
            </wp:positionV>
            <wp:extent cx="2209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702"/>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-7620</wp:posOffset>
            </wp:positionV>
            <wp:extent cx="21545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123825</wp:posOffset>
            </wp:positionV>
            <wp:extent cx="3035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346" w:lineRule="exact"/>
        <w:rPr>
          <w:sz w:val="20"/>
          <w:szCs w:val="20"/>
          <w:color w:val="auto"/>
        </w:rPr>
      </w:pPr>
    </w:p>
    <w:p>
      <w:pPr>
        <w:jc w:val="center"/>
        <w:ind w:right="-141"/>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0522"/>
          </w:cols>
          <w:pgMar w:left="618" w:top="270" w:right="75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PARTICIPANTS ACCEPTANCE</w:t>
      </w:r>
    </w:p>
    <w:p>
      <w:pPr>
        <w:spacing w:after="0" w:line="222" w:lineRule="exact"/>
        <w:rPr>
          <w:sz w:val="20"/>
          <w:szCs w:val="20"/>
          <w:color w:val="auto"/>
        </w:rPr>
      </w:pPr>
    </w:p>
    <w:p>
      <w:pPr>
        <w:ind w:firstLine="426"/>
        <w:spacing w:after="0" w:line="287" w:lineRule="auto"/>
        <w:rPr>
          <w:sz w:val="20"/>
          <w:szCs w:val="20"/>
          <w:color w:val="auto"/>
        </w:rPr>
      </w:pPr>
      <w:r>
        <w:rPr>
          <w:rFonts w:ascii="Arial" w:cs="Arial" w:eastAsia="Arial" w:hAnsi="Arial"/>
          <w:sz w:val="17"/>
          <w:szCs w:val="17"/>
          <w:color w:val="auto"/>
        </w:rPr>
        <w:t>The undersigned hereby accepts the foregoing option and agrees to the terms and conditions thereof The undersigned hereby acknowledges receipt of a copy of the Company’s 2017 Stock Incentive Plan.</w:t>
      </w:r>
    </w:p>
    <w:p>
      <w:pPr>
        <w:spacing w:after="0" w:line="18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281305</wp:posOffset>
            </wp:positionV>
            <wp:extent cx="27019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505460</wp:posOffset>
            </wp:positionV>
            <wp:extent cx="27019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0192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281305</wp:posOffset>
            </wp:positionV>
            <wp:extent cx="27019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ectPr>
          <w:pgSz w:w="11900" w:h="16838" w:orient="portrait"/>
          <w:cols w:equalWidth="0" w:num="1">
            <w:col w:w="10640"/>
          </w:cols>
          <w:pgMar w:left="620" w:top="271" w:right="6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A</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NOTICE OF STOCK OPTION EXERCISE</w:t>
      </w:r>
    </w:p>
    <w:p>
      <w:pPr>
        <w:spacing w:after="0" w:line="123" w:lineRule="exact"/>
        <w:rPr>
          <w:sz w:val="20"/>
          <w:szCs w:val="20"/>
          <w:color w:val="auto"/>
        </w:rPr>
      </w:pPr>
    </w:p>
    <w:p>
      <w:pPr>
        <w:ind w:left="4562"/>
        <w:spacing w:after="0"/>
        <w:rPr>
          <w:sz w:val="20"/>
          <w:szCs w:val="20"/>
          <w:color w:val="auto"/>
        </w:rPr>
      </w:pPr>
      <w:r>
        <w:rPr>
          <w:rFonts w:ascii="Arial" w:cs="Arial" w:eastAsia="Arial" w:hAnsi="Arial"/>
          <w:sz w:val="17"/>
          <w:szCs w:val="17"/>
          <w:color w:val="auto"/>
        </w:rPr>
        <w:t>Date: ____________</w:t>
      </w:r>
      <w:r>
        <w:rPr>
          <w:rFonts w:ascii="Arial" w:cs="Arial" w:eastAsia="Arial" w:hAnsi="Arial"/>
          <w:sz w:val="14"/>
          <w:szCs w:val="14"/>
          <w:color w:val="auto"/>
        </w:rPr>
        <w:t>1</w:t>
      </w:r>
    </w:p>
    <w:p>
      <w:pPr>
        <w:spacing w:after="0" w:line="223" w:lineRule="exact"/>
        <w:rPr>
          <w:sz w:val="20"/>
          <w:szCs w:val="20"/>
          <w:color w:val="auto"/>
        </w:rPr>
      </w:pPr>
    </w:p>
    <w:p>
      <w:pPr>
        <w:ind w:left="2"/>
        <w:spacing w:after="0"/>
        <w:rPr>
          <w:sz w:val="20"/>
          <w:szCs w:val="20"/>
          <w:color w:val="auto"/>
        </w:rPr>
      </w:pPr>
      <w:r>
        <w:rPr>
          <w:rFonts w:ascii="Arial" w:cs="Arial" w:eastAsia="Arial" w:hAnsi="Arial"/>
          <w:sz w:val="17"/>
          <w:szCs w:val="17"/>
          <w:color w:val="auto"/>
        </w:rPr>
        <w:t>Keros Therapeutics, Inc.</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7"/>
          <w:szCs w:val="17"/>
          <w:color w:val="auto"/>
        </w:rPr>
        <w:t>[INSERT ADDRESS]</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7"/>
          <w:szCs w:val="17"/>
          <w:color w:val="auto"/>
        </w:rPr>
        <w:t>Attention: Treasurer</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7"/>
          <w:szCs w:val="17"/>
          <w:color w:val="auto"/>
        </w:rPr>
        <w:t>Dear Sir or Madam:</w:t>
      </w:r>
    </w:p>
    <w:p>
      <w:pPr>
        <w:spacing w:after="0" w:line="117" w:lineRule="exact"/>
        <w:rPr>
          <w:sz w:val="20"/>
          <w:szCs w:val="20"/>
          <w:color w:val="auto"/>
        </w:rPr>
      </w:pPr>
    </w:p>
    <w:p>
      <w:pPr>
        <w:ind w:left="422"/>
        <w:spacing w:after="0"/>
        <w:rPr>
          <w:sz w:val="20"/>
          <w:szCs w:val="20"/>
          <w:color w:val="auto"/>
        </w:rPr>
      </w:pPr>
      <w:r>
        <w:rPr>
          <w:rFonts w:ascii="Arial" w:cs="Arial" w:eastAsia="Arial" w:hAnsi="Arial"/>
          <w:sz w:val="15"/>
          <w:szCs w:val="15"/>
          <w:color w:val="auto"/>
        </w:rPr>
        <w:t>I am the holder of ____________</w:t>
      </w:r>
      <w:r>
        <w:rPr>
          <w:rFonts w:ascii="Arial" w:cs="Arial" w:eastAsia="Arial" w:hAnsi="Arial"/>
          <w:sz w:val="12"/>
          <w:szCs w:val="12"/>
          <w:color w:val="auto"/>
        </w:rPr>
        <w:t>2</w:t>
      </w:r>
      <w:r>
        <w:rPr>
          <w:rFonts w:ascii="Arial" w:cs="Arial" w:eastAsia="Arial" w:hAnsi="Arial"/>
          <w:sz w:val="15"/>
          <w:szCs w:val="15"/>
          <w:color w:val="auto"/>
        </w:rPr>
        <w:t xml:space="preserve"> Stock Option granted to me under the Keros Therapeutics, Inc. (the “Company”) 2017 Stock Incentive Plan on</w:t>
      </w:r>
    </w:p>
    <w:p>
      <w:pPr>
        <w:spacing w:after="0" w:line="48"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w:t>
      </w:r>
      <w:r>
        <w:rPr>
          <w:rFonts w:ascii="Arial" w:cs="Arial" w:eastAsia="Arial" w:hAnsi="Arial"/>
          <w:sz w:val="13"/>
          <w:szCs w:val="13"/>
          <w:color w:val="auto"/>
        </w:rPr>
        <w:t>3</w:t>
      </w:r>
      <w:r>
        <w:rPr>
          <w:rFonts w:ascii="Arial" w:cs="Arial" w:eastAsia="Arial" w:hAnsi="Arial"/>
          <w:sz w:val="16"/>
          <w:szCs w:val="16"/>
          <w:color w:val="auto"/>
        </w:rPr>
        <w:t xml:space="preserve"> for the purchase of ____________</w:t>
      </w:r>
      <w:r>
        <w:rPr>
          <w:rFonts w:ascii="Arial" w:cs="Arial" w:eastAsia="Arial" w:hAnsi="Arial"/>
          <w:sz w:val="13"/>
          <w:szCs w:val="13"/>
          <w:color w:val="auto"/>
        </w:rPr>
        <w:t>4</w:t>
      </w:r>
      <w:r>
        <w:rPr>
          <w:rFonts w:ascii="Arial" w:cs="Arial" w:eastAsia="Arial" w:hAnsi="Arial"/>
          <w:sz w:val="16"/>
          <w:szCs w:val="16"/>
          <w:color w:val="auto"/>
        </w:rPr>
        <w:t xml:space="preserve"> shares of Common Stock of the Company at a purchase price of $_________</w:t>
      </w:r>
      <w:r>
        <w:rPr>
          <w:rFonts w:ascii="Arial" w:cs="Arial" w:eastAsia="Arial" w:hAnsi="Arial"/>
          <w:sz w:val="13"/>
          <w:szCs w:val="13"/>
          <w:color w:val="auto"/>
        </w:rPr>
        <w:t>5</w:t>
      </w:r>
      <w:r>
        <w:rPr>
          <w:rFonts w:ascii="Arial" w:cs="Arial" w:eastAsia="Arial" w:hAnsi="Arial"/>
          <w:sz w:val="16"/>
          <w:szCs w:val="16"/>
          <w:color w:val="auto"/>
        </w:rPr>
        <w:t xml:space="preserve"> per share.</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6"/>
          <w:szCs w:val="16"/>
          <w:color w:val="auto"/>
        </w:rPr>
        <w:t>I hereby exercise my option to purchase ____________</w:t>
      </w:r>
      <w:r>
        <w:rPr>
          <w:rFonts w:ascii="Arial" w:cs="Arial" w:eastAsia="Arial" w:hAnsi="Arial"/>
          <w:sz w:val="13"/>
          <w:szCs w:val="13"/>
          <w:color w:val="auto"/>
        </w:rPr>
        <w:t>6</w:t>
      </w:r>
      <w:r>
        <w:rPr>
          <w:rFonts w:ascii="Arial" w:cs="Arial" w:eastAsia="Arial" w:hAnsi="Arial"/>
          <w:sz w:val="16"/>
          <w:szCs w:val="16"/>
          <w:color w:val="auto"/>
        </w:rPr>
        <w:t xml:space="preserve"> shares of Common Stock (the “Shares”), for which I have enclosed ____________</w:t>
      </w:r>
      <w:r>
        <w:rPr>
          <w:rFonts w:ascii="Arial" w:cs="Arial" w:eastAsia="Arial" w:hAnsi="Arial"/>
          <w:sz w:val="13"/>
          <w:szCs w:val="13"/>
          <w:color w:val="auto"/>
        </w:rPr>
        <w:t>7</w:t>
      </w:r>
      <w:r>
        <w:rPr>
          <w:rFonts w:ascii="Arial" w:cs="Arial" w:eastAsia="Arial" w:hAnsi="Arial"/>
          <w:sz w:val="16"/>
          <w:szCs w:val="16"/>
          <w:color w:val="auto"/>
        </w:rPr>
        <w:t xml:space="preserve"> in</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amount of ____________</w:t>
      </w:r>
      <w:r>
        <w:rPr>
          <w:rFonts w:ascii="Arial" w:cs="Arial" w:eastAsia="Arial" w:hAnsi="Arial"/>
          <w:sz w:val="14"/>
          <w:szCs w:val="14"/>
          <w:color w:val="auto"/>
        </w:rPr>
        <w:t>8</w:t>
      </w:r>
      <w:r>
        <w:rPr>
          <w:rFonts w:ascii="Arial" w:cs="Arial" w:eastAsia="Arial" w:hAnsi="Arial"/>
          <w:sz w:val="17"/>
          <w:szCs w:val="17"/>
          <w:color w:val="auto"/>
        </w:rPr>
        <w:t>. Please register my stock certificate as follows:</w:t>
      </w:r>
    </w:p>
    <w:p>
      <w:pPr>
        <w:spacing w:after="0" w:line="198" w:lineRule="exact"/>
        <w:rPr>
          <w:sz w:val="20"/>
          <w:szCs w:val="20"/>
          <w:color w:val="auto"/>
        </w:rPr>
      </w:pPr>
    </w:p>
    <w:tbl>
      <w:tblPr>
        <w:tblLayout w:type="fixed"/>
        <w:tblInd w:w="422" w:type="dxa"/>
        <w:tblCellMar>
          <w:top w:w="0" w:type="dxa"/>
          <w:left w:w="0" w:type="dxa"/>
          <w:bottom w:w="0" w:type="dxa"/>
          <w:right w:w="0" w:type="dxa"/>
        </w:tblCellMar>
      </w:tblPr>
      <w:tr>
        <w:trPr>
          <w:trHeight w:val="195"/>
        </w:trPr>
        <w:tc>
          <w:tcPr>
            <w:tcW w:w="1000" w:type="dxa"/>
            <w:vAlign w:val="bottom"/>
            <w:gridSpan w:val="3"/>
          </w:tcPr>
          <w:p>
            <w:pPr>
              <w:spacing w:after="0"/>
              <w:rPr>
                <w:sz w:val="20"/>
                <w:szCs w:val="20"/>
                <w:color w:val="auto"/>
              </w:rPr>
            </w:pPr>
            <w:r>
              <w:rPr>
                <w:rFonts w:ascii="Arial" w:cs="Arial" w:eastAsia="Arial" w:hAnsi="Arial"/>
                <w:sz w:val="17"/>
                <w:szCs w:val="17"/>
                <w:color w:val="auto"/>
              </w:rPr>
              <w:t>Name(s):</w:t>
            </w:r>
          </w:p>
        </w:tc>
        <w:tc>
          <w:tcPr>
            <w:tcW w:w="3040" w:type="dxa"/>
            <w:vAlign w:val="bottom"/>
            <w:gridSpan w:val="3"/>
          </w:tcPr>
          <w:p>
            <w:pPr>
              <w:jc w:val="right"/>
              <w:ind w:right="60"/>
              <w:spacing w:after="0"/>
              <w:rPr>
                <w:sz w:val="20"/>
                <w:szCs w:val="20"/>
                <w:color w:val="auto"/>
              </w:rPr>
            </w:pPr>
            <w:r>
              <w:rPr>
                <w:rFonts w:ascii="Arial" w:cs="Arial" w:eastAsia="Arial" w:hAnsi="Arial"/>
                <w:sz w:val="15"/>
                <w:szCs w:val="15"/>
                <w:color w:val="auto"/>
              </w:rPr>
              <w:t>9</w:t>
            </w:r>
          </w:p>
        </w:tc>
      </w:tr>
      <w:tr>
        <w:trPr>
          <w:trHeight w:val="398"/>
        </w:trPr>
        <w:tc>
          <w:tcPr>
            <w:tcW w:w="9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20" w:type="dxa"/>
            <w:vAlign w:val="bottom"/>
            <w:tcBorders>
              <w:bottom w:val="single" w:sz="8" w:color="auto"/>
            </w:tcBorders>
          </w:tcPr>
          <w:p>
            <w:pPr>
              <w:spacing w:after="0"/>
              <w:rPr>
                <w:sz w:val="24"/>
                <w:szCs w:val="24"/>
                <w:color w:val="auto"/>
              </w:rPr>
            </w:pPr>
          </w:p>
        </w:tc>
        <w:tc>
          <w:tcPr>
            <w:tcW w:w="28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7"/>
                <w:szCs w:val="17"/>
                <w:color w:val="auto"/>
              </w:rPr>
              <w:t>Tax I.D. #:</w:t>
            </w:r>
          </w:p>
        </w:tc>
        <w:tc>
          <w:tcPr>
            <w:tcW w:w="80" w:type="dxa"/>
            <w:vAlign w:val="bottom"/>
            <w:tcBorders>
              <w:bottom w:val="single" w:sz="8" w:color="auto"/>
            </w:tcBorders>
            <w:gridSpan w:val="2"/>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83"/>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378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spacing w:after="0" w:line="176" w:lineRule="exact"/>
        <w:rPr>
          <w:sz w:val="20"/>
          <w:szCs w:val="20"/>
          <w:color w:val="auto"/>
        </w:rPr>
      </w:pPr>
    </w:p>
    <w:p>
      <w:pPr>
        <w:ind w:left="422" w:hanging="422"/>
        <w:spacing w:after="0"/>
        <w:tabs>
          <w:tab w:leader="none" w:pos="422" w:val="left"/>
        </w:tabs>
        <w:numPr>
          <w:ilvl w:val="0"/>
          <w:numId w:val="232"/>
        </w:numPr>
        <w:rPr>
          <w:rFonts w:ascii="Arial" w:cs="Arial" w:eastAsia="Arial" w:hAnsi="Arial"/>
          <w:sz w:val="15"/>
          <w:szCs w:val="15"/>
          <w:color w:val="auto"/>
        </w:rPr>
      </w:pPr>
      <w:r>
        <w:rPr>
          <w:rFonts w:ascii="Arial" w:cs="Arial" w:eastAsia="Arial" w:hAnsi="Arial"/>
          <w:sz w:val="17"/>
          <w:szCs w:val="17"/>
          <w:color w:val="auto"/>
        </w:rPr>
        <w:t>Enter the date of exercise.</w:t>
      </w:r>
    </w:p>
    <w:p>
      <w:pPr>
        <w:spacing w:after="0" w:line="25" w:lineRule="exact"/>
        <w:rPr>
          <w:sz w:val="20"/>
          <w:szCs w:val="20"/>
          <w:color w:val="auto"/>
        </w:rPr>
      </w:pPr>
    </w:p>
    <w:p>
      <w:pPr>
        <w:ind w:left="422" w:hanging="422"/>
        <w:spacing w:after="0"/>
        <w:tabs>
          <w:tab w:leader="none" w:pos="422" w:val="left"/>
        </w:tabs>
        <w:numPr>
          <w:ilvl w:val="0"/>
          <w:numId w:val="233"/>
        </w:numPr>
        <w:rPr>
          <w:rFonts w:ascii="Arial" w:cs="Arial" w:eastAsia="Arial" w:hAnsi="Arial"/>
          <w:sz w:val="15"/>
          <w:szCs w:val="15"/>
          <w:color w:val="auto"/>
        </w:rPr>
      </w:pPr>
      <w:r>
        <w:rPr>
          <w:rFonts w:ascii="Arial" w:cs="Arial" w:eastAsia="Arial" w:hAnsi="Arial"/>
          <w:sz w:val="17"/>
          <w:szCs w:val="17"/>
          <w:color w:val="auto"/>
        </w:rPr>
        <w:t>Enter either “an Incentive” or “a Nonstatutory”.</w:t>
      </w:r>
    </w:p>
    <w:p>
      <w:pPr>
        <w:spacing w:after="0" w:line="13" w:lineRule="exact"/>
        <w:rPr>
          <w:sz w:val="20"/>
          <w:szCs w:val="20"/>
          <w:color w:val="auto"/>
        </w:rPr>
      </w:pPr>
    </w:p>
    <w:p>
      <w:pPr>
        <w:ind w:left="422" w:hanging="422"/>
        <w:spacing w:after="0"/>
        <w:tabs>
          <w:tab w:leader="none" w:pos="422" w:val="left"/>
        </w:tabs>
        <w:numPr>
          <w:ilvl w:val="0"/>
          <w:numId w:val="234"/>
        </w:numPr>
        <w:rPr>
          <w:rFonts w:ascii="Arial" w:cs="Arial" w:eastAsia="Arial" w:hAnsi="Arial"/>
          <w:sz w:val="15"/>
          <w:szCs w:val="15"/>
          <w:color w:val="auto"/>
        </w:rPr>
      </w:pPr>
      <w:r>
        <w:rPr>
          <w:rFonts w:ascii="Arial" w:cs="Arial" w:eastAsia="Arial" w:hAnsi="Arial"/>
          <w:sz w:val="17"/>
          <w:szCs w:val="17"/>
          <w:color w:val="auto"/>
        </w:rPr>
        <w:t>Enter the date of grant.</w:t>
      </w:r>
    </w:p>
    <w:p>
      <w:pPr>
        <w:spacing w:after="0" w:line="13" w:lineRule="exact"/>
        <w:rPr>
          <w:sz w:val="20"/>
          <w:szCs w:val="20"/>
          <w:color w:val="auto"/>
        </w:rPr>
      </w:pPr>
    </w:p>
    <w:p>
      <w:pPr>
        <w:ind w:left="422" w:hanging="422"/>
        <w:spacing w:after="0"/>
        <w:tabs>
          <w:tab w:leader="none" w:pos="422" w:val="left"/>
        </w:tabs>
        <w:numPr>
          <w:ilvl w:val="0"/>
          <w:numId w:val="235"/>
        </w:numPr>
        <w:rPr>
          <w:rFonts w:ascii="Arial" w:cs="Arial" w:eastAsia="Arial" w:hAnsi="Arial"/>
          <w:sz w:val="15"/>
          <w:szCs w:val="15"/>
          <w:color w:val="auto"/>
        </w:rPr>
      </w:pPr>
      <w:r>
        <w:rPr>
          <w:rFonts w:ascii="Arial" w:cs="Arial" w:eastAsia="Arial" w:hAnsi="Arial"/>
          <w:sz w:val="17"/>
          <w:szCs w:val="17"/>
          <w:color w:val="auto"/>
        </w:rPr>
        <w:t>Enter the total number of shares of Common Stock for which the option was granted.</w:t>
      </w:r>
    </w:p>
    <w:p>
      <w:pPr>
        <w:spacing w:after="0" w:line="13" w:lineRule="exact"/>
        <w:rPr>
          <w:sz w:val="20"/>
          <w:szCs w:val="20"/>
          <w:color w:val="auto"/>
        </w:rPr>
      </w:pPr>
    </w:p>
    <w:p>
      <w:pPr>
        <w:ind w:left="422" w:hanging="422"/>
        <w:spacing w:after="0"/>
        <w:tabs>
          <w:tab w:leader="none" w:pos="422" w:val="left"/>
        </w:tabs>
        <w:numPr>
          <w:ilvl w:val="0"/>
          <w:numId w:val="236"/>
        </w:numPr>
        <w:rPr>
          <w:rFonts w:ascii="Arial" w:cs="Arial" w:eastAsia="Arial" w:hAnsi="Arial"/>
          <w:sz w:val="15"/>
          <w:szCs w:val="15"/>
          <w:color w:val="auto"/>
        </w:rPr>
      </w:pPr>
      <w:r>
        <w:rPr>
          <w:rFonts w:ascii="Arial" w:cs="Arial" w:eastAsia="Arial" w:hAnsi="Arial"/>
          <w:sz w:val="17"/>
          <w:szCs w:val="17"/>
          <w:color w:val="auto"/>
        </w:rPr>
        <w:t>Enter the option exercise price per share of Common Stock.</w:t>
      </w:r>
    </w:p>
    <w:p>
      <w:pPr>
        <w:spacing w:after="0" w:line="13" w:lineRule="exact"/>
        <w:rPr>
          <w:sz w:val="20"/>
          <w:szCs w:val="20"/>
          <w:color w:val="auto"/>
        </w:rPr>
      </w:pPr>
    </w:p>
    <w:p>
      <w:pPr>
        <w:ind w:left="422" w:hanging="422"/>
        <w:spacing w:after="0"/>
        <w:tabs>
          <w:tab w:leader="none" w:pos="422" w:val="left"/>
        </w:tabs>
        <w:numPr>
          <w:ilvl w:val="0"/>
          <w:numId w:val="237"/>
        </w:numPr>
        <w:rPr>
          <w:rFonts w:ascii="Arial" w:cs="Arial" w:eastAsia="Arial" w:hAnsi="Arial"/>
          <w:sz w:val="15"/>
          <w:szCs w:val="15"/>
          <w:color w:val="auto"/>
        </w:rPr>
      </w:pPr>
      <w:r>
        <w:rPr>
          <w:rFonts w:ascii="Arial" w:cs="Arial" w:eastAsia="Arial" w:hAnsi="Arial"/>
          <w:sz w:val="17"/>
          <w:szCs w:val="17"/>
          <w:color w:val="auto"/>
        </w:rPr>
        <w:t>Enter the number of shares of Common Stock to be purchased upon exercise of all or part of the option.</w:t>
      </w:r>
    </w:p>
    <w:p>
      <w:pPr>
        <w:spacing w:after="0" w:line="13" w:lineRule="exact"/>
        <w:rPr>
          <w:sz w:val="20"/>
          <w:szCs w:val="20"/>
          <w:color w:val="auto"/>
        </w:rPr>
      </w:pPr>
    </w:p>
    <w:p>
      <w:pPr>
        <w:ind w:left="422" w:hanging="422"/>
        <w:spacing w:after="0"/>
        <w:tabs>
          <w:tab w:leader="none" w:pos="422" w:val="left"/>
        </w:tabs>
        <w:numPr>
          <w:ilvl w:val="0"/>
          <w:numId w:val="238"/>
        </w:numPr>
        <w:rPr>
          <w:rFonts w:ascii="Arial" w:cs="Arial" w:eastAsia="Arial" w:hAnsi="Arial"/>
          <w:sz w:val="15"/>
          <w:szCs w:val="15"/>
          <w:color w:val="auto"/>
        </w:rPr>
      </w:pPr>
      <w:r>
        <w:rPr>
          <w:rFonts w:ascii="Arial" w:cs="Arial" w:eastAsia="Arial" w:hAnsi="Arial"/>
          <w:sz w:val="17"/>
          <w:szCs w:val="17"/>
          <w:color w:val="auto"/>
        </w:rPr>
        <w:t>Enter “cash”, “personal check” or if permitted by the option or Plan, “stock certificates No. XXXX and =DC”.</w:t>
      </w:r>
    </w:p>
    <w:p>
      <w:pPr>
        <w:spacing w:after="0" w:line="13" w:lineRule="exact"/>
        <w:rPr>
          <w:sz w:val="20"/>
          <w:szCs w:val="20"/>
          <w:color w:val="auto"/>
        </w:rPr>
      </w:pPr>
    </w:p>
    <w:p>
      <w:pPr>
        <w:ind w:left="422" w:right="460" w:hanging="422"/>
        <w:spacing w:after="0" w:line="256" w:lineRule="auto"/>
        <w:tabs>
          <w:tab w:leader="none" w:pos="422" w:val="left"/>
        </w:tabs>
        <w:numPr>
          <w:ilvl w:val="0"/>
          <w:numId w:val="239"/>
        </w:numPr>
        <w:rPr>
          <w:rFonts w:ascii="Arial" w:cs="Arial" w:eastAsia="Arial" w:hAnsi="Arial"/>
          <w:sz w:val="15"/>
          <w:szCs w:val="15"/>
          <w:color w:val="auto"/>
        </w:rPr>
      </w:pPr>
      <w:r>
        <w:rPr>
          <w:rFonts w:ascii="Arial" w:cs="Arial" w:eastAsia="Arial" w:hAnsi="Arial"/>
          <w:sz w:val="17"/>
          <w:szCs w:val="17"/>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1" w:lineRule="exact"/>
        <w:rPr>
          <w:sz w:val="20"/>
          <w:szCs w:val="20"/>
          <w:color w:val="auto"/>
        </w:rPr>
      </w:pPr>
    </w:p>
    <w:p>
      <w:pPr>
        <w:ind w:left="422" w:right="140" w:hanging="422"/>
        <w:spacing w:after="0" w:line="256" w:lineRule="auto"/>
        <w:tabs>
          <w:tab w:leader="none" w:pos="422" w:val="left"/>
        </w:tabs>
        <w:numPr>
          <w:ilvl w:val="0"/>
          <w:numId w:val="240"/>
        </w:numPr>
        <w:rPr>
          <w:rFonts w:ascii="Arial" w:cs="Arial" w:eastAsia="Arial" w:hAnsi="Arial"/>
          <w:sz w:val="15"/>
          <w:szCs w:val="15"/>
          <w:color w:val="auto"/>
        </w:rPr>
      </w:pPr>
      <w:r>
        <w:rPr>
          <w:rFonts w:ascii="Arial" w:cs="Arial" w:eastAsia="Arial" w:hAnsi="Arial"/>
          <w:sz w:val="17"/>
          <w:szCs w:val="17"/>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 Tommy Doe). Note: There may be income and/or gift tax consequences of registering shares in a Child’s name.</w:t>
      </w:r>
    </w:p>
    <w:p>
      <w:pPr>
        <w:spacing w:after="0" w:line="1" w:lineRule="exact"/>
        <w:rPr>
          <w:sz w:val="20"/>
          <w:szCs w:val="20"/>
          <w:color w:val="auto"/>
        </w:rPr>
      </w:pPr>
    </w:p>
    <w:p>
      <w:pPr>
        <w:ind w:left="422" w:hanging="422"/>
        <w:spacing w:after="0"/>
        <w:tabs>
          <w:tab w:leader="none" w:pos="422" w:val="left"/>
        </w:tabs>
        <w:numPr>
          <w:ilvl w:val="0"/>
          <w:numId w:val="241"/>
        </w:numPr>
        <w:rPr>
          <w:rFonts w:ascii="Arial" w:cs="Arial" w:eastAsia="Arial" w:hAnsi="Arial"/>
          <w:sz w:val="15"/>
          <w:szCs w:val="15"/>
          <w:color w:val="auto"/>
        </w:rPr>
      </w:pPr>
      <w:r>
        <w:rPr>
          <w:rFonts w:ascii="Arial" w:cs="Arial" w:eastAsia="Arial" w:hAnsi="Arial"/>
          <w:sz w:val="17"/>
          <w:szCs w:val="17"/>
          <w:color w:val="auto"/>
        </w:rPr>
        <w:t>Social Security Number of Holder(s).</w:t>
      </w:r>
    </w:p>
    <w:p>
      <w:pPr>
        <w:sectPr>
          <w:pgSz w:w="11900" w:h="16838" w:orient="portrait"/>
          <w:cols w:equalWidth="0" w:num="1">
            <w:col w:w="10662"/>
          </w:cols>
          <w:pgMar w:left="618" w:top="265" w:right="619" w:bottom="1440" w:gutter="0" w:footer="0" w:header="0"/>
        </w:sectPr>
      </w:pPr>
    </w:p>
    <w:bookmarkStart w:id="294" w:name="page295"/>
    <w:bookmarkEnd w:id="294"/>
    <w:p>
      <w:pPr>
        <w:ind w:left="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represent, warrant and covenant as follows:</w:t>
      </w:r>
    </w:p>
    <w:p>
      <w:pPr>
        <w:spacing w:after="0" w:line="118" w:lineRule="exact"/>
        <w:rPr>
          <w:sz w:val="20"/>
          <w:szCs w:val="20"/>
          <w:color w:val="auto"/>
        </w:rPr>
      </w:pPr>
    </w:p>
    <w:p>
      <w:pPr>
        <w:ind w:left="2" w:right="320" w:hanging="2"/>
        <w:spacing w:after="0" w:line="320" w:lineRule="auto"/>
        <w:tabs>
          <w:tab w:leader="none" w:pos="17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35" w:lineRule="exact"/>
        <w:rPr>
          <w:rFonts w:ascii="Arial" w:cs="Arial" w:eastAsia="Arial" w:hAnsi="Arial"/>
          <w:sz w:val="16"/>
          <w:szCs w:val="16"/>
          <w:color w:val="auto"/>
        </w:rPr>
      </w:pPr>
    </w:p>
    <w:p>
      <w:pPr>
        <w:ind w:left="2" w:right="60" w:hanging="2"/>
        <w:spacing w:after="0" w:line="287" w:lineRule="auto"/>
        <w:tabs>
          <w:tab w:leader="none" w:pos="17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 have had such opportunity as I have deemed adequate to obtain from representatives of the Company such information as is necessary to permit me to evaluate the merits and risks of my investment in the Company.</w:t>
      </w:r>
    </w:p>
    <w:p>
      <w:pPr>
        <w:spacing w:after="0" w:line="159" w:lineRule="exact"/>
        <w:rPr>
          <w:rFonts w:ascii="Arial" w:cs="Arial" w:eastAsia="Arial" w:hAnsi="Arial"/>
          <w:sz w:val="17"/>
          <w:szCs w:val="17"/>
          <w:color w:val="auto"/>
        </w:rPr>
      </w:pPr>
    </w:p>
    <w:p>
      <w:pPr>
        <w:ind w:left="2" w:right="20" w:hanging="2"/>
        <w:spacing w:after="0" w:line="287" w:lineRule="auto"/>
        <w:tabs>
          <w:tab w:leader="none" w:pos="17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59" w:lineRule="exact"/>
        <w:rPr>
          <w:rFonts w:ascii="Arial" w:cs="Arial" w:eastAsia="Arial" w:hAnsi="Arial"/>
          <w:sz w:val="17"/>
          <w:szCs w:val="17"/>
          <w:color w:val="auto"/>
        </w:rPr>
      </w:pPr>
    </w:p>
    <w:p>
      <w:pPr>
        <w:ind w:left="182" w:hanging="182"/>
        <w:spacing w:after="0"/>
        <w:tabs>
          <w:tab w:leader="none" w:pos="18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 period.</w:t>
      </w:r>
    </w:p>
    <w:p>
      <w:pPr>
        <w:spacing w:after="0" w:line="233" w:lineRule="exact"/>
        <w:rPr>
          <w:rFonts w:ascii="Arial" w:cs="Arial" w:eastAsia="Arial" w:hAnsi="Arial"/>
          <w:sz w:val="16"/>
          <w:szCs w:val="16"/>
          <w:color w:val="auto"/>
        </w:rPr>
      </w:pPr>
    </w:p>
    <w:p>
      <w:pPr>
        <w:ind w:left="2" w:hanging="2"/>
        <w:spacing w:after="0" w:line="261" w:lineRule="auto"/>
        <w:tabs>
          <w:tab w:leader="none" w:pos="17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323215</wp:posOffset>
            </wp:positionV>
            <wp:extent cx="27019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0602"/>
          </w:cols>
          <w:pgMar w:left="618" w:top="271" w:right="679"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b w:val="1"/>
          <w:bCs w:val="1"/>
          <w:color w:val="auto"/>
        </w:rPr>
        <w:t>Exhibit 10.7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Keros Therapeutics,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December 14, 2015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Jasbir S. Seehra, Ph.D.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Dear Jasbir:</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It is my pleasure to confirm the offer to you for the position of CEO at Keros Therapeutics, Inc. (the “Company”), beginning on December 15, 2015 (the “Commencement Date”).</w:t>
      </w:r>
    </w:p>
    <w:p>
      <w:pPr>
        <w:spacing w:after="0" w:line="159"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This letter and accompanying enclosures will summarize important details about your employment. Also, enclosed is information about our current benefits which are provided to the employees at Company.</w:t>
      </w:r>
    </w:p>
    <w:p>
      <w:pPr>
        <w:spacing w:after="0" w:line="153" w:lineRule="exact"/>
        <w:rPr>
          <w:sz w:val="20"/>
          <w:szCs w:val="20"/>
          <w:color w:val="auto"/>
        </w:rPr>
      </w:pPr>
    </w:p>
    <w:p>
      <w:pPr>
        <w:jc w:val="both"/>
        <w:ind w:right="320"/>
        <w:spacing w:after="0" w:line="366" w:lineRule="auto"/>
        <w:rPr>
          <w:sz w:val="20"/>
          <w:szCs w:val="20"/>
          <w:color w:val="auto"/>
        </w:rPr>
      </w:pPr>
      <w:r>
        <w:rPr>
          <w:rFonts w:ascii="Arial" w:cs="Arial" w:eastAsia="Arial" w:hAnsi="Arial"/>
          <w:sz w:val="15"/>
          <w:szCs w:val="15"/>
          <w:b w:val="1"/>
          <w:bCs w:val="1"/>
          <w:u w:val="single" w:color="auto"/>
          <w:color w:val="auto"/>
        </w:rPr>
        <w:t>Compensation</w:t>
      </w:r>
      <w:r>
        <w:rPr>
          <w:rFonts w:ascii="Arial" w:cs="Arial" w:eastAsia="Arial" w:hAnsi="Arial"/>
          <w:sz w:val="15"/>
          <w:szCs w:val="15"/>
          <w:color w:val="auto"/>
        </w:rPr>
        <w:t>: Your salary will be four hundred and ten thousand US Dollars 410,000 per year and will be payable in 24 bimonthly installments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the Company’s standard payroll practices and procedures, and which will be subject to all applicable tax reporting and withholding.</w:t>
      </w:r>
    </w:p>
    <w:p>
      <w:pPr>
        <w:spacing w:after="0" w:line="10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u w:val="single" w:color="auto"/>
          <w:color w:val="auto"/>
        </w:rPr>
        <w:t>Additional Benefits</w:t>
      </w:r>
      <w:r>
        <w:rPr>
          <w:rFonts w:ascii="Arial" w:cs="Arial" w:eastAsia="Arial" w:hAnsi="Arial"/>
          <w:sz w:val="16"/>
          <w:szCs w:val="16"/>
          <w:color w:val="auto"/>
        </w:rPr>
        <w:t>: You will also be entitled to vision, health and dental insurance, at rates which shall be agreed with you upon the commencement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employment. You will also be eligible for enrollment in the 401k Plan which will be reviewed with you when you begin your employment. In the event that the Company does not have such vision, health, dental or 401K plans in place during your first month of employment, the Company will reimburse you for 100% of the cost of COBRA insurance coverage, as well as for costs of dental treatments otherwise covered by your current dental plan. You will use reasonable efforts to minimize such dental treatment costs during the first month of employment.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Vacation Time</w:t>
      </w:r>
      <w:r>
        <w:rPr>
          <w:rFonts w:ascii="Arial" w:cs="Arial" w:eastAsia="Arial" w:hAnsi="Arial"/>
          <w:sz w:val="17"/>
          <w:szCs w:val="17"/>
          <w:color w:val="auto"/>
        </w:rPr>
        <w:t>: You will be entitled to 4 weeks annual vacation plus all statutory US holidays.</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u w:val="single" w:color="auto"/>
          <w:color w:val="auto"/>
        </w:rPr>
        <w:t>Term of Employment</w:t>
      </w:r>
      <w:r>
        <w:rPr>
          <w:rFonts w:ascii="Arial" w:cs="Arial" w:eastAsia="Arial" w:hAnsi="Arial"/>
          <w:sz w:val="17"/>
          <w:szCs w:val="17"/>
          <w:color w:val="auto"/>
        </w:rPr>
        <w:t>: It is important for you to understand that you will be an employee “at will”. This means that you will have the right to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your employment relationship with Company at any time for any reason. Similarly, Company will have the right to terminate its employment relationship with you at any time for any reason. Termination for convenience by either party will be subject to 30 days prior notice. This letter should not be construed as a guarantee of any particularly compensation, benefits or other terms or conditions of employment for any particular period of time. Your employment and this letter will be governed by the laws of Massachusetts, USA. Any modification or change in your at will employment status may only occur by way of a written amendment signed by you and the Company.</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u w:val="single" w:color="auto"/>
          <w:color w:val="auto"/>
        </w:rPr>
        <w:t>Company Agreement and Employment Eligibility</w:t>
      </w:r>
      <w:r>
        <w:rPr>
          <w:rFonts w:ascii="Arial" w:cs="Arial" w:eastAsia="Arial" w:hAnsi="Arial"/>
          <w:sz w:val="16"/>
          <w:szCs w:val="16"/>
          <w:color w:val="auto"/>
        </w:rPr>
        <w:t>: The offer of employment is contingent upon your signing Company’s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Non-Competition, Non-Solicitation, Confidentiality and Assignment Agreement (“Non-compete Agreement”) and 1-9 Employment Verification Form. The former is enclosed with this letter, and the latter will be furnished to you on your first date of employment. You will be required to submit documentation that establishes identity and employment eligibility in accordance with the US Immigration and Naturalization requirements.</w:t>
      </w:r>
    </w:p>
    <w:p>
      <w:pPr>
        <w:spacing w:after="0" w:line="15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 addition, by signing below, you represent that you are not bound by any employment contract, restrictive covenant or other restriction preventing or limiting you from entering into employment with or carrying out your responsibilities for the Company, or which is in any way inconsistent with the terms of this letter. You also agree that you will not disclose to anyone at the Company, or use in the course of your employment at the Company, any confidential information or trade secrets belonging to any former employer or to any other entity.</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You may indicate your acceptance of this offer and the Non-Compete Agreement by signing on the appropriate space and returning signed copies to my attention at the Company by December 15, 2015.</w:t>
      </w:r>
    </w:p>
    <w:p>
      <w:pPr>
        <w:sectPr>
          <w:pgSz w:w="11900" w:h="16838" w:orient="portrait"/>
          <w:cols w:equalWidth="0" w:num="1">
            <w:col w:w="10660"/>
          </w:cols>
          <w:pgMar w:left="620" w:top="121" w:right="619" w:bottom="1440" w:gutter="0" w:footer="0" w:header="0"/>
        </w:sectPr>
      </w:pPr>
    </w:p>
    <w:bookmarkStart w:id="296" w:name="page297"/>
    <w:bookmarkEnd w:id="296"/>
    <w:p>
      <w:pPr>
        <w:ind w:left="4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Keros Therapeutics, Inc</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We are excited about the opportunity of working with you. Please contact me if you have any questions or need more information.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Sincerely,</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20" w:type="dxa"/>
            <w:vAlign w:val="bottom"/>
          </w:tcPr>
          <w:p>
            <w:pPr>
              <w:spacing w:after="0"/>
              <w:rPr>
                <w:sz w:val="20"/>
                <w:szCs w:val="20"/>
                <w:color w:val="auto"/>
              </w:rPr>
            </w:pPr>
            <w:r>
              <w:rPr>
                <w:rFonts w:ascii="Arial" w:cs="Arial" w:eastAsia="Arial" w:hAnsi="Arial"/>
                <w:sz w:val="17"/>
                <w:szCs w:val="17"/>
                <w:color w:val="auto"/>
              </w:rPr>
              <w:t>I accept the above terms of employment as stated:</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20" w:type="dxa"/>
            <w:vAlign w:val="bottom"/>
          </w:tcPr>
          <w:p>
            <w:pPr>
              <w:spacing w:after="0"/>
              <w:rPr>
                <w:sz w:val="20"/>
                <w:szCs w:val="20"/>
                <w:color w:val="auto"/>
              </w:rPr>
            </w:pPr>
            <w:r>
              <w:rPr>
                <w:rFonts w:ascii="Arial" w:cs="Arial" w:eastAsia="Arial" w:hAnsi="Arial"/>
                <w:sz w:val="17"/>
                <w:szCs w:val="17"/>
                <w:color w:val="auto"/>
              </w:rPr>
              <w:t>/s/ Jasbir S. Seehra</w:t>
            </w:r>
          </w:p>
        </w:tc>
        <w:tc>
          <w:tcPr>
            <w:tcW w:w="1780" w:type="dxa"/>
            <w:vAlign w:val="bottom"/>
            <w:gridSpan w:val="2"/>
          </w:tcPr>
          <w:p>
            <w:pPr>
              <w:ind w:left="640"/>
              <w:spacing w:after="0"/>
              <w:rPr>
                <w:sz w:val="20"/>
                <w:szCs w:val="20"/>
                <w:color w:val="auto"/>
              </w:rPr>
            </w:pPr>
            <w:r>
              <w:rPr>
                <w:rFonts w:ascii="Arial" w:cs="Arial" w:eastAsia="Arial" w:hAnsi="Arial"/>
                <w:sz w:val="17"/>
                <w:szCs w:val="17"/>
                <w:color w:val="auto"/>
              </w:rPr>
              <w:t>12/15/2015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line="20" w:lineRule="exact"/>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Jasbir S. Seehra, Ph.</w:t>
            </w:r>
          </w:p>
        </w:tc>
        <w:tc>
          <w:tcPr>
            <w:tcW w:w="6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Enclosures:</w:t>
      </w:r>
    </w:p>
    <w:p>
      <w:pPr>
        <w:spacing w:after="0" w:line="131" w:lineRule="exact"/>
        <w:rPr>
          <w:sz w:val="20"/>
          <w:szCs w:val="20"/>
          <w:color w:val="auto"/>
        </w:rPr>
      </w:pPr>
    </w:p>
    <w:p>
      <w:pPr>
        <w:ind w:left="940" w:hanging="420"/>
        <w:spacing w:after="0"/>
        <w:tabs>
          <w:tab w:leader="none" w:pos="9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Non-Competition, Non-Solicitation, Confidentiality and Assignment</w:t>
      </w:r>
    </w:p>
    <w:p>
      <w:pPr>
        <w:spacing w:after="0" w:line="130" w:lineRule="exact"/>
        <w:rPr>
          <w:rFonts w:ascii="Arial" w:cs="Arial" w:eastAsia="Arial" w:hAnsi="Arial"/>
          <w:sz w:val="17"/>
          <w:szCs w:val="17"/>
          <w:color w:val="auto"/>
        </w:rPr>
      </w:pPr>
    </w:p>
    <w:p>
      <w:pPr>
        <w:ind w:left="940" w:hanging="420"/>
        <w:spacing w:after="0"/>
        <w:tabs>
          <w:tab w:leader="none" w:pos="9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1-9 Employment Verification Form</w:t>
      </w:r>
    </w:p>
    <w:p>
      <w:pPr>
        <w:sectPr>
          <w:pgSz w:w="11900" w:h="16838" w:orient="portrait"/>
          <w:cols w:equalWidth="0" w:num="1">
            <w:col w:w="9839"/>
          </w:cols>
          <w:pgMar w:left="620" w:top="270" w:right="1440"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b w:val="1"/>
          <w:bCs w:val="1"/>
          <w:color w:val="auto"/>
        </w:rPr>
        <w:t>Exhibit 10.8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KEROS THERAPEUTICS, INC</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April 20, 2016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Jennifer L. Lachey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u w:val="single" w:color="auto"/>
          <w:color w:val="auto"/>
        </w:rPr>
        <w:t>Employment by Keros Therapeutics,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Jenn:</w:t>
      </w:r>
    </w:p>
    <w:p>
      <w:pPr>
        <w:spacing w:after="0" w:line="118"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Keros Therapeutics, Inc. (the “Company”) is pleased to confirm its offer to employ you as VP, Biology and Pharmacology, reporting to the CEO, Jasbir Seehra. Your effective date of hire as a regular, full-time employee (the “Start Date”) will be May 9, 2016.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Your compensation for this position will be at the rate of $230,000 per year payable bi-weekly in accordance with the Company’s normal pay schedule.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payments are subject to legally required tax withholdings.</w:t>
      </w:r>
    </w:p>
    <w:p>
      <w:pPr>
        <w:spacing w:after="0" w:line="21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Subject to the approval of the Board of Directors of the Company (the “Board”), in connection with the commencement of your employment, the Board will grant you an option to purchase 150,000 shares of the Company’s common stock (the “Option”). The Option will be granted following the commencement of your employment. The exercise price of the Option will be determined by the BOD at the next meeting following your employment. The Option will be subject to the terms and conditions of the Company’s then-current stock option plan and form of stock option agreement. These options will vest as follows: one quarter of the shares (37,500) will vest on the first anniversary of the Start Date, and following that, 1/16</w:t>
      </w:r>
      <w:r>
        <w:rPr>
          <w:rFonts w:ascii="Arial" w:cs="Arial" w:eastAsia="Arial" w:hAnsi="Arial"/>
          <w:sz w:val="13"/>
          <w:szCs w:val="13"/>
          <w:color w:val="auto"/>
        </w:rPr>
        <w:t>th</w:t>
      </w:r>
      <w:r>
        <w:rPr>
          <w:rFonts w:ascii="Arial" w:cs="Arial" w:eastAsia="Arial" w:hAnsi="Arial"/>
          <w:sz w:val="16"/>
          <w:szCs w:val="16"/>
          <w:color w:val="auto"/>
        </w:rPr>
        <w:t xml:space="preserve"> of the shares (9,375) will vest on a quarterly basis, in arrears. Vesting is contingent on your continued full-time employment with the Company.</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You will be eligible to participate in the Company’s Medical and Dental Insurance Programs 401(k) Plan. You will accrue 15 paid vacation days each year for the first 5 years of service, 3 Personal days and receive 12 paid holidays annually in accordance with the company holiday schedule (remainder of 2016 schedule attached).</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w:t>
      </w:r>
    </w:p>
    <w:p>
      <w:pPr>
        <w:sectPr>
          <w:pgSz w:w="11900" w:h="16838" w:orient="portrait"/>
          <w:cols w:equalWidth="0" w:num="1">
            <w:col w:w="10660"/>
          </w:cols>
          <w:pgMar w:left="620" w:top="121" w:right="619" w:bottom="1440" w:gutter="0" w:footer="0" w:header="0"/>
        </w:sectPr>
      </w:pPr>
    </w:p>
    <w:bookmarkStart w:id="298" w:name="page299"/>
    <w:bookmarkEnd w:id="298"/>
    <w:p>
      <w:pPr>
        <w:ind w:right="6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Enclosed for your review is a “Non-Solicitation, Confidentiality and Assignment Agreement” (the “Agreement”). This offer of employment is conditioned on your willingness to sign and abide by the terms of the Agreement.</w:t>
      </w:r>
    </w:p>
    <w:p>
      <w:pPr>
        <w:spacing w:after="0" w:line="159"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36"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1-9 which will be provided to you before the Start Date. Please bring the appropriate documents listed on that form with you when you report for work. We will not be able to employ you if you fail to comply with this requirement.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This letter agreement and the Agreement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this offer by signing and returning the enclosed copy of this letter no later than Tuesday April 26, 2016.</w:t>
      </w:r>
    </w:p>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You may sign, scan, and email the letter to seehrajgverizon.net. We look forward to your joining the Company and are pleased that you will be working with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Jasbir S. Seehra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Jasbir S. Seehra, Ph.D.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Keros Therapeutics,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48"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/s/ Jennifer L. Lachey</w:t>
      </w:r>
      <w:r>
        <w:rPr>
          <w:sz w:val="20"/>
          <w:szCs w:val="20"/>
          <w:color w:val="auto"/>
        </w:rPr>
        <w:tab/>
      </w:r>
      <w:r>
        <w:rPr>
          <w:rFonts w:ascii="Arial" w:cs="Arial" w:eastAsia="Arial" w:hAnsi="Arial"/>
          <w:sz w:val="16"/>
          <w:szCs w:val="16"/>
          <w:color w:val="auto"/>
        </w:rPr>
        <w:t>22 Apr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7019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Jennifer L. Lachey, Ph.D.</w:t>
      </w:r>
    </w:p>
    <w:p>
      <w:pPr>
        <w:sectPr>
          <w:pgSz w:w="11900" w:h="16838" w:orient="portrait"/>
          <w:cols w:equalWidth="0" w:num="1">
            <w:col w:w="10580"/>
          </w:cols>
          <w:pgMar w:left="620" w:top="271" w:right="699" w:bottom="1440" w:gutter="0" w:footer="0" w:header="0"/>
        </w:sectPr>
      </w:pPr>
    </w:p>
    <w:bookmarkStart w:id="299" w:name="page300"/>
    <w:bookmarkEnd w:id="299"/>
    <w:p>
      <w:pPr>
        <w:jc w:val="right"/>
        <w:spacing w:after="0"/>
        <w:rPr>
          <w:sz w:val="20"/>
          <w:szCs w:val="20"/>
          <w:color w:val="auto"/>
        </w:rPr>
      </w:pPr>
      <w:r>
        <w:rPr>
          <w:rFonts w:ascii="Arial" w:cs="Arial" w:eastAsia="Arial" w:hAnsi="Arial"/>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169545</wp:posOffset>
            </wp:positionV>
            <wp:extent cx="1633220" cy="7626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63322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August 20, 2019</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Employment by Keros Therapeutics,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Claudia:</w:t>
      </w:r>
    </w:p>
    <w:p>
      <w:pPr>
        <w:spacing w:after="0" w:line="118" w:lineRule="exact"/>
        <w:rPr>
          <w:sz w:val="20"/>
          <w:szCs w:val="20"/>
          <w:color w:val="auto"/>
        </w:rPr>
      </w:pPr>
    </w:p>
    <w:p>
      <w:pPr>
        <w:ind w:right="200"/>
        <w:spacing w:after="0" w:line="320" w:lineRule="auto"/>
        <w:rPr>
          <w:sz w:val="20"/>
          <w:szCs w:val="20"/>
          <w:color w:val="auto"/>
        </w:rPr>
      </w:pPr>
      <w:r>
        <w:rPr>
          <w:rFonts w:ascii="Arial" w:cs="Arial" w:eastAsia="Arial" w:hAnsi="Arial"/>
          <w:sz w:val="16"/>
          <w:szCs w:val="16"/>
          <w:color w:val="auto"/>
        </w:rPr>
        <w:t>Keros Therapeutics, Inc. (the “Company”) is pleased to confirm its offer to employ you as a Chief Medical Officer (CMO), reporting to Jasbir Seehra, Chief Executive Officer (CEO). Your effective date of hire as a regular, full-time employee (the “Start Date”) will be September 16, 2019.</w:t>
      </w:r>
    </w:p>
    <w:p>
      <w:pPr>
        <w:spacing w:after="0" w:line="13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Your base salary will be at the rate of $15,208.33 per, SEMI-MONTHLY, per pay period (which equates to an annualized rate of $365,000.00), subject to tax and other withholdings as required by law. Such base salary may be adjusted from time to time in accordance with normal business practice and in the sole discretion of the Company.</w:t>
      </w:r>
    </w:p>
    <w:p>
      <w:pPr>
        <w:spacing w:after="0" w:line="17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You will also be paid a $30,000 signing bonus in the pay cycle following commencement of your employment. By your acceptance of this offer of employment, you agree to repay to the Company the amount of any signing bonus received by you if you voluntarily terminate your employment prior to the 2nd anniversary of the first day of your employment by the Company. Any amount which becomes repayable by you by virtue of this provision will be repayable in full, without any pro rate deduction for days spent by you in the Company’s employment.</w:t>
      </w:r>
    </w:p>
    <w:p>
      <w:pPr>
        <w:spacing w:after="0" w:line="17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addition, you will be eligible to be considered for an incentive bonus for each fiscal year of the Company. The bonus (if any) will be awarded based on objective or subjective criteria established by the Company’s Chief Executive Officer and approved by the Company’s Board of Directors. Your target bonus will be equal to 30% of your annual base salary. Any bonus for the fiscal year in which your employment begins will be prorated, based on the number of days you are employed by the Company during that fiscal year. Any bonus for a fiscal year will be paid within 2 months after the close of that fiscal year, but only if you are still employed by the Company at the time of payment. The determinations of the Company’s Board of Directors with respect to your bonus will be final and binding.</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connection with the commencement of your employment, the Company will recommend that the Board of Directors grant you a stock option (the “Option”) to purchase 224,000 shares of the Company’s Common Stock with an exercise price equal to the fair market value on the date of the grant. The Option will be subject to the terms and conditions of the Company’s then-current stock option plan and form of stock option agreement. These options will vest as follows: one quarter of the shares (56,000) will vest on the first anniversary of the Start Date, and following that, 1/16</w:t>
      </w:r>
      <w:r>
        <w:rPr>
          <w:rFonts w:ascii="Arial" w:cs="Arial" w:eastAsia="Arial" w:hAnsi="Arial"/>
          <w:sz w:val="13"/>
          <w:szCs w:val="13"/>
          <w:color w:val="auto"/>
        </w:rPr>
        <w:t>th</w:t>
      </w:r>
      <w:r>
        <w:rPr>
          <w:rFonts w:ascii="Arial" w:cs="Arial" w:eastAsia="Arial" w:hAnsi="Arial"/>
          <w:sz w:val="16"/>
          <w:szCs w:val="16"/>
          <w:color w:val="auto"/>
        </w:rPr>
        <w:t xml:space="preserve"> of the shares will vest on a quarterly basis, in arrears. Vesting is contingent on your continued employment with the Company.</w:t>
      </w:r>
    </w:p>
    <w:p>
      <w:pPr>
        <w:sectPr>
          <w:pgSz w:w="11900" w:h="16838" w:orient="portrait"/>
          <w:cols w:equalWidth="0" w:num="1">
            <w:col w:w="10660"/>
          </w:cols>
          <w:pgMar w:left="620" w:top="121" w:right="619" w:bottom="1440" w:gutter="0" w:footer="0" w:header="0"/>
        </w:sectPr>
      </w:pPr>
    </w:p>
    <w:bookmarkStart w:id="300" w:name="page301"/>
    <w:bookmarkEnd w:id="300"/>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You will be eligible to participate in the Company’s Medical and Dental Insurance Programs, including having the option to contribute into a Flexible Spending Account. Keros Therapeutics will also reimburse the first 50% of the Medical Plan deductible. In addition, you will be eligible to participate in the Keros 401(k) Plan. You will accrue 15 paid vacation days each year, 3 personal days and receive 12 paid holidays annually in accordance with the company holiday schedule.</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w:t>
      </w:r>
    </w:p>
    <w:p>
      <w:pPr>
        <w:spacing w:after="0" w:line="171" w:lineRule="exact"/>
        <w:rPr>
          <w:sz w:val="20"/>
          <w:szCs w:val="20"/>
          <w:color w:val="auto"/>
        </w:rPr>
      </w:pPr>
    </w:p>
    <w:p>
      <w:pPr>
        <w:ind w:right="700"/>
        <w:spacing w:after="0" w:line="287" w:lineRule="auto"/>
        <w:rPr>
          <w:sz w:val="20"/>
          <w:szCs w:val="20"/>
          <w:color w:val="auto"/>
        </w:rPr>
      </w:pPr>
      <w:r>
        <w:rPr>
          <w:rFonts w:ascii="Arial" w:cs="Arial" w:eastAsia="Arial" w:hAnsi="Arial"/>
          <w:sz w:val="17"/>
          <w:szCs w:val="17"/>
          <w:color w:val="auto"/>
        </w:rPr>
        <w:t>Enclosed for your review is your Invention Assignment, Non-Disclosure, and Business Protection Agreement (the “Agreement”). This offer of employment is conditioned on your willingness to sign and abide by the terms of the Agreement.</w:t>
      </w:r>
    </w:p>
    <w:p>
      <w:pPr>
        <w:spacing w:after="0" w:line="159" w:lineRule="exact"/>
        <w:rPr>
          <w:sz w:val="20"/>
          <w:szCs w:val="20"/>
          <w:color w:val="auto"/>
        </w:rPr>
      </w:pPr>
    </w:p>
    <w:p>
      <w:pPr>
        <w:ind w:right="240"/>
        <w:spacing w:after="0" w:line="320" w:lineRule="auto"/>
        <w:rPr>
          <w:sz w:val="20"/>
          <w:szCs w:val="20"/>
          <w:color w:val="auto"/>
        </w:rPr>
      </w:pPr>
      <w:r>
        <w:rPr>
          <w:rFonts w:ascii="Arial" w:cs="Arial" w:eastAsia="Arial" w:hAnsi="Arial"/>
          <w:sz w:val="16"/>
          <w:szCs w:val="16"/>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36"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This letter agreement and the Agreement referenced above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although your job duties, title, reporting relationship, compensation and benefits may change from time to time, at the Company’s option.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this offer by signing and returning the enclosed copy of this letter no later than August 23</w:t>
      </w:r>
      <w:r>
        <w:rPr>
          <w:rFonts w:ascii="Arial" w:cs="Arial" w:eastAsia="Arial" w:hAnsi="Arial"/>
          <w:sz w:val="14"/>
          <w:szCs w:val="14"/>
          <w:color w:val="auto"/>
        </w:rPr>
        <w:t>rd</w:t>
      </w:r>
      <w:r>
        <w:rPr>
          <w:rFonts w:ascii="Arial" w:cs="Arial" w:eastAsia="Arial" w:hAnsi="Arial"/>
          <w:sz w:val="17"/>
          <w:szCs w:val="17"/>
          <w:color w:val="auto"/>
        </w:rPr>
        <w:t>, 2019.</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You may sign, scan, and email the letter to annita@kerostx.com. We look forward to your joining the Company and are pleased that you will be working with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Jasbir S.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7019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Jasbir S. Seehra, Ph.D.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Keros Therapeutics,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Claudia Ordonez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7019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Claudia Ordonez, M.D.</w:t>
      </w:r>
    </w:p>
    <w:p>
      <w:pPr>
        <w:sectPr>
          <w:pgSz w:w="11900" w:h="16838" w:orient="portrait"/>
          <w:cols w:equalWidth="0" w:num="1">
            <w:col w:w="10640"/>
          </w:cols>
          <w:pgMar w:left="620" w:top="270" w:right="639" w:bottom="1440" w:gutter="0" w:footer="0" w:header="0"/>
        </w:sectPr>
      </w:pPr>
    </w:p>
    <w:bookmarkStart w:id="301" w:name="page302"/>
    <w:bookmarkEnd w:id="301"/>
    <w:p>
      <w:pPr>
        <w:ind w:left="9660"/>
        <w:spacing w:after="0"/>
        <w:rPr>
          <w:sz w:val="20"/>
          <w:szCs w:val="20"/>
          <w:color w:val="auto"/>
        </w:rPr>
      </w:pPr>
      <w:r>
        <w:rPr>
          <w:rFonts w:ascii="Arial" w:cs="Arial" w:eastAsia="Arial" w:hAnsi="Arial"/>
          <w:sz w:val="16"/>
          <w:szCs w:val="16"/>
          <w:b w:val="1"/>
          <w:bCs w:val="1"/>
          <w:color w:val="auto"/>
        </w:rPr>
        <w:t>Exhibit 10.10</w:t>
      </w:r>
    </w:p>
    <w:p>
      <w:pPr>
        <w:spacing w:after="0" w:line="234"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OSPITAL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ORPORATION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EXCLUSIVE PATENT LICENSE AGREEMENT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MGH Agreement No: [***]</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MGH Case Nos: [***]</w:t>
      </w:r>
    </w:p>
    <w:p>
      <w:pPr>
        <w:spacing w:after="0" w:line="204" w:lineRule="exact"/>
        <w:rPr>
          <w:sz w:val="20"/>
          <w:szCs w:val="20"/>
          <w:color w:val="auto"/>
        </w:rPr>
      </w:pPr>
    </w:p>
    <w:p>
      <w:pPr>
        <w:ind w:right="120" w:firstLine="426"/>
        <w:spacing w:after="0" w:line="291" w:lineRule="auto"/>
        <w:rPr>
          <w:sz w:val="20"/>
          <w:szCs w:val="20"/>
          <w:color w:val="auto"/>
        </w:rPr>
      </w:pPr>
      <w:r>
        <w:rPr>
          <w:rFonts w:ascii="Arial" w:cs="Arial" w:eastAsia="Arial" w:hAnsi="Arial"/>
          <w:sz w:val="16"/>
          <w:szCs w:val="16"/>
          <w:color w:val="auto"/>
        </w:rPr>
        <w:t xml:space="preserve">This License Agreement (“Agreement”) is made as of the </w:t>
      </w:r>
      <w:r>
        <w:rPr>
          <w:rFonts w:ascii="Arial" w:cs="Arial" w:eastAsia="Arial" w:hAnsi="Arial"/>
          <w:sz w:val="16"/>
          <w:szCs w:val="16"/>
          <w:u w:val="single" w:color="auto"/>
          <w:color w:val="auto"/>
        </w:rPr>
        <w:t>5</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w:t>
      </w:r>
      <w:r>
        <w:rPr>
          <w:rFonts w:ascii="Arial" w:cs="Arial" w:eastAsia="Arial" w:hAnsi="Arial"/>
          <w:sz w:val="16"/>
          <w:szCs w:val="16"/>
          <w:color w:val="auto"/>
        </w:rPr>
        <w:t xml:space="preserve">, 2016 (“Effective Date”), by and between </w:t>
      </w:r>
      <w:r>
        <w:rPr>
          <w:rFonts w:ascii="Arial" w:cs="Arial" w:eastAsia="Arial" w:hAnsi="Arial"/>
          <w:sz w:val="16"/>
          <w:szCs w:val="16"/>
          <w:b w:val="1"/>
          <w:bCs w:val="1"/>
          <w:color w:val="auto"/>
        </w:rPr>
        <w:t>Keros Therapeutics, Inc.</w:t>
      </w:r>
      <w:r>
        <w:rPr>
          <w:rFonts w:ascii="Arial" w:cs="Arial" w:eastAsia="Arial" w:hAnsi="Arial"/>
          <w:sz w:val="16"/>
          <w:szCs w:val="16"/>
          <w:color w:val="auto"/>
        </w:rPr>
        <w:t xml:space="preserve">, a Delaware corporation, having a principal place of business at 3 Lincoln Terrace, Lexington, MA 02421 (“Company”) and </w:t>
      </w:r>
      <w:r>
        <w:rPr>
          <w:rFonts w:ascii="Arial" w:cs="Arial" w:eastAsia="Arial" w:hAnsi="Arial"/>
          <w:sz w:val="16"/>
          <w:szCs w:val="16"/>
          <w:b w:val="1"/>
          <w:bCs w:val="1"/>
          <w:color w:val="auto"/>
        </w:rPr>
        <w:t>The General Hospital</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Corporation</w:t>
      </w:r>
      <w:r>
        <w:rPr>
          <w:rFonts w:ascii="Arial" w:cs="Arial" w:eastAsia="Arial" w:hAnsi="Arial"/>
          <w:sz w:val="16"/>
          <w:szCs w:val="16"/>
          <w:color w:val="auto"/>
        </w:rPr>
        <w:t>, d/b/a Massachusetts General Hospital, a not-for-profit Massachusetts corporation, with a principal place of business at 55 Fruit Street,</w:t>
      </w:r>
      <w:r>
        <w:rPr>
          <w:rFonts w:ascii="Arial" w:cs="Arial" w:eastAsia="Arial" w:hAnsi="Arial"/>
          <w:sz w:val="16"/>
          <w:szCs w:val="16"/>
          <w:b w:val="1"/>
          <w:bCs w:val="1"/>
          <w:color w:val="auto"/>
        </w:rPr>
        <w:t xml:space="preserve"> </w:t>
      </w:r>
      <w:r>
        <w:rPr>
          <w:rFonts w:ascii="Arial" w:cs="Arial" w:eastAsia="Arial" w:hAnsi="Arial"/>
          <w:sz w:val="16"/>
          <w:szCs w:val="16"/>
          <w:color w:val="auto"/>
        </w:rPr>
        <w:t>Boston, Massachusetts 02114 (“Hospital”), each referred to herein individually as a “Party” and collectively as the “Parties”.</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right="320" w:firstLine="426"/>
        <w:spacing w:after="0" w:line="272" w:lineRule="auto"/>
        <w:rPr>
          <w:sz w:val="20"/>
          <w:szCs w:val="20"/>
          <w:color w:val="auto"/>
        </w:rPr>
      </w:pPr>
      <w:r>
        <w:rPr>
          <w:rFonts w:ascii="Arial" w:cs="Arial" w:eastAsia="Arial" w:hAnsi="Arial"/>
          <w:sz w:val="17"/>
          <w:szCs w:val="17"/>
          <w:color w:val="auto"/>
        </w:rPr>
        <w:t>Hospital, as a center for patient care, research and education, is the co- owner of certain Patent Rights (defined below) and desires to grant a license of those Patent Rights to Company in order to benefit the public by disseminating the results of its research via the commercial development, manufacture, distribution and use of Products and Processes (defined below).</w:t>
      </w:r>
    </w:p>
    <w:p>
      <w:pPr>
        <w:spacing w:after="0" w:line="165" w:lineRule="exact"/>
        <w:rPr>
          <w:sz w:val="20"/>
          <w:szCs w:val="20"/>
          <w:color w:val="auto"/>
        </w:rPr>
      </w:pPr>
    </w:p>
    <w:p>
      <w:pPr>
        <w:ind w:right="320" w:firstLine="426"/>
        <w:spacing w:after="0" w:line="295" w:lineRule="auto"/>
        <w:rPr>
          <w:sz w:val="20"/>
          <w:szCs w:val="20"/>
          <w:color w:val="auto"/>
        </w:rPr>
      </w:pPr>
      <w:r>
        <w:rPr>
          <w:rFonts w:ascii="Arial" w:cs="Arial" w:eastAsia="Arial" w:hAnsi="Arial"/>
          <w:sz w:val="17"/>
          <w:szCs w:val="17"/>
          <w:color w:val="auto"/>
        </w:rPr>
        <w:t xml:space="preserve">Hospital has executed Inter Institutional Agreements (“IAAs) with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color w:val="auto"/>
        </w:rPr>
        <w:t>, (collectively “Co-Owners”), granting Hospital sole agency to license the Patent Rights.</w:t>
      </w:r>
    </w:p>
    <w:p>
      <w:pPr>
        <w:spacing w:after="0" w:line="152" w:lineRule="exact"/>
        <w:rPr>
          <w:sz w:val="20"/>
          <w:szCs w:val="20"/>
          <w:color w:val="auto"/>
        </w:rPr>
      </w:pPr>
    </w:p>
    <w:p>
      <w:pPr>
        <w:ind w:right="480" w:firstLine="426"/>
        <w:spacing w:after="0" w:line="287" w:lineRule="auto"/>
        <w:rPr>
          <w:sz w:val="20"/>
          <w:szCs w:val="20"/>
          <w:color w:val="auto"/>
        </w:rPr>
      </w:pPr>
      <w:r>
        <w:rPr>
          <w:rFonts w:ascii="Arial" w:cs="Arial" w:eastAsia="Arial" w:hAnsi="Arial"/>
          <w:sz w:val="17"/>
          <w:szCs w:val="17"/>
          <w:color w:val="auto"/>
        </w:rPr>
        <w:t>Company has the capability to commercially develop, manufacture, distribute and use Products and Processes for public use and benefit and desires to license such Patent Rights.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good and valuable consideration, the sufficiency of which is hereby acknowledged, the Parties hereby agree as follows: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 CERTAIN DEFINITIONS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used in this Agreement, the following terms shall have the following meanings, unless the context requires otherwise.</w:t>
      </w:r>
    </w:p>
    <w:p>
      <w:pPr>
        <w:spacing w:after="0" w:line="118"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either Party shall mean any corporation or other legal entity other than that Party in whatever country organized, controlling, controlled by or under common control with that Party. The term “control” shall mean (i) in the case of Company, direct or indirect ownership of fifty percent (50%) or more of the voting securities having the right to elect directors, and (ii) in the case of Hospital or Company, the power, direct or indirect, to elect or appoint fifty percent (50%) or more of the directors or trustees, or to cause direction of management and policies, whether through the ownership of voting securities, by contract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0"/>
          </w:cols>
          <w:pgMar w:left="620" w:top="121" w:right="619" w:bottom="1440" w:gutter="0" w:footer="0" w:header="0"/>
        </w:sectPr>
      </w:pPr>
    </w:p>
    <w:bookmarkStart w:id="302" w:name="page303"/>
    <w:bookmarkEnd w:id="302"/>
    <w:p>
      <w:pPr>
        <w:ind w:right="10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 “</w:t>
      </w:r>
      <w:r>
        <w:rPr>
          <w:rFonts w:ascii="Arial" w:cs="Arial" w:eastAsia="Arial" w:hAnsi="Arial"/>
          <w:sz w:val="15"/>
          <w:szCs w:val="15"/>
          <w:u w:val="single" w:color="auto"/>
          <w:color w:val="auto"/>
        </w:rPr>
        <w:t>Change of Control</w:t>
      </w:r>
      <w:r>
        <w:rPr>
          <w:rFonts w:ascii="Arial" w:cs="Arial" w:eastAsia="Arial" w:hAnsi="Arial"/>
          <w:sz w:val="15"/>
          <w:szCs w:val="15"/>
          <w:color w:val="auto"/>
        </w:rPr>
        <w:t>” shall mean either: (a) a sale of all or substantially all of the assets of Company, in one or a series of integrated transactions not in the ordinary course of business to a Third Party; or (b) the acquisition of Company by a Third Party by means of any transaction or series of related transactions (including, any stock acquisition, merger, consolidation or other business combination); in either case, in which transaction or series of transactions the holders of outstanding voting securities of Company immediately prior to such transaction do not beneficially own, directly or indirectly, at least fifty percent (50%) of the combined outstanding voting power of the acquiring entity (or of Company if it is the surviving entity in such transaction described in subsection (b)), or its direct or indirect parent entity, immediately after such transaction or series of related transactions.</w:t>
      </w:r>
    </w:p>
    <w:p>
      <w:pPr>
        <w:spacing w:after="0" w:line="4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Claim</w:t>
      </w:r>
      <w:r>
        <w:rPr>
          <w:rFonts w:ascii="Arial" w:cs="Arial" w:eastAsia="Arial" w:hAnsi="Arial"/>
          <w:sz w:val="17"/>
          <w:szCs w:val="17"/>
          <w:color w:val="auto"/>
        </w:rPr>
        <w:t xml:space="preserve">” shall mean any pending (but only if pending for less than </w:t>
      </w:r>
      <w:r>
        <w:rPr>
          <w:rFonts w:ascii="Arial" w:cs="Arial" w:eastAsia="Arial" w:hAnsi="Arial"/>
          <w:sz w:val="17"/>
          <w:szCs w:val="17"/>
          <w:b w:val="1"/>
          <w:bCs w:val="1"/>
          <w:color w:val="auto"/>
        </w:rPr>
        <w:t>[***]</w:t>
      </w:r>
      <w:r>
        <w:rPr>
          <w:rFonts w:ascii="Arial" w:cs="Arial" w:eastAsia="Arial" w:hAnsi="Arial"/>
          <w:sz w:val="17"/>
          <w:szCs w:val="17"/>
          <w:color w:val="auto"/>
        </w:rPr>
        <w:t>) or issued claim of any Patent Right that has not been abandoned, lapsed, permanently revoked, nor expired, held unenforceable or invalid by a decision of a court or other governmental agency of competent jurisdiction that is unappealable or unappealed in the time allowed for appeal.</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xml:space="preserve">” means the efforts and resources reasonably used by </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the research, development, manufacture, commercialization, use or other exploitation, as applicable, of its own products at a similar stage in development, taking into account all “Relevant Factors” in effect at the time such efforts are to be expended. As used herein, “Relevant Factors” shall mean all relevant factors that may affect the development, regulatory approval or commercialization of the Product, including (as applicable): actual and potential issues of safety, efficacy or stability; product profile (including product modality, category and mechanism of action); stage of development or life cycle status; actual and projected development, regulatory approval, manufacturing, and commercialization costs; any issues regarding the ability to manufacture or have manufactured the Product; the likelihood of obtaining regulatory approvals (including satisfactory price approvals); the timing of such approvals; the current guidance and requirements for regulatory approval for the Product and similar products and the current and projected regulatory status; labeling or anticipated labeling; the then-current competitive environment and the likely competitive environment at the time of projected entry into the market; past performance of the Product or similar products; present and future risk-adjusted market potential; existing or projected risk-adjusted pricing, sales, reimbursement and profitability; pricing or reimbursement changes in relevant countries; proprietary position, strength and duration of patent protection and anticipated exclusivity; and other relevant scientific, technical, operational and commercial factors.</w:t>
      </w:r>
    </w:p>
    <w:p>
      <w:pPr>
        <w:spacing w:after="0" w:line="69" w:lineRule="exact"/>
        <w:rPr>
          <w:sz w:val="20"/>
          <w:szCs w:val="20"/>
          <w:color w:val="auto"/>
        </w:rPr>
      </w:pPr>
    </w:p>
    <w:p>
      <w:pPr>
        <w:ind w:right="580"/>
        <w:spacing w:after="0" w:line="287" w:lineRule="auto"/>
        <w:rPr>
          <w:sz w:val="20"/>
          <w:szCs w:val="20"/>
          <w:color w:val="auto"/>
        </w:rPr>
      </w:pPr>
      <w:r>
        <w:rPr>
          <w:rFonts w:ascii="Arial" w:cs="Arial" w:eastAsia="Arial" w:hAnsi="Arial"/>
          <w:sz w:val="17"/>
          <w:szCs w:val="17"/>
          <w:color w:val="auto"/>
        </w:rPr>
        <w:t>1.5 “Control” means the Hospital’s ability to grant to Company rights to Patent Rights, without (a) violating the terms of any agreement or other arrangement with any third party, and (b) violating any law or regulation.</w:t>
      </w:r>
    </w:p>
    <w:p>
      <w:pPr>
        <w:spacing w:after="0" w:line="5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Derived Process</w:t>
      </w:r>
      <w:r>
        <w:rPr>
          <w:rFonts w:ascii="Arial" w:cs="Arial" w:eastAsia="Arial" w:hAnsi="Arial"/>
          <w:sz w:val="16"/>
          <w:szCs w:val="16"/>
          <w:color w:val="auto"/>
        </w:rPr>
        <w:t xml:space="preserve">” shall mean any process, method or service derived from or comprising compounds and processes covered under Patent Rights, the use or performance of which, in whole or in part, and absent the rights granted under the License would infringe, and/or is covered by and/or dominated by, one or more (1) Valid Claims of the Patent Rights granted in the License and/or (2) </w:t>
      </w:r>
      <w:r>
        <w:rPr>
          <w:rFonts w:ascii="Arial" w:cs="Arial" w:eastAsia="Arial" w:hAnsi="Arial"/>
          <w:sz w:val="16"/>
          <w:szCs w:val="16"/>
          <w:b w:val="1"/>
          <w:bCs w:val="1"/>
          <w:color w:val="auto"/>
        </w:rPr>
        <w:t>[***]</w:t>
      </w:r>
      <w:r>
        <w:rPr>
          <w:rFonts w:ascii="Arial" w:cs="Arial" w:eastAsia="Arial" w:hAnsi="Arial"/>
          <w:sz w:val="16"/>
          <w:szCs w:val="16"/>
          <w:color w:val="auto"/>
        </w:rPr>
        <w:t>; provided, however that any subject matter pertaining to any process method for deriving a compound which is not within the same chemical series as the compounds claimed or covered by the Patent Rights exclusively licensed to Company herein shall not be included under the scope of this definition.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620" w:top="271" w:right="659" w:bottom="1440" w:gutter="0" w:footer="0" w:header="0"/>
        </w:sectPr>
      </w:pPr>
    </w:p>
    <w:bookmarkStart w:id="303" w:name="page304"/>
    <w:bookmarkEnd w:id="303"/>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1.6 “Derived Product” shall mean any diagnostic or therapeutic article, device or composition, the manufacture, use, or sale of which, in whole or in part, is derived from or comprises compounds covered under Patent Rights, and absent the rights granted under the License would infringe, and/or is covered by and/or dominated by, one or more (1) Valid Claims of the Patent Rights granted in the License and/or (2) </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any subject matter pertaining to any compound which is not in the same chemical series as the compounds claimed or covered by the Patent Rights exclusively licensed to Company herein shall not be included under the scope of this definition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60"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Distributor</w:t>
      </w:r>
      <w:r>
        <w:rPr>
          <w:rFonts w:ascii="Arial" w:cs="Arial" w:eastAsia="Arial" w:hAnsi="Arial"/>
          <w:sz w:val="17"/>
          <w:szCs w:val="17"/>
          <w:color w:val="auto"/>
        </w:rPr>
        <w:t>” shall mean any third party entity to whom Company, a Company Affiliate or a Sublicensee has granted, express or implied, the right to distribute any Product or Process pursuant to Section 2.1(b)(ii).</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shall mean the initial Sale anywhere in the applicable License Territory of a Product or Process.</w:t>
      </w:r>
    </w:p>
    <w:p>
      <w:pPr>
        <w:spacing w:after="0" w:line="11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Follow-On Patent Right</w:t>
      </w:r>
      <w:r>
        <w:rPr>
          <w:rFonts w:ascii="Arial" w:cs="Arial" w:eastAsia="Arial" w:hAnsi="Arial"/>
          <w:sz w:val="17"/>
          <w:szCs w:val="17"/>
          <w:color w:val="auto"/>
        </w:rPr>
        <w:t xml:space="preserve">” means any patent right that is Controlled by Hospital, individually or collectively with another institution, other than the licensed Patent Rights, to the extent such Follow-On Patent Rights directly relate to </w:t>
      </w:r>
      <w:r>
        <w:rPr>
          <w:rFonts w:ascii="Arial" w:cs="Arial" w:eastAsia="Arial" w:hAnsi="Arial"/>
          <w:sz w:val="17"/>
          <w:szCs w:val="17"/>
          <w:b w:val="1"/>
          <w:bCs w:val="1"/>
          <w:color w:val="auto"/>
        </w:rPr>
        <w:t>[***]</w:t>
      </w:r>
      <w:r>
        <w:rPr>
          <w:rFonts w:ascii="Arial" w:cs="Arial" w:eastAsia="Arial" w:hAnsi="Arial"/>
          <w:sz w:val="17"/>
          <w:szCs w:val="17"/>
          <w:color w:val="auto"/>
        </w:rPr>
        <w:t xml:space="preserve"> products that </w:t>
      </w:r>
      <w:r>
        <w:rPr>
          <w:rFonts w:ascii="Arial" w:cs="Arial" w:eastAsia="Arial" w:hAnsi="Arial"/>
          <w:sz w:val="17"/>
          <w:szCs w:val="17"/>
          <w:b w:val="1"/>
          <w:bCs w:val="1"/>
          <w:color w:val="auto"/>
        </w:rPr>
        <w:t>[***]</w:t>
      </w:r>
      <w:r>
        <w:rPr>
          <w:rFonts w:ascii="Arial" w:cs="Arial" w:eastAsia="Arial" w:hAnsi="Arial"/>
          <w:sz w:val="17"/>
          <w:szCs w:val="17"/>
          <w:color w:val="auto"/>
        </w:rPr>
        <w:t xml:space="preserve">, and (2) is conceived and reduced to practice by personnel directly under the supervision of </w:t>
      </w:r>
      <w:r>
        <w:rPr>
          <w:rFonts w:ascii="Arial" w:cs="Arial" w:eastAsia="Arial" w:hAnsi="Arial"/>
          <w:sz w:val="17"/>
          <w:szCs w:val="17"/>
          <w:b w:val="1"/>
          <w:bCs w:val="1"/>
          <w:color w:val="auto"/>
        </w:rPr>
        <w:t>[***]</w:t>
      </w:r>
      <w:r>
        <w:rPr>
          <w:rFonts w:ascii="Arial" w:cs="Arial" w:eastAsia="Arial" w:hAnsi="Arial"/>
          <w:sz w:val="17"/>
          <w:szCs w:val="17"/>
          <w:color w:val="auto"/>
        </w:rPr>
        <w:t xml:space="preserve"> (or any designated successor laboratory as may be mutually agreed in writing between the Parties in the event of the departure of </w:t>
      </w:r>
      <w:r>
        <w:rPr>
          <w:rFonts w:ascii="Arial" w:cs="Arial" w:eastAsia="Arial" w:hAnsi="Arial"/>
          <w:sz w:val="17"/>
          <w:szCs w:val="17"/>
          <w:b w:val="1"/>
          <w:bCs w:val="1"/>
          <w:color w:val="auto"/>
        </w:rPr>
        <w:t>[***]</w:t>
      </w:r>
      <w:r>
        <w:rPr>
          <w:rFonts w:ascii="Arial" w:cs="Arial" w:eastAsia="Arial" w:hAnsi="Arial"/>
          <w:sz w:val="17"/>
          <w:szCs w:val="17"/>
          <w:color w:val="auto"/>
        </w:rPr>
        <w:t xml:space="preserve"> from his current role with Hospital) during the period commencing on the Effective Date hereof and ending on the </w:t>
      </w:r>
      <w:r>
        <w:rPr>
          <w:rFonts w:ascii="Arial" w:cs="Arial" w:eastAsia="Arial" w:hAnsi="Arial"/>
          <w:sz w:val="17"/>
          <w:szCs w:val="17"/>
          <w:b w:val="1"/>
          <w:bCs w:val="1"/>
          <w:color w:val="auto"/>
        </w:rPr>
        <w:t>[***]</w:t>
      </w:r>
      <w:r>
        <w:rPr>
          <w:rFonts w:ascii="Arial" w:cs="Arial" w:eastAsia="Arial" w:hAnsi="Arial"/>
          <w:sz w:val="17"/>
          <w:szCs w:val="17"/>
          <w:color w:val="auto"/>
        </w:rPr>
        <w:t xml:space="preserve"> anniversary thereof, unless extended by the mutual written agreement of the Parties.</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License Field</w:t>
      </w:r>
      <w:r>
        <w:rPr>
          <w:rFonts w:ascii="Arial" w:cs="Arial" w:eastAsia="Arial" w:hAnsi="Arial"/>
          <w:sz w:val="17"/>
          <w:szCs w:val="17"/>
          <w:color w:val="auto"/>
        </w:rPr>
        <w:t xml:space="preserve">” shall mean all use(s) of Products and Processes for the treatment, diagnosis (the development, manufacture, use, and/or sale of a kit for use in in-vitro diagnostic (IVD) testing), palliation or prevention of diseases and disorders in humans and animals, including, without limitation, </w:t>
      </w:r>
      <w:r>
        <w:rPr>
          <w:rFonts w:ascii="Arial" w:cs="Arial" w:eastAsia="Arial" w:hAnsi="Arial"/>
          <w:sz w:val="17"/>
          <w:szCs w:val="17"/>
          <w:b w:val="1"/>
          <w:bCs w:val="1"/>
          <w:color w:val="auto"/>
        </w:rPr>
        <w:t>[***]</w:t>
      </w:r>
      <w:r>
        <w:rPr>
          <w:rFonts w:ascii="Arial" w:cs="Arial" w:eastAsia="Arial" w:hAnsi="Arial"/>
          <w:sz w:val="17"/>
          <w:szCs w:val="17"/>
          <w:color w:val="auto"/>
        </w:rPr>
        <w:t>. The first sub-field expected to be developed is the sub-field of</w:t>
      </w:r>
      <w:r>
        <w:rPr>
          <w:rFonts w:ascii="Arial" w:cs="Arial" w:eastAsia="Arial" w:hAnsi="Arial"/>
          <w:sz w:val="17"/>
          <w:szCs w:val="17"/>
          <w:b w:val="1"/>
          <w:bCs w:val="1"/>
          <w:color w:val="auto"/>
        </w:rPr>
        <w:t xml:space="preserve"> [***]</w:t>
      </w:r>
      <w:r>
        <w:rPr>
          <w:rFonts w:ascii="Arial" w:cs="Arial" w:eastAsia="Arial" w:hAnsi="Arial"/>
          <w:sz w:val="17"/>
          <w:szCs w:val="17"/>
          <w:color w:val="auto"/>
        </w:rPr>
        <w:t>. Additional sub-fields for the prevention or treatment of diseases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disorders in humans may include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For clarity, the license grant in the diagnostic field of use shall be non-exclusive for any implementation of Laboratory Developed Test, performed in a medical and/or clinical laboratory that is operating in compliance with the Clinical Laboratory Improvement Amendments of 1988 (“CLIA”), or its foreign equivalent, said test being performed on clinical specimens for the diagnosis, treatment and/or prevention of disease.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License Territory</w:t>
      </w:r>
      <w:r>
        <w:rPr>
          <w:rFonts w:ascii="Arial" w:cs="Arial" w:eastAsia="Arial" w:hAnsi="Arial"/>
          <w:sz w:val="17"/>
          <w:szCs w:val="17"/>
          <w:color w:val="auto"/>
        </w:rPr>
        <w:t>” shall mean worldwide.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Net Sales</w:t>
      </w:r>
      <w:r>
        <w:rPr>
          <w:rFonts w:ascii="Arial" w:cs="Arial" w:eastAsia="Arial" w:hAnsi="Arial"/>
          <w:sz w:val="17"/>
          <w:szCs w:val="17"/>
          <w:color w:val="auto"/>
        </w:rPr>
        <w:t>” shall be calculated as set forth in this Section 1.12.</w:t>
      </w:r>
    </w:p>
    <w:p>
      <w:pPr>
        <w:spacing w:after="0" w:line="131" w:lineRule="exact"/>
        <w:rPr>
          <w:sz w:val="20"/>
          <w:szCs w:val="20"/>
          <w:color w:val="auto"/>
        </w:rPr>
      </w:pPr>
    </w:p>
    <w:p>
      <w:pPr>
        <w:ind w:left="940" w:hanging="524"/>
        <w:spacing w:after="0"/>
        <w:tabs>
          <w:tab w:leader="none" w:pos="9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Subject to the conditions set forth below, “Net Sales” shall mean:</w:t>
      </w:r>
    </w:p>
    <w:p>
      <w:pPr>
        <w:spacing w:after="0" w:line="130" w:lineRule="exact"/>
        <w:rPr>
          <w:rFonts w:ascii="Arial" w:cs="Arial" w:eastAsia="Arial" w:hAnsi="Arial"/>
          <w:sz w:val="17"/>
          <w:szCs w:val="17"/>
          <w:color w:val="auto"/>
        </w:rPr>
      </w:pPr>
    </w:p>
    <w:p>
      <w:pPr>
        <w:ind w:left="1360" w:right="180" w:hanging="409"/>
        <w:spacing w:after="0" w:line="287" w:lineRule="auto"/>
        <w:tabs>
          <w:tab w:leader="none" w:pos="13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gross amount billed or invoiced, or if no such bill or invoice is issued the amount received, whichever is greatest, by Company and its Affiliates and Sublicensees for or on account of Sales of Products and Processes;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20"/>
          </w:cols>
          <w:pgMar w:left="620" w:top="271" w:right="659" w:bottom="1440" w:gutter="0" w:footer="0" w:header="0"/>
        </w:sectPr>
      </w:pPr>
    </w:p>
    <w:bookmarkStart w:id="304" w:name="page305"/>
    <w:bookmarkEnd w:id="304"/>
    <w:p>
      <w:pPr>
        <w:ind w:left="1360" w:hanging="409"/>
        <w:spacing w:after="0"/>
        <w:tabs>
          <w:tab w:leader="none" w:pos="1360"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less</w:t>
      </w:r>
      <w:r>
        <w:rPr>
          <w:rFonts w:ascii="Arial" w:cs="Arial" w:eastAsia="Arial" w:hAnsi="Arial"/>
          <w:sz w:val="17"/>
          <w:szCs w:val="17"/>
          <w:color w:val="auto"/>
        </w:rPr>
        <w:t xml:space="preserve"> the following amounts:</w:t>
      </w:r>
    </w:p>
    <w:p>
      <w:pPr>
        <w:spacing w:after="0" w:line="124" w:lineRule="exact"/>
        <w:rPr>
          <w:rFonts w:ascii="Arial" w:cs="Arial" w:eastAsia="Arial" w:hAnsi="Arial"/>
          <w:sz w:val="17"/>
          <w:szCs w:val="17"/>
          <w:color w:val="auto"/>
        </w:rPr>
      </w:pPr>
    </w:p>
    <w:p>
      <w:pPr>
        <w:ind w:left="1900" w:hanging="518"/>
        <w:spacing w:after="0"/>
        <w:tabs>
          <w:tab w:leader="none" w:pos="1900" w:val="left"/>
        </w:tabs>
        <w:numPr>
          <w:ilvl w:val="2"/>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2340" w:hanging="319"/>
        <w:spacing w:after="0"/>
        <w:tabs>
          <w:tab w:leader="none" w:pos="2340" w:val="left"/>
        </w:tabs>
        <w:numPr>
          <w:ilvl w:val="3"/>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2340" w:hanging="319"/>
        <w:spacing w:after="0"/>
        <w:tabs>
          <w:tab w:leader="none" w:pos="2340" w:val="left"/>
        </w:tabs>
        <w:numPr>
          <w:ilvl w:val="3"/>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2340" w:hanging="319"/>
        <w:spacing w:after="0"/>
        <w:tabs>
          <w:tab w:leader="none" w:pos="2340" w:val="left"/>
        </w:tabs>
        <w:numPr>
          <w:ilvl w:val="3"/>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2340" w:hanging="319"/>
        <w:spacing w:after="0"/>
        <w:tabs>
          <w:tab w:leader="none" w:pos="2340" w:val="left"/>
        </w:tabs>
        <w:numPr>
          <w:ilvl w:val="3"/>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900" w:hanging="518"/>
        <w:spacing w:after="0"/>
        <w:tabs>
          <w:tab w:leader="none" w:pos="1900" w:val="left"/>
        </w:tabs>
        <w:numPr>
          <w:ilvl w:val="2"/>
          <w:numId w:val="24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4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1" w:lineRule="exact"/>
        <w:rPr>
          <w:sz w:val="20"/>
          <w:szCs w:val="20"/>
          <w:color w:val="auto"/>
        </w:rPr>
      </w:pPr>
    </w:p>
    <w:p>
      <w:pPr>
        <w:ind w:left="1360" w:hanging="409"/>
        <w:spacing w:after="0"/>
        <w:tabs>
          <w:tab w:leader="none" w:pos="136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Patent Rights</w:t>
      </w:r>
      <w:r>
        <w:rPr>
          <w:rFonts w:ascii="Arial" w:cs="Arial" w:eastAsia="Arial" w:hAnsi="Arial"/>
          <w:sz w:val="17"/>
          <w:szCs w:val="17"/>
          <w:color w:val="auto"/>
        </w:rPr>
        <w:t xml:space="preserve">” shall mean Hospital and Co-Owners’ rights in the U.S. Patent Applications and patents, as described in the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and/or the equivalent of such application including any division, continuation (including continuation-in-parts, to the extent that the claims are entitled to the priority date of the respective parent applications) and/or any foreign patent application and/or Letters Patent, and/or the equivalent thereof issuing thereon, and/or reissue, reexamination and/or extension thereof.</w:t>
      </w:r>
    </w:p>
    <w:p>
      <w:pPr>
        <w:spacing w:after="0" w:line="6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 human clinical trial in any country that is intended to initially evaluate the safety and/or effectiveness of a Licensed Product in subjects or that would otherwise satisfy requirements of 21 CFR 312.21(a), or its foreign equivalent.</w:t>
      </w:r>
    </w:p>
    <w:p>
      <w:pPr>
        <w:spacing w:after="0" w:line="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Phase II Clinical Trial</w:t>
      </w:r>
      <w:r>
        <w:rPr>
          <w:rFonts w:ascii="Arial" w:cs="Arial" w:eastAsia="Arial" w:hAnsi="Arial"/>
          <w:sz w:val="17"/>
          <w:szCs w:val="17"/>
          <w:color w:val="auto"/>
        </w:rPr>
        <w:t>” means a human clinical trial in any country that is intended to initially evaluate the effectiveness of a Licensed Product for a particular indication or indications in patients with the disease or indication under study or that would otherwise satisfy requirements of 21 CFR 312.21(b), or its foreign equivalent.</w:t>
      </w:r>
    </w:p>
    <w:p>
      <w:pPr>
        <w:spacing w:after="0" w:line="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Phase III Clinical Trial</w:t>
      </w:r>
      <w:r>
        <w:rPr>
          <w:rFonts w:ascii="Arial" w:cs="Arial" w:eastAsia="Arial" w:hAnsi="Arial"/>
          <w:sz w:val="17"/>
          <w:szCs w:val="17"/>
          <w:color w:val="auto"/>
        </w:rPr>
        <w:t>” means a pivotal human clinical trial in any country the results of which could be used to establish safety and effectiveness of a Licensed Product as a basis for a NDA (or a BLA, as applicable) or that would otherwise satisfy requirements of 21 CFR 312.21(c), or its foreign equivalent.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0"/>
          </w:cols>
          <w:pgMar w:left="620" w:top="271" w:right="65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1.17 “</w:t>
      </w:r>
      <w:r>
        <w:rPr>
          <w:rFonts w:ascii="Arial" w:cs="Arial" w:eastAsia="Arial" w:hAnsi="Arial"/>
          <w:sz w:val="17"/>
          <w:szCs w:val="17"/>
          <w:u w:val="single" w:color="auto"/>
          <w:color w:val="auto"/>
        </w:rPr>
        <w:t>Process</w:t>
      </w:r>
      <w:r>
        <w:rPr>
          <w:rFonts w:ascii="Arial" w:cs="Arial" w:eastAsia="Arial" w:hAnsi="Arial"/>
          <w:sz w:val="17"/>
          <w:szCs w:val="17"/>
          <w:color w:val="auto"/>
        </w:rPr>
        <w:t>” shall mean any process, method or service the use or performance of which, in whole or in part:</w:t>
      </w:r>
    </w:p>
    <w:p>
      <w:pPr>
        <w:spacing w:after="0" w:line="131" w:lineRule="exact"/>
        <w:rPr>
          <w:sz w:val="20"/>
          <w:szCs w:val="20"/>
          <w:color w:val="auto"/>
        </w:rPr>
      </w:pPr>
    </w:p>
    <w:p>
      <w:pPr>
        <w:ind w:left="940" w:hanging="524"/>
        <w:spacing w:after="0"/>
        <w:tabs>
          <w:tab w:leader="none" w:pos="9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absent the license granted hereunder would infringe, or is covered by, one or more Claims of Patent Rights; or</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employs, is based upon or is derived from Technological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Product</w:t>
      </w:r>
      <w:r>
        <w:rPr>
          <w:rFonts w:ascii="Arial" w:cs="Arial" w:eastAsia="Arial" w:hAnsi="Arial"/>
          <w:sz w:val="17"/>
          <w:szCs w:val="17"/>
          <w:color w:val="auto"/>
        </w:rPr>
        <w:t>” shall mean any article, device or composition, the manufacture, use, or sale of which, in whole or in part:</w:t>
      </w:r>
    </w:p>
    <w:p>
      <w:pPr>
        <w:spacing w:after="0" w:line="131" w:lineRule="exact"/>
        <w:rPr>
          <w:sz w:val="20"/>
          <w:szCs w:val="20"/>
          <w:color w:val="auto"/>
        </w:rPr>
      </w:pPr>
    </w:p>
    <w:p>
      <w:pPr>
        <w:ind w:left="940" w:hanging="524"/>
        <w:spacing w:after="0"/>
        <w:tabs>
          <w:tab w:leader="none" w:pos="9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absent the license granted hereunder would infringe, or is covered by, one or more Claims of Patent Rights; or</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employs, is based upon or is derived from Technological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Reporting Period</w:t>
      </w:r>
      <w:r>
        <w:rPr>
          <w:rFonts w:ascii="Arial" w:cs="Arial" w:eastAsia="Arial" w:hAnsi="Arial"/>
          <w:sz w:val="17"/>
          <w:szCs w:val="17"/>
          <w:color w:val="auto"/>
        </w:rPr>
        <w:t>” shall mean each three month period ending March 31, June 30, September 30 and December 31.</w:t>
      </w:r>
    </w:p>
    <w:p>
      <w:pPr>
        <w:spacing w:after="0" w:line="118"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Sell</w:t>
      </w:r>
      <w:r>
        <w:rPr>
          <w:rFonts w:ascii="Arial" w:cs="Arial" w:eastAsia="Arial" w:hAnsi="Arial"/>
          <w:sz w:val="17"/>
          <w:szCs w:val="17"/>
          <w:color w:val="auto"/>
        </w:rPr>
        <w:t>” (and “Sale” and “Sold” as the case may be) shall mean to sell or have sold, to lease or have leased, to import or have imported or otherwise to transfer or have transferred a Product or Process for valuable consideration (in the form of cash or otherwise), and further in the case of a Process to use or perform such Process for the benefit of a third party.</w:t>
      </w:r>
    </w:p>
    <w:p>
      <w:pPr>
        <w:spacing w:after="0" w:line="6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Non-Royalty Income/Sublicense Income</w:t>
      </w:r>
      <w:r>
        <w:rPr>
          <w:rFonts w:ascii="Arial" w:cs="Arial" w:eastAsia="Arial" w:hAnsi="Arial"/>
          <w:sz w:val="17"/>
          <w:szCs w:val="17"/>
          <w:color w:val="auto"/>
        </w:rPr>
        <w:t xml:space="preserve">” shall mean consideration in any form received by Company and/or Company’s Affiliate(s) in connection with or otherwise attributable to a grant of an option or sublicense or any other right, license, privilege or immunity (regardless of whether such grantee is a “Sublicensee” as defined in this Agreement) to make, have made, use, have used, Sell or have Sold Products or Processes, but excluding consideration included within Net Sales. Sublicense Income shall include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clarity, non-royalty income shall exclude: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To the extent that other patent rights, other intellectual property rights or other rights or obligations other than Patent Rights are licensed, sublicensed or granted by Company together with the rights granted under this Agreement, that portion of the consideration received by Company and subject to this clause shall be equitably apportioned by Company between the Patent Rights and those other rights and obligations, and such apportionment shall be reasonable and in accordance with customary standards in the industry. Such apportionment shall be determined by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sublicensee of rights granted in accordance with Section 2.1(a)(ii). For purpose of this Agreement, a Distributor of a Product or Process shall not be included in the definition of Sublicensee unless such Distributor (i) is granted any right to make, have made, use or have used Products or Processes in accordance with Section 2.1(a)(ii), or (ii) has agreed to pay to Company or its Affiliate(s) royalties on such Distributor’s sales of Products or Processes, in which case such Distributor shall be a Sublicensee for all purposes of this Agreement.</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0"/>
          </w:cols>
          <w:pgMar w:left="620" w:top="270" w:right="719" w:bottom="1440" w:gutter="0" w:footer="0" w:header="0"/>
        </w:sectPr>
      </w:pPr>
    </w:p>
    <w:bookmarkStart w:id="306" w:name="page307"/>
    <w:bookmarkEnd w:id="306"/>
    <w:p>
      <w:pPr>
        <w:ind w:right="100"/>
        <w:spacing w:after="0" w:line="29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1.23 “</w:t>
      </w:r>
      <w:r>
        <w:rPr>
          <w:rFonts w:ascii="Arial" w:cs="Arial" w:eastAsia="Arial" w:hAnsi="Arial"/>
          <w:sz w:val="17"/>
          <w:szCs w:val="17"/>
          <w:u w:val="single" w:color="auto"/>
          <w:color w:val="auto"/>
        </w:rPr>
        <w:t>Technological Information</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w:t>
      </w:r>
      <w:r>
        <w:rPr>
          <w:rFonts w:ascii="Arial" w:cs="Arial" w:eastAsia="Arial" w:hAnsi="Arial"/>
          <w:sz w:val="17"/>
          <w:szCs w:val="17"/>
          <w:color w:val="auto"/>
        </w:rPr>
        <w:t xml:space="preserve">, as further described in </w:t>
      </w:r>
      <w:r>
        <w:rPr>
          <w:rFonts w:ascii="Arial" w:cs="Arial" w:eastAsia="Arial" w:hAnsi="Arial"/>
          <w:sz w:val="17"/>
          <w:szCs w:val="17"/>
          <w:b w:val="1"/>
          <w:bCs w:val="1"/>
          <w:color w:val="auto"/>
        </w:rPr>
        <w:t>Appendix B.</w:t>
      </w:r>
      <w:r>
        <w:rPr>
          <w:rFonts w:ascii="Arial" w:cs="Arial" w:eastAsia="Arial" w:hAnsi="Arial"/>
          <w:sz w:val="17"/>
          <w:szCs w:val="17"/>
          <w:color w:val="auto"/>
        </w:rPr>
        <w:t xml:space="preserve"> Company and Hospital each hereby agree to treat each other’s Technological Information in accordance with the provisions of </w:t>
      </w:r>
      <w:r>
        <w:rPr>
          <w:rFonts w:ascii="Arial" w:cs="Arial" w:eastAsia="Arial" w:hAnsi="Arial"/>
          <w:sz w:val="17"/>
          <w:szCs w:val="17"/>
          <w:b w:val="1"/>
          <w:bCs w:val="1"/>
          <w:color w:val="auto"/>
        </w:rPr>
        <w:t>Appendix E</w:t>
      </w:r>
      <w:r>
        <w:rPr>
          <w:rFonts w:ascii="Arial" w:cs="Arial" w:eastAsia="Arial" w:hAnsi="Arial"/>
          <w:sz w:val="17"/>
          <w:szCs w:val="17"/>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 LICENSE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License</w:t>
      </w:r>
      <w:r>
        <w:rPr>
          <w:rFonts w:ascii="Arial" w:cs="Arial" w:eastAsia="Arial" w:hAnsi="Arial"/>
          <w:sz w:val="17"/>
          <w:szCs w:val="17"/>
          <w:color w:val="auto"/>
        </w:rPr>
        <w:t>.</w:t>
      </w:r>
    </w:p>
    <w:p>
      <w:pPr>
        <w:spacing w:after="0" w:line="125" w:lineRule="exact"/>
        <w:rPr>
          <w:sz w:val="20"/>
          <w:szCs w:val="20"/>
          <w:color w:val="auto"/>
        </w:rPr>
      </w:pPr>
    </w:p>
    <w:p>
      <w:pPr>
        <w:ind w:left="940" w:hanging="524"/>
        <w:spacing w:after="0"/>
        <w:tabs>
          <w:tab w:leader="none" w:pos="9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Subject to the terms of this Agreement </w:t>
      </w:r>
      <w:r>
        <w:rPr>
          <w:rFonts w:ascii="Arial" w:cs="Arial" w:eastAsia="Arial" w:hAnsi="Arial"/>
          <w:sz w:val="17"/>
          <w:szCs w:val="17"/>
          <w:b w:val="1"/>
          <w:bCs w:val="1"/>
          <w:color w:val="auto"/>
        </w:rPr>
        <w:t>[***]</w:t>
      </w:r>
      <w:r>
        <w:rPr>
          <w:rFonts w:ascii="Arial" w:cs="Arial" w:eastAsia="Arial" w:hAnsi="Arial"/>
          <w:sz w:val="17"/>
          <w:szCs w:val="17"/>
          <w:color w:val="auto"/>
        </w:rPr>
        <w:t>, Hospital hereby grants to Company in the License Field in the License Territory:</w:t>
      </w:r>
    </w:p>
    <w:p>
      <w:pPr>
        <w:spacing w:after="0" w:line="136" w:lineRule="exact"/>
        <w:rPr>
          <w:rFonts w:ascii="Arial" w:cs="Arial" w:eastAsia="Arial" w:hAnsi="Arial"/>
          <w:sz w:val="17"/>
          <w:szCs w:val="17"/>
          <w:color w:val="auto"/>
        </w:rPr>
      </w:pPr>
    </w:p>
    <w:p>
      <w:pPr>
        <w:ind w:left="1360" w:right="560" w:hanging="409"/>
        <w:spacing w:after="0" w:line="287" w:lineRule="auto"/>
        <w:tabs>
          <w:tab w:leader="none" w:pos="13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an exclusive, royalty-bearing license under its rights in Patent Rights to make, have made, use, have used, Sell and have Sold Products and Processes;</w:t>
      </w:r>
    </w:p>
    <w:p>
      <w:pPr>
        <w:spacing w:after="0" w:line="67" w:lineRule="exact"/>
        <w:rPr>
          <w:rFonts w:ascii="Arial" w:cs="Arial" w:eastAsia="Arial" w:hAnsi="Arial"/>
          <w:sz w:val="17"/>
          <w:szCs w:val="17"/>
          <w:color w:val="auto"/>
        </w:rPr>
      </w:pPr>
    </w:p>
    <w:p>
      <w:pPr>
        <w:ind w:left="1360" w:hanging="409"/>
        <w:spacing w:after="0" w:line="313" w:lineRule="auto"/>
        <w:tabs>
          <w:tab w:leader="none" w:pos="1360" w:val="left"/>
        </w:tabs>
        <w:numPr>
          <w:ilvl w:val="1"/>
          <w:numId w:val="250"/>
        </w:numPr>
        <w:rPr>
          <w:rFonts w:ascii="Arial" w:cs="Arial" w:eastAsia="Arial" w:hAnsi="Arial"/>
          <w:sz w:val="15"/>
          <w:szCs w:val="15"/>
          <w:color w:val="auto"/>
        </w:rPr>
      </w:pPr>
      <w:r>
        <w:rPr>
          <w:rFonts w:ascii="Arial" w:cs="Arial" w:eastAsia="Arial" w:hAnsi="Arial"/>
          <w:sz w:val="15"/>
          <w:szCs w:val="15"/>
          <w:color w:val="auto"/>
        </w:rPr>
        <w:t>the right to grant sublicenses under the rights granted in Section 2.1(a)(i) to Sublicensees, provided that in each case Company shall be responsible for the performance of any obligations of Sublicensees relevant to this Agreement as if such performance were carried out by Company itself, including, without limitation, the payment of any royalties or other payments provided for hereunder, regardless of whether the terms of any sublicense provide for such amounts to be paid by the Sublicensee directly to Hospital; and</w:t>
      </w:r>
    </w:p>
    <w:p>
      <w:pPr>
        <w:spacing w:after="0" w:line="53" w:lineRule="exact"/>
        <w:rPr>
          <w:rFonts w:ascii="Arial" w:cs="Arial" w:eastAsia="Arial" w:hAnsi="Arial"/>
          <w:sz w:val="15"/>
          <w:szCs w:val="15"/>
          <w:color w:val="auto"/>
        </w:rPr>
      </w:pPr>
    </w:p>
    <w:p>
      <w:pPr>
        <w:ind w:left="1360" w:right="20" w:hanging="409"/>
        <w:spacing w:after="0" w:line="287" w:lineRule="auto"/>
        <w:tabs>
          <w:tab w:leader="none" w:pos="13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nonexclusive right and license to use Technological Information disclosed by Hospital to Company hereunder in accordance with this Agreement.</w:t>
      </w:r>
    </w:p>
    <w:p>
      <w:pPr>
        <w:spacing w:after="0" w:line="67" w:lineRule="exact"/>
        <w:rPr>
          <w:rFonts w:ascii="Arial" w:cs="Arial" w:eastAsia="Arial" w:hAnsi="Arial"/>
          <w:sz w:val="17"/>
          <w:szCs w:val="17"/>
          <w:color w:val="auto"/>
        </w:rPr>
      </w:pPr>
    </w:p>
    <w:p>
      <w:pPr>
        <w:ind w:left="940" w:hanging="524"/>
        <w:spacing w:after="0"/>
        <w:tabs>
          <w:tab w:leader="none" w:pos="9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license granted in Section 2.1(a) above includes:</w:t>
      </w:r>
    </w:p>
    <w:p>
      <w:pPr>
        <w:spacing w:after="0" w:line="130" w:lineRule="exact"/>
        <w:rPr>
          <w:rFonts w:ascii="Arial" w:cs="Arial" w:eastAsia="Arial" w:hAnsi="Arial"/>
          <w:sz w:val="17"/>
          <w:szCs w:val="17"/>
          <w:color w:val="auto"/>
        </w:rPr>
      </w:pPr>
    </w:p>
    <w:p>
      <w:pPr>
        <w:ind w:left="1360" w:right="200" w:hanging="409"/>
        <w:spacing w:after="0" w:line="287" w:lineRule="auto"/>
        <w:tabs>
          <w:tab w:leader="none" w:pos="13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right to grant to the final purchaser, user or consumer of Products the right to use such purchased Products in a method coming within the scope of Patent Rights within the License Field and License Territory; and</w:t>
      </w:r>
    </w:p>
    <w:p>
      <w:pPr>
        <w:spacing w:after="0" w:line="67" w:lineRule="exact"/>
        <w:rPr>
          <w:rFonts w:ascii="Arial" w:cs="Arial" w:eastAsia="Arial" w:hAnsi="Arial"/>
          <w:sz w:val="17"/>
          <w:szCs w:val="17"/>
          <w:color w:val="auto"/>
        </w:rPr>
      </w:pPr>
    </w:p>
    <w:p>
      <w:pPr>
        <w:ind w:left="1360" w:right="80" w:hanging="409"/>
        <w:spacing w:after="0" w:line="287" w:lineRule="auto"/>
        <w:tabs>
          <w:tab w:leader="none" w:pos="13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right to grant a Distributor the right to Sell (but not to make, have made, use or have used) such Products and/or Processes for or on behalf of Company, its Affiliates and Sublicensees in a manner consistent with this Agreement.</w:t>
      </w:r>
    </w:p>
    <w:p>
      <w:pPr>
        <w:spacing w:after="0" w:line="67" w:lineRule="exact"/>
        <w:rPr>
          <w:rFonts w:ascii="Arial" w:cs="Arial" w:eastAsia="Arial" w:hAnsi="Arial"/>
          <w:sz w:val="17"/>
          <w:szCs w:val="17"/>
          <w:color w:val="auto"/>
        </w:rPr>
      </w:pPr>
    </w:p>
    <w:p>
      <w:pPr>
        <w:ind w:left="940" w:right="120" w:hanging="524"/>
        <w:spacing w:after="0" w:line="296" w:lineRule="auto"/>
        <w:tabs>
          <w:tab w:leader="none" w:pos="9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foregoing license grant shall include the grant of such license to any Affiliate of Company, provided that such Affiliate shall assume the same obligations as those of Company and be subject to the same terms and conditions hereunder; and further provided that Company shall be responsible for the performance of all of such obligations and for compliance with all of such terms and conditions by Affiliate.</w:t>
      </w:r>
    </w:p>
    <w:p>
      <w:pPr>
        <w:ind w:left="940" w:right="380"/>
        <w:spacing w:after="0" w:line="341" w:lineRule="auto"/>
        <w:rPr>
          <w:rFonts w:ascii="Arial" w:cs="Arial" w:eastAsia="Arial" w:hAnsi="Arial"/>
          <w:sz w:val="15"/>
          <w:szCs w:val="15"/>
          <w:color w:val="auto"/>
        </w:rPr>
      </w:pPr>
      <w:r>
        <w:rPr>
          <w:rFonts w:ascii="Arial" w:cs="Arial" w:eastAsia="Arial" w:hAnsi="Arial"/>
          <w:sz w:val="15"/>
          <w:szCs w:val="15"/>
          <w:color w:val="auto"/>
        </w:rPr>
        <w:t xml:space="preserve">Company shall provide to Hospital a fully signed, non-redacted copy of each agreement with each Affiliate that assumes the aforesaid obligations, including all exhibits, attachments and related documents and any amendments,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of request by Hospital.</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64" w:right="639" w:bottom="1440" w:gutter="0" w:footer="0" w:header="0"/>
        </w:sectPr>
      </w:pPr>
    </w:p>
    <w:bookmarkStart w:id="307" w:name="page308"/>
    <w:bookmarkEnd w:id="307"/>
    <w:p>
      <w:pPr>
        <w:ind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2.2 </w:t>
      </w:r>
      <w:r>
        <w:rPr>
          <w:rFonts w:ascii="Arial" w:cs="Arial" w:eastAsia="Arial" w:hAnsi="Arial"/>
          <w:sz w:val="16"/>
          <w:szCs w:val="16"/>
          <w:u w:val="single" w:color="auto"/>
          <w:color w:val="auto"/>
        </w:rPr>
        <w:t>Sublicenses</w:t>
      </w:r>
      <w:r>
        <w:rPr>
          <w:rFonts w:ascii="Arial" w:cs="Arial" w:eastAsia="Arial" w:hAnsi="Arial"/>
          <w:sz w:val="16"/>
          <w:szCs w:val="16"/>
          <w:color w:val="auto"/>
        </w:rPr>
        <w:t xml:space="preserve">. Each sublicense granted hereunder shall be in writing, consistent with and comply with all terms of this Agreement, shall incorporate terms and conditions sufficient to enable Company to comply with this Agreement, shall prohibit any further sublicense or assignment by a Sublicensee without prior written notice to Hospital and the opportunity for review by Hospital solely to confirm compliance with the terms and conditions applicable to all sublicenses hereunder, and shall provide that Hospital is a third party beneficiary thereof. Company will timely notify Hospital of a contemplated sublicense and Hospital will provide comments and input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such notice. Company will provide Hospital with a fully signed non-redacted copy of all sublicense agreements and amendments thereto, including all exhibits, attachments and related documents,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executing the same. Upon termination of this Agreement or any license granted hereunder for any reason, any sublicenses shall be addressed in accordance with Section 10.7. Any sublicense which is not in accordance with the forgoing provisions shall be null and void.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Retained Rights: Requirements</w:t>
      </w:r>
      <w:r>
        <w:rPr>
          <w:rFonts w:ascii="Arial" w:cs="Arial" w:eastAsia="Arial" w:hAnsi="Arial"/>
          <w:sz w:val="17"/>
          <w:szCs w:val="17"/>
          <w:color w:val="auto"/>
        </w:rPr>
        <w:t>. Any and all licenses granted hereunder are subject to:</w:t>
      </w:r>
    </w:p>
    <w:p>
      <w:pPr>
        <w:spacing w:after="0" w:line="118" w:lineRule="exact"/>
        <w:rPr>
          <w:sz w:val="20"/>
          <w:szCs w:val="20"/>
          <w:color w:val="auto"/>
        </w:rPr>
      </w:pPr>
    </w:p>
    <w:p>
      <w:pPr>
        <w:ind w:firstLine="424"/>
        <w:spacing w:after="0" w:line="262" w:lineRule="auto"/>
        <w:tabs>
          <w:tab w:leader="none" w:pos="66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right of Hospital and Hospital’s Affiliates academic, government and not-for-profit institutions, to make and to use Patent Rights solely for their own internal academic and educational research purposes and not for any use with or for the benefit of any for-profit or commercial third party or for any use in the context of any commercially-sponsored research. Any compounds claimed in Patent Rights provided by Hospital to third parties shall be subject to a Materials Transfer Agreement with terms including, but not limited to the following and that will require that the material: (a) shall not be used in humans, (b) shall be subject to an agreed statement of work, (c) be used only for non-commercial purposes, (c), shall be subject to invention reporting requirements, and (d) have a defined term.</w:t>
      </w:r>
    </w:p>
    <w:p>
      <w:pPr>
        <w:spacing w:after="0" w:line="77" w:lineRule="exact"/>
        <w:rPr>
          <w:rFonts w:ascii="Arial" w:cs="Arial" w:eastAsia="Arial" w:hAnsi="Arial"/>
          <w:sz w:val="17"/>
          <w:szCs w:val="17"/>
          <w:color w:val="auto"/>
        </w:rPr>
      </w:pPr>
    </w:p>
    <w:p>
      <w:pPr>
        <w:jc w:val="both"/>
        <w:ind w:right="360" w:firstLine="424"/>
        <w:spacing w:after="0" w:line="272" w:lineRule="auto"/>
        <w:tabs>
          <w:tab w:leader="none" w:pos="67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2.3(b) for Patent Rights </w:t>
      </w:r>
      <w:r>
        <w:rPr>
          <w:rFonts w:ascii="Arial" w:cs="Arial" w:eastAsia="Arial" w:hAnsi="Arial"/>
          <w:sz w:val="17"/>
          <w:szCs w:val="17"/>
          <w:u w:val="single" w:color="auto"/>
          <w:color w:val="auto"/>
        </w:rPr>
        <w:t>co-owned or funded by the federal government</w:t>
      </w:r>
      <w:r>
        <w:rPr>
          <w:rFonts w:ascii="Arial" w:cs="Arial" w:eastAsia="Arial" w:hAnsi="Arial"/>
          <w:sz w:val="17"/>
          <w:szCs w:val="17"/>
          <w:color w:val="auto"/>
          <w:strike w:val="1"/>
        </w:rPr>
        <w:t>supported by federal funding</w:t>
      </w:r>
      <w:r>
        <w:rPr>
          <w:rFonts w:ascii="Arial" w:cs="Arial" w:eastAsia="Arial" w:hAnsi="Arial"/>
          <w:sz w:val="17"/>
          <w:szCs w:val="17"/>
          <w:color w:val="auto"/>
        </w:rPr>
        <w:t>, the rights, conditions and limitations imposed by U.S. law (</w:t>
      </w:r>
      <w:r>
        <w:rPr>
          <w:rFonts w:ascii="Arial" w:cs="Arial" w:eastAsia="Arial" w:hAnsi="Arial"/>
          <w:sz w:val="17"/>
          <w:szCs w:val="17"/>
          <w:i w:val="1"/>
          <w:iCs w:val="1"/>
          <w:color w:val="auto"/>
        </w:rPr>
        <w:t>see</w:t>
      </w:r>
      <w:r>
        <w:rPr>
          <w:rFonts w:ascii="Arial" w:cs="Arial" w:eastAsia="Arial" w:hAnsi="Arial"/>
          <w:sz w:val="17"/>
          <w:szCs w:val="17"/>
          <w:color w:val="auto"/>
        </w:rPr>
        <w:t xml:space="preserve"> 35 U.S.C. § 202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regulations pertaining thereto) </w:t>
      </w:r>
      <w:r>
        <w:rPr>
          <w:rFonts w:ascii="Arial" w:cs="Arial" w:eastAsia="Arial" w:hAnsi="Arial"/>
          <w:sz w:val="17"/>
          <w:szCs w:val="17"/>
          <w:u w:val="single" w:color="auto"/>
          <w:color w:val="auto"/>
        </w:rPr>
        <w:t>and by the Hospital-NIH IIA</w:t>
      </w:r>
      <w:r>
        <w:rPr>
          <w:rFonts w:ascii="Arial" w:cs="Arial" w:eastAsia="Arial" w:hAnsi="Arial"/>
          <w:sz w:val="17"/>
          <w:szCs w:val="17"/>
          <w:color w:val="auto"/>
        </w:rPr>
        <w:t>, as applicable, including without limitation:</w:t>
      </w:r>
    </w:p>
    <w:p>
      <w:pPr>
        <w:spacing w:after="0" w:line="66" w:lineRule="exact"/>
        <w:rPr>
          <w:sz w:val="20"/>
          <w:szCs w:val="20"/>
          <w:color w:val="auto"/>
        </w:rPr>
      </w:pPr>
    </w:p>
    <w:p>
      <w:pPr>
        <w:ind w:left="640" w:hanging="216"/>
        <w:spacing w:after="0"/>
        <w:tabs>
          <w:tab w:leader="none" w:pos="64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the NIH’s right to receive Company’s confidential information to ensure compliance with the teens of the Hospital-NIH IIA Agreement;</w:t>
      </w:r>
    </w:p>
    <w:p>
      <w:pPr>
        <w:spacing w:after="0" w:line="117" w:lineRule="exact"/>
        <w:rPr>
          <w:rFonts w:ascii="Arial" w:cs="Arial" w:eastAsia="Arial" w:hAnsi="Arial"/>
          <w:sz w:val="17"/>
          <w:szCs w:val="17"/>
          <w:color w:val="auto"/>
        </w:rPr>
      </w:pPr>
    </w:p>
    <w:p>
      <w:pPr>
        <w:ind w:left="680" w:hanging="256"/>
        <w:spacing w:after="0"/>
        <w:tabs>
          <w:tab w:leader="none" w:pos="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royalty-free nonexclusive license </w:t>
      </w:r>
      <w:r>
        <w:rPr>
          <w:rFonts w:ascii="Arial" w:cs="Arial" w:eastAsia="Arial" w:hAnsi="Arial"/>
          <w:sz w:val="17"/>
          <w:szCs w:val="17"/>
          <w:u w:val="single" w:color="auto"/>
          <w:color w:val="auto"/>
        </w:rPr>
        <w:t>rights as required to be retained by</w:t>
      </w:r>
      <w:r>
        <w:rPr>
          <w:rFonts w:ascii="Arial" w:cs="Arial" w:eastAsia="Arial" w:hAnsi="Arial"/>
          <w:sz w:val="17"/>
          <w:szCs w:val="17"/>
          <w:color w:val="auto"/>
        </w:rPr>
        <w:t xml:space="preserve"> </w:t>
      </w:r>
      <w:r>
        <w:rPr>
          <w:rFonts w:ascii="Arial" w:cs="Arial" w:eastAsia="Arial" w:hAnsi="Arial"/>
          <w:sz w:val="17"/>
          <w:szCs w:val="17"/>
          <w:color w:val="auto"/>
          <w:strike w:val="1"/>
        </w:rPr>
        <w:t>granted to</w:t>
      </w:r>
      <w:r>
        <w:rPr>
          <w:rFonts w:ascii="Arial" w:cs="Arial" w:eastAsia="Arial" w:hAnsi="Arial"/>
          <w:sz w:val="17"/>
          <w:szCs w:val="17"/>
          <w:color w:val="auto"/>
        </w:rPr>
        <w:t xml:space="preserve"> the U.S. government; and;</w:t>
      </w:r>
    </w:p>
    <w:p>
      <w:pPr>
        <w:spacing w:after="0" w:line="131" w:lineRule="exact"/>
        <w:rPr>
          <w:sz w:val="20"/>
          <w:szCs w:val="20"/>
          <w:color w:val="auto"/>
        </w:rPr>
      </w:pPr>
    </w:p>
    <w:p>
      <w:pPr>
        <w:ind w:left="1360" w:hanging="409"/>
        <w:spacing w:after="0" w:line="287" w:lineRule="auto"/>
        <w:tabs>
          <w:tab w:leader="none" w:pos="13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requirement that any Products (in final, finished form) used or sold in the United States shall be manufactured substantially in the United States.</w:t>
      </w:r>
    </w:p>
    <w:p>
      <w:pPr>
        <w:spacing w:after="0" w:line="55"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Additional Rights</w:t>
      </w:r>
      <w:r>
        <w:rPr>
          <w:rFonts w:ascii="Arial" w:cs="Arial" w:eastAsia="Arial" w:hAnsi="Arial"/>
          <w:sz w:val="16"/>
          <w:szCs w:val="16"/>
          <w:color w:val="auto"/>
        </w:rPr>
        <w:t>. It is understood that nothing in this Agreement shall be construed to grant Company or any of its Affiliates a license, express or implied, under any patent owned solely or jointly by Hospital other than the Patent Rights expressly licensed hereunder. Hospital shall have the right to license any Patent Rights to any other party for any purpose outside of the License Field or the License Territory.</w:t>
      </w:r>
    </w:p>
    <w:p>
      <w:pPr>
        <w:spacing w:after="0" w:line="44" w:lineRule="exact"/>
        <w:rPr>
          <w:sz w:val="20"/>
          <w:szCs w:val="20"/>
          <w:color w:val="auto"/>
        </w:rPr>
      </w:pPr>
    </w:p>
    <w:p>
      <w:pPr>
        <w:jc w:val="both"/>
        <w:ind w:right="100"/>
        <w:spacing w:after="0" w:line="32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Disclosure of Technological Information</w:t>
      </w:r>
      <w:r>
        <w:rPr>
          <w:rFonts w:ascii="Arial" w:cs="Arial" w:eastAsia="Arial" w:hAnsi="Arial"/>
          <w:sz w:val="16"/>
          <w:szCs w:val="16"/>
          <w:color w:val="auto"/>
        </w:rPr>
        <w:t xml:space="preserve">. At Company’s request prior to execution of this Agreement, Hospital (through </w:t>
      </w:r>
      <w:r>
        <w:rPr>
          <w:rFonts w:ascii="Arial" w:cs="Arial" w:eastAsia="Arial" w:hAnsi="Arial"/>
          <w:sz w:val="16"/>
          <w:szCs w:val="16"/>
          <w:b w:val="1"/>
          <w:bCs w:val="1"/>
          <w:color w:val="auto"/>
        </w:rPr>
        <w:t>[***]</w:t>
      </w:r>
      <w:r>
        <w:rPr>
          <w:rFonts w:ascii="Arial" w:cs="Arial" w:eastAsia="Arial" w:hAnsi="Arial"/>
          <w:sz w:val="16"/>
          <w:szCs w:val="16"/>
          <w:color w:val="auto"/>
        </w:rPr>
        <w:t xml:space="preserve">) shall use reasonable efforts to disclose in confidence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execution of this Agreement, the Technological Information licensed hereunder.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620" w:top="270" w:right="639" w:bottom="1440" w:gutter="0" w:footer="0" w:header="0"/>
        </w:sectPr>
      </w:pPr>
    </w:p>
    <w:bookmarkStart w:id="308" w:name="page309"/>
    <w:bookmarkEnd w:id="308"/>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 DUE DILIGENCE OBLIGATIONS</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Diligence Requirements</w:t>
      </w:r>
      <w:r>
        <w:rPr>
          <w:rFonts w:ascii="Arial" w:cs="Arial" w:eastAsia="Arial" w:hAnsi="Arial"/>
          <w:sz w:val="17"/>
          <w:szCs w:val="17"/>
          <w:color w:val="auto"/>
        </w:rPr>
        <w:t>. Company shall use, and shall cause its Affiliates and Sublicensees, as applicable, to use, its Commercially Reasonable Efforts to develop and make available to the public Products and Processes throughout the License Territory in the License Field. Such efforts shall be deemed fully satisfied by achieving or substantially achieving the following objectives within the time periods designated below following the Effective Date, subject to any mutually agreed-upon adjustments to the timing requirements stated below in view of all Relevant Factors as described in Section 3.2 below:</w:t>
      </w:r>
    </w:p>
    <w:p>
      <w:pPr>
        <w:spacing w:after="0" w:line="87" w:lineRule="exact"/>
        <w:rPr>
          <w:sz w:val="20"/>
          <w:szCs w:val="20"/>
          <w:color w:val="auto"/>
        </w:rPr>
      </w:pPr>
    </w:p>
    <w:p>
      <w:pPr>
        <w:ind w:left="940" w:hanging="524"/>
        <w:spacing w:after="0"/>
        <w:tabs>
          <w:tab w:leader="none" w:pos="94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Pre-Sales Requirements</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1360" w:right="300" w:hanging="409"/>
        <w:spacing w:after="0" w:line="295" w:lineRule="auto"/>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Effective Date) and </w:t>
      </w:r>
      <w:r>
        <w:rPr>
          <w:rFonts w:ascii="Arial" w:cs="Arial" w:eastAsia="Arial" w:hAnsi="Arial"/>
          <w:sz w:val="17"/>
          <w:szCs w:val="17"/>
          <w:b w:val="1"/>
          <w:bCs w:val="1"/>
          <w:color w:val="auto"/>
        </w:rPr>
        <w:t>[***]</w:t>
      </w:r>
      <w:r>
        <w:rPr>
          <w:rFonts w:ascii="Arial" w:cs="Arial" w:eastAsia="Arial" w:hAnsi="Arial"/>
          <w:sz w:val="17"/>
          <w:szCs w:val="17"/>
          <w:color w:val="auto"/>
        </w:rPr>
        <w:t xml:space="preserve"> thereafter, submit a commercial development plan to Hospital (the “Development Plan”) including plans as shown in </w:t>
      </w:r>
      <w:r>
        <w:rPr>
          <w:rFonts w:ascii="Arial" w:cs="Arial" w:eastAsia="Arial" w:hAnsi="Arial"/>
          <w:sz w:val="17"/>
          <w:szCs w:val="17"/>
          <w:u w:val="single" w:color="auto"/>
          <w:color w:val="auto"/>
        </w:rPr>
        <w:t>Appendix F</w:t>
      </w:r>
      <w:r>
        <w:rPr>
          <w:rFonts w:ascii="Arial" w:cs="Arial" w:eastAsia="Arial" w:hAnsi="Arial"/>
          <w:sz w:val="17"/>
          <w:szCs w:val="17"/>
          <w:color w:val="auto"/>
        </w:rPr>
        <w:t>, for making/raising investment and hiring management;</w:t>
      </w:r>
    </w:p>
    <w:p>
      <w:pPr>
        <w:spacing w:after="0" w:line="54"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Effective Date,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conduct </w:t>
      </w: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will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will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will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will </w:t>
      </w:r>
      <w:r>
        <w:rPr>
          <w:rFonts w:ascii="Arial" w:cs="Arial" w:eastAsia="Arial" w:hAnsi="Arial"/>
          <w:sz w:val="17"/>
          <w:szCs w:val="17"/>
          <w:b w:val="1"/>
          <w:bCs w:val="1"/>
          <w:color w:val="auto"/>
        </w:rPr>
        <w:t>[***]</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Within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will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ind w:left="940" w:hanging="524"/>
        <w:spacing w:after="0"/>
        <w:tabs>
          <w:tab w:leader="none" w:pos="94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Post-Sales Requirements</w:t>
      </w:r>
      <w:r>
        <w:rPr>
          <w:rFonts w:ascii="Arial" w:cs="Arial" w:eastAsia="Arial" w:hAnsi="Arial"/>
          <w:sz w:val="17"/>
          <w:szCs w:val="17"/>
          <w:color w:val="auto"/>
        </w:rPr>
        <w:t>.</w:t>
      </w:r>
    </w:p>
    <w:p>
      <w:pPr>
        <w:spacing w:after="0" w:line="131" w:lineRule="exact"/>
        <w:rPr>
          <w:sz w:val="20"/>
          <w:szCs w:val="20"/>
          <w:color w:val="auto"/>
        </w:rPr>
      </w:pPr>
    </w:p>
    <w:p>
      <w:pPr>
        <w:ind w:left="1360" w:right="300" w:hanging="409"/>
        <w:spacing w:after="0" w:line="272" w:lineRule="auto"/>
        <w:tabs>
          <w:tab w:leader="none" w:pos="13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Following the First Commercial Sale in any country in the License Territory, Company shall itself or through its Distributors, Affiliates and/or Sublicensees make continuing Sales in such country without any elapsed time period of </w:t>
      </w:r>
      <w:r>
        <w:rPr>
          <w:rFonts w:ascii="Arial" w:cs="Arial" w:eastAsia="Arial" w:hAnsi="Arial"/>
          <w:sz w:val="17"/>
          <w:szCs w:val="17"/>
          <w:b w:val="1"/>
          <w:bCs w:val="1"/>
          <w:color w:val="auto"/>
        </w:rPr>
        <w:t>[***]</w:t>
      </w:r>
      <w:r>
        <w:rPr>
          <w:rFonts w:ascii="Arial" w:cs="Arial" w:eastAsia="Arial" w:hAnsi="Arial"/>
          <w:sz w:val="17"/>
          <w:szCs w:val="17"/>
          <w:color w:val="auto"/>
        </w:rPr>
        <w:t xml:space="preserve"> or more in which such Sales do not occur.</w:t>
      </w:r>
    </w:p>
    <w:p>
      <w:pPr>
        <w:spacing w:after="0" w:line="79" w:lineRule="exact"/>
        <w:rPr>
          <w:rFonts w:ascii="Arial" w:cs="Arial" w:eastAsia="Arial" w:hAnsi="Arial"/>
          <w:sz w:val="17"/>
          <w:szCs w:val="17"/>
          <w:color w:val="auto"/>
        </w:rPr>
      </w:pPr>
    </w:p>
    <w:p>
      <w:pPr>
        <w:ind w:left="1360" w:right="420" w:hanging="409"/>
        <w:spacing w:after="0" w:line="287" w:lineRule="auto"/>
        <w:tabs>
          <w:tab w:leader="none" w:pos="13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Company shall itself or through an Affiliate, Distributor or Sublicensee make such First Commercial Sale within the following countries and regions in the License Territory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Effective Date of this Agreement: </w:t>
      </w:r>
      <w:r>
        <w:rPr>
          <w:rFonts w:ascii="Arial" w:cs="Arial" w:eastAsia="Arial" w:hAnsi="Arial"/>
          <w:sz w:val="17"/>
          <w:szCs w:val="17"/>
          <w:b w:val="1"/>
          <w:bCs w:val="1"/>
          <w:color w:val="auto"/>
        </w:rPr>
        <w: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620" w:top="264" w:right="679" w:bottom="1440" w:gutter="0" w:footer="0" w:header="0"/>
        </w:sectPr>
      </w:pPr>
    </w:p>
    <w:bookmarkStart w:id="309" w:name="page310"/>
    <w:bookmarkEnd w:id="309"/>
    <w:p>
      <w:pPr>
        <w:ind w:right="280" w:firstLine="426"/>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Achievement of all or substantially all of the foregoing objectives shall be deemed to fully satisfy Company’s obligations to use Commercially Reasonable Efforts under this Section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Diligence Failures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Diligence Reports</w:t>
      </w:r>
      <w:r>
        <w:rPr>
          <w:rFonts w:ascii="Arial" w:cs="Arial" w:eastAsia="Arial" w:hAnsi="Arial"/>
          <w:sz w:val="17"/>
          <w:szCs w:val="17"/>
          <w:color w:val="auto"/>
        </w:rPr>
        <w:t>. Company shall provide all reports with respect to its obligations under Section 3.1 as set forth in Section 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 PAYMENTS AND ROYALTIES</w:t>
      </w:r>
    </w:p>
    <w:p>
      <w:pPr>
        <w:spacing w:after="0" w:line="228"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License Issue Fee</w:t>
      </w:r>
      <w:r>
        <w:rPr>
          <w:rFonts w:ascii="Arial" w:cs="Arial" w:eastAsia="Arial" w:hAnsi="Arial"/>
          <w:sz w:val="17"/>
          <w:szCs w:val="17"/>
          <w:color w:val="auto"/>
        </w:rPr>
        <w:t xml:space="preserve">. Company shall pay Hospital a non-refundable license issue fee in the amount of One Hundred Thousand U.S. Dollars ($100,000)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Effective Date of this Agreement.</w:t>
      </w:r>
    </w:p>
    <w:p>
      <w:pPr>
        <w:spacing w:after="0" w:line="15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Patent Cost Reimbursement</w:t>
      </w:r>
      <w:r>
        <w:rPr>
          <w:rFonts w:ascii="Arial" w:cs="Arial" w:eastAsia="Arial" w:hAnsi="Arial"/>
          <w:sz w:val="16"/>
          <w:szCs w:val="16"/>
          <w:color w:val="auto"/>
        </w:rPr>
        <w:t xml:space="preserve">. Company shall reimburse Hospital for all reasonable and documented costs associated with the preparation, filing, prosecution and maintenance of all Patent Rights (“Patent Costs”). As of the Effective Date, Hospital has incurred approximately two hundred and eighty thousand dollars ($280,000.00) U.S. dollars in Patent Costs, which amount Company shall pay to Hospital in three semi-annual installments, with the first payment due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Effective Date of this Agreement. Company shall pay to Hospital, or at Hospital’s request directly to patent counsel, all other Patent Costs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Company’s receipt of an invoice for such Patent Costs either from Hospital or Hospital’s patent counsel. Company agrees to indemnify, defend and hold Hospital harmless from and against any and all liabilities, damages, costs and expenses arising from the failure of Company to timely pay such invoices and Patent Costs. Hospital shall instruct patent counsel to provide copies to Hospital for Hospital’s administrative files of all invoices detailing Patent Costs which are sent directly to Company. If Company pays any Patent Costs directly, Company shall advise patent counsel that Hospital is and shall remain patent counsel’s client.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Annual License Fee; Annual Minimum Royalty</w:t>
      </w:r>
      <w:r>
        <w:rPr>
          <w:rFonts w:ascii="Arial" w:cs="Arial" w:eastAsia="Arial" w:hAnsi="Arial"/>
          <w:sz w:val="17"/>
          <w:szCs w:val="17"/>
          <w:color w:val="auto"/>
        </w:rPr>
        <w:t>.</w:t>
      </w:r>
    </w:p>
    <w:p>
      <w:pPr>
        <w:spacing w:after="0" w:line="131" w:lineRule="exact"/>
        <w:rPr>
          <w:sz w:val="20"/>
          <w:szCs w:val="20"/>
          <w:color w:val="auto"/>
        </w:rPr>
      </w:pPr>
    </w:p>
    <w:p>
      <w:pPr>
        <w:ind w:left="940" w:hanging="524"/>
        <w:spacing w:after="0" w:line="272" w:lineRule="auto"/>
        <w:tabs>
          <w:tab w:leader="none" w:pos="940"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Before First Commercial Sale</w:t>
      </w:r>
      <w:r>
        <w:rPr>
          <w:rFonts w:ascii="Arial" w:cs="Arial" w:eastAsia="Arial" w:hAnsi="Arial"/>
          <w:sz w:val="17"/>
          <w:szCs w:val="17"/>
          <w:color w:val="auto"/>
        </w:rPr>
        <w:t xml:space="preserve">. Prior to the First Commercial Sale, Company shall pay to Hospital the following non-refundable amounts as an annual license fee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each of the following anniversaries of the Effective Date of the License: The annual license fees shall be credited in full against any royalties subsequently due on Net Sales during the same calendar year:</w:t>
      </w:r>
    </w:p>
    <w:p>
      <w:pPr>
        <w:spacing w:after="0" w:line="73" w:lineRule="exact"/>
        <w:rPr>
          <w:rFonts w:ascii="Arial" w:cs="Arial" w:eastAsia="Arial" w:hAnsi="Arial"/>
          <w:sz w:val="17"/>
          <w:szCs w:val="17"/>
          <w:color w:val="auto"/>
        </w:rPr>
      </w:pPr>
    </w:p>
    <w:p>
      <w:pPr>
        <w:ind w:left="1360" w:hanging="409"/>
        <w:spacing w:after="0"/>
        <w:tabs>
          <w:tab w:leader="none" w:pos="1360"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5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jc w:val="both"/>
        <w:ind w:left="940" w:hanging="524"/>
        <w:spacing w:after="0" w:line="324" w:lineRule="auto"/>
        <w:tabs>
          <w:tab w:leader="none" w:pos="940" w:val="left"/>
        </w:tabs>
        <w:numPr>
          <w:ilvl w:val="0"/>
          <w:numId w:val="256"/>
        </w:numPr>
        <w:rPr>
          <w:rFonts w:ascii="Arial" w:cs="Arial" w:eastAsia="Arial" w:hAnsi="Arial"/>
          <w:sz w:val="15"/>
          <w:szCs w:val="15"/>
          <w:color w:val="auto"/>
        </w:rPr>
      </w:pPr>
      <w:r>
        <w:rPr>
          <w:rFonts w:ascii="Arial" w:cs="Arial" w:eastAsia="Arial" w:hAnsi="Arial"/>
          <w:sz w:val="15"/>
          <w:szCs w:val="15"/>
          <w:u w:val="single" w:color="auto"/>
          <w:color w:val="auto"/>
        </w:rPr>
        <w:t>After First Commercial Sale</w:t>
      </w:r>
      <w:r>
        <w:rPr>
          <w:rFonts w:ascii="Arial" w:cs="Arial" w:eastAsia="Arial" w:hAnsi="Arial"/>
          <w:sz w:val="15"/>
          <w:szCs w:val="15"/>
          <w:color w:val="auto"/>
        </w:rPr>
        <w:t xml:space="preserve">. Following the First Commercial Sale, Company shall pay Hospital a non-refundable minimum annual royalty in the amount of </w:t>
      </w:r>
      <w:r>
        <w:rPr>
          <w:rFonts w:ascii="Arial" w:cs="Arial" w:eastAsia="Arial" w:hAnsi="Arial"/>
          <w:sz w:val="15"/>
          <w:szCs w:val="15"/>
          <w:b w:val="1"/>
          <w:bCs w:val="1"/>
          <w:color w:val="auto"/>
        </w:rPr>
        <w:t>[***]</w:t>
      </w:r>
      <w:r>
        <w:rPr>
          <w:rFonts w:ascii="Arial" w:cs="Arial" w:eastAsia="Arial" w:hAnsi="Arial"/>
          <w:sz w:val="15"/>
          <w:szCs w:val="15"/>
          <w:color w:val="auto"/>
        </w:rPr>
        <w:t xml:space="preserve"> per year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after each annual anniversary of the Effective Date occurring after the First Commercial Sale. The annual minimum royalty shall be credited in full against royalties subsequently due on Net Sales made during the same calendar year.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620" w:top="270" w:right="639" w:bottom="1440" w:gutter="0" w:footer="0" w:header="0"/>
        </w:sectPr>
      </w:pPr>
    </w:p>
    <w:bookmarkStart w:id="310" w:name="page311"/>
    <w:bookmarkEnd w:id="310"/>
    <w:p>
      <w:pPr>
        <w:ind w:left="2"/>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4.4 </w:t>
      </w:r>
      <w:r>
        <w:rPr>
          <w:rFonts w:ascii="Arial" w:cs="Arial" w:eastAsia="Arial" w:hAnsi="Arial"/>
          <w:sz w:val="15"/>
          <w:szCs w:val="15"/>
          <w:u w:val="single" w:color="auto"/>
          <w:color w:val="auto"/>
        </w:rPr>
        <w:t>Milestone Payments</w:t>
      </w:r>
      <w:r>
        <w:rPr>
          <w:rFonts w:ascii="Arial" w:cs="Arial" w:eastAsia="Arial" w:hAnsi="Arial"/>
          <w:sz w:val="15"/>
          <w:szCs w:val="15"/>
          <w:color w:val="auto"/>
        </w:rPr>
        <w:t>. In addition to the payments set forth in Sections 4.1 through 4.3 above, Company shall pay Hospital milestone payments within</w:t>
      </w:r>
    </w:p>
    <w:p>
      <w:pPr>
        <w:spacing w:after="0" w:line="49" w:lineRule="exact"/>
        <w:rPr>
          <w:sz w:val="20"/>
          <w:szCs w:val="20"/>
          <w:color w:val="auto"/>
        </w:rPr>
      </w:pPr>
    </w:p>
    <w:p>
      <w:pPr>
        <w:ind w:left="422" w:hanging="422"/>
        <w:spacing w:after="0"/>
        <w:tabs>
          <w:tab w:leader="none" w:pos="422"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of the occurrence of the Milestone, as follows:</w:t>
      </w:r>
    </w:p>
    <w:p>
      <w:pPr>
        <w:spacing w:after="0" w:line="105" w:lineRule="exact"/>
        <w:rPr>
          <w:rFonts w:ascii="Arial" w:cs="Arial" w:eastAsia="Arial" w:hAnsi="Arial"/>
          <w:sz w:val="17"/>
          <w:szCs w:val="17"/>
          <w:b w:val="1"/>
          <w:bCs w:val="1"/>
          <w:color w:val="auto"/>
        </w:rPr>
      </w:pPr>
    </w:p>
    <w:p>
      <w:pPr>
        <w:ind w:left="422" w:right="10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 xml:space="preserve">For each of the first three indications or Products, which shall each be payable a maximum of three times in total under the Agreement regardless of the total number of Products or indications progressed. For clarity, in the event Company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61" w:lineRule="exact"/>
        <w:rPr>
          <w:rFonts w:ascii="Arial" w:cs="Arial" w:eastAsia="Arial" w:hAnsi="Arial"/>
          <w:sz w:val="17"/>
          <w:szCs w:val="17"/>
          <w:b w:val="1"/>
          <w:bCs w:val="1"/>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30" w:lineRule="exact"/>
        <w:rPr>
          <w:rFonts w:ascii="Arial" w:cs="Arial" w:eastAsia="Arial" w:hAnsi="Arial"/>
          <w:sz w:val="17"/>
          <w:szCs w:val="17"/>
          <w:color w:val="auto"/>
        </w:rPr>
      </w:pPr>
    </w:p>
    <w:p>
      <w:pPr>
        <w:ind w:left="942" w:hanging="524"/>
        <w:spacing w:after="0"/>
        <w:tabs>
          <w:tab w:leader="none" w:pos="942" w:val="left"/>
        </w:tabs>
        <w:numPr>
          <w:ilvl w:val="1"/>
          <w:numId w:val="25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8" w:lineRule="exact"/>
        <w:rPr>
          <w:sz w:val="20"/>
          <w:szCs w:val="20"/>
          <w:color w:val="auto"/>
        </w:rPr>
      </w:pPr>
    </w:p>
    <w:p>
      <w:pPr>
        <w:ind w:left="2" w:right="80"/>
        <w:spacing w:after="0" w:line="358" w:lineRule="auto"/>
        <w:rPr>
          <w:sz w:val="20"/>
          <w:szCs w:val="20"/>
          <w:color w:val="auto"/>
        </w:rPr>
      </w:pPr>
      <w:r>
        <w:rPr>
          <w:rFonts w:ascii="Arial" w:cs="Arial" w:eastAsia="Arial" w:hAnsi="Arial"/>
          <w:sz w:val="15"/>
          <w:szCs w:val="15"/>
          <w:color w:val="auto"/>
        </w:rPr>
        <w:t>The Company shall be entitled to offset the milestone payments actually paid to Hospital against any amounts that the Company is required to pay to Hospital on account of non-royalty income that is paid to the Company for achievement of the exact same development milestone for the same Product.</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Royalties and Sublicense Income</w:t>
      </w:r>
      <w:r>
        <w:rPr>
          <w:rFonts w:ascii="Arial" w:cs="Arial" w:eastAsia="Arial" w:hAnsi="Arial"/>
          <w:sz w:val="17"/>
          <w:szCs w:val="17"/>
          <w:color w:val="auto"/>
        </w:rPr>
        <w:t>.</w:t>
      </w:r>
    </w:p>
    <w:p>
      <w:pPr>
        <w:spacing w:after="0" w:line="131" w:lineRule="exact"/>
        <w:rPr>
          <w:sz w:val="20"/>
          <w:szCs w:val="20"/>
          <w:color w:val="auto"/>
        </w:rPr>
      </w:pPr>
    </w:p>
    <w:p>
      <w:pPr>
        <w:ind w:left="942" w:right="160" w:hanging="524"/>
        <w:spacing w:after="0" w:line="287" w:lineRule="auto"/>
        <w:tabs>
          <w:tab w:leader="none" w:pos="94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Beginning with the First Commercial Sale by Company, its Affiliates and Sublicensees in the applicable country in the License Territory, Company shall pay Hospital:</w:t>
      </w:r>
    </w:p>
    <w:p>
      <w:pPr>
        <w:spacing w:after="0" w:line="67" w:lineRule="exact"/>
        <w:rPr>
          <w:rFonts w:ascii="Arial" w:cs="Arial" w:eastAsia="Arial" w:hAnsi="Arial"/>
          <w:sz w:val="17"/>
          <w:szCs w:val="17"/>
          <w:color w:val="auto"/>
        </w:rPr>
      </w:pPr>
    </w:p>
    <w:p>
      <w:pPr>
        <w:ind w:left="1362" w:right="480" w:hanging="409"/>
        <w:spacing w:after="0" w:line="266" w:lineRule="auto"/>
        <w:tabs>
          <w:tab w:leader="none" w:pos="1362" w:val="left"/>
        </w:tabs>
        <w:numPr>
          <w:ilvl w:val="1"/>
          <w:numId w:val="258"/>
        </w:numPr>
        <w:rPr>
          <w:rFonts w:ascii="Arial" w:cs="Arial" w:eastAsia="Arial" w:hAnsi="Arial"/>
          <w:sz w:val="17"/>
          <w:szCs w:val="17"/>
          <w:color w:val="auto"/>
        </w:rPr>
      </w:pPr>
      <w:r>
        <w:rPr>
          <w:rFonts w:ascii="Arial" w:cs="Arial" w:eastAsia="Arial" w:hAnsi="Arial"/>
          <w:sz w:val="17"/>
          <w:szCs w:val="17"/>
          <w:color w:val="auto"/>
        </w:rPr>
        <w:t>During the term of any license granted under Section 2.1(a)(i), a royalty on the Net Sales of all Products and Processes the manufacture, use or sale of which is claimed or covered by a Valid Claim within the Patent Rights licensed to Company under Section 2.1(a)(i) for as long as such Valid Claim exists at the time of sale and in the applicable country of sale, as per the scale below:</w:t>
      </w:r>
    </w:p>
    <w:p>
      <w:pPr>
        <w:spacing w:after="0" w:line="67" w:lineRule="exact"/>
        <w:rPr>
          <w:rFonts w:ascii="Arial" w:cs="Arial" w:eastAsia="Arial" w:hAnsi="Arial"/>
          <w:sz w:val="17"/>
          <w:szCs w:val="17"/>
          <w:color w:val="auto"/>
        </w:rPr>
      </w:pPr>
    </w:p>
    <w:p>
      <w:pPr>
        <w:ind w:left="1382" w:right="7880"/>
        <w:spacing w:after="0" w:line="397" w:lineRule="auto"/>
        <w:rPr>
          <w:rFonts w:ascii="Arial" w:cs="Arial" w:eastAsia="Arial" w:hAnsi="Arial"/>
          <w:sz w:val="17"/>
          <w:szCs w:val="17"/>
          <w:color w:val="auto"/>
        </w:rPr>
      </w:pPr>
      <w:r>
        <w:rPr>
          <w:rFonts w:ascii="Arial" w:cs="Arial" w:eastAsia="Arial" w:hAnsi="Arial"/>
          <w:sz w:val="17"/>
          <w:szCs w:val="17"/>
          <w:color w:val="auto"/>
        </w:rPr>
        <w:t xml:space="preserve">Sales of up to </w:t>
      </w:r>
      <w:r>
        <w:rPr>
          <w:rFonts w:ascii="Arial" w:cs="Arial" w:eastAsia="Arial" w:hAnsi="Arial"/>
          <w:sz w:val="17"/>
          <w:szCs w:val="17"/>
          <w:b w:val="1"/>
          <w:bCs w:val="1"/>
          <w:color w:val="auto"/>
        </w:rPr>
        <w:t>[***]</w:t>
      </w:r>
      <w:r>
        <w:rPr>
          <w:rFonts w:ascii="Arial" w:cs="Arial" w:eastAsia="Arial" w:hAnsi="Arial"/>
          <w:sz w:val="17"/>
          <w:szCs w:val="17"/>
          <w:color w:val="auto"/>
        </w:rPr>
        <w:t xml:space="preserve"> Sales above </w:t>
      </w:r>
      <w:r>
        <w:rPr>
          <w:rFonts w:ascii="Arial" w:cs="Arial" w:eastAsia="Arial" w:hAnsi="Arial"/>
          <w:sz w:val="17"/>
          <w:szCs w:val="17"/>
          <w:b w:val="1"/>
          <w:bCs w:val="1"/>
          <w:color w:val="auto"/>
        </w:rPr>
        <w:t>[***]</w:t>
      </w:r>
      <w:r>
        <w:rPr>
          <w:rFonts w:ascii="Arial" w:cs="Arial" w:eastAsia="Arial" w:hAnsi="Arial"/>
          <w:sz w:val="17"/>
          <w:szCs w:val="17"/>
          <w:color w:val="auto"/>
        </w:rPr>
        <w:t xml:space="preserve"> Sales above </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2"/>
          </w:cols>
          <w:pgMar w:left="618" w:top="270" w:right="639" w:bottom="1440" w:gutter="0" w:footer="0" w:header="0"/>
        </w:sectPr>
      </w:pPr>
    </w:p>
    <w:bookmarkStart w:id="311" w:name="page312"/>
    <w:bookmarkEnd w:id="311"/>
    <w:p>
      <w:pPr>
        <w:ind w:left="940" w:right="20" w:hanging="409"/>
        <w:spacing w:after="0" w:line="279" w:lineRule="auto"/>
        <w:tabs>
          <w:tab w:leader="none" w:pos="9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On a product-by-product and country-by-country basis, in the absence of a Valid Claim existing within the licensed Patent Rights under Section 2.1(a)(i) which claims or covers the manufacture, use or sale of the Product or Process at the relevant time and in the applicable country of manufacture, use or sale as described in subpart A(i) above, then, in lieu of the royalty described in subpart A(i) above, and in accordance with Section 2.1(a)(iii) and Section 10.1, running for a period not to exceed ten (10) years from the date of the First Commercial Sale in the applicable country, a royalty of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Net Sales of all such Products and Processes which employ Technological Information; provided, however that such royalty on Technological Information will only be payable if such Technological Information is directed specifically to the composition of matter or the applicable method of synthesis or use of a lead compound for which an IND was filed by Company.</w:t>
      </w:r>
    </w:p>
    <w:p>
      <w:pPr>
        <w:spacing w:after="0" w:line="64" w:lineRule="exact"/>
        <w:rPr>
          <w:rFonts w:ascii="Arial" w:cs="Arial" w:eastAsia="Arial" w:hAnsi="Arial"/>
          <w:sz w:val="16"/>
          <w:szCs w:val="16"/>
          <w:color w:val="auto"/>
        </w:rPr>
      </w:pPr>
    </w:p>
    <w:p>
      <w:pPr>
        <w:ind w:right="20" w:firstLine="4"/>
        <w:spacing w:after="0" w:line="299" w:lineRule="auto"/>
        <w:tabs>
          <w:tab w:leader="none" w:pos="275" w:val="left"/>
        </w:tabs>
        <w:numPr>
          <w:ilvl w:val="0"/>
          <w:numId w:val="260"/>
        </w:numPr>
        <w:rPr>
          <w:rFonts w:ascii="Arial" w:cs="Arial" w:eastAsia="Arial" w:hAnsi="Arial"/>
          <w:sz w:val="15"/>
          <w:szCs w:val="15"/>
          <w:color w:val="auto"/>
        </w:rPr>
      </w:pPr>
      <w:r>
        <w:rPr>
          <w:rFonts w:ascii="Arial" w:cs="Arial" w:eastAsia="Arial" w:hAnsi="Arial"/>
          <w:sz w:val="15"/>
          <w:szCs w:val="15"/>
          <w:color w:val="auto"/>
        </w:rPr>
        <w:t xml:space="preserve">Royalties on annual Net Sales by Company, its Affiliates, and Sublicensees of Derived Products and/or Derived Processes will be payable at </w:t>
      </w:r>
      <w:r>
        <w:rPr>
          <w:rFonts w:ascii="Arial" w:cs="Arial" w:eastAsia="Arial" w:hAnsi="Arial"/>
          <w:sz w:val="15"/>
          <w:szCs w:val="15"/>
          <w:b w:val="1"/>
          <w:bCs w:val="1"/>
          <w:color w:val="auto"/>
        </w:rPr>
        <w:t xml:space="preserve">[***] </w:t>
      </w:r>
      <w:r>
        <w:rPr>
          <w:rFonts w:ascii="Arial" w:cs="Arial" w:eastAsia="Arial" w:hAnsi="Arial"/>
          <w:sz w:val="15"/>
          <w:szCs w:val="15"/>
          <w:color w:val="auto"/>
        </w:rPr>
        <w:t>of the rate payable for Products and Processes as applicable under subpart (A)(i) above. For clarity, the royalty rate shall range from</w:t>
      </w:r>
      <w:r>
        <w:rPr>
          <w:rFonts w:ascii="Arial" w:cs="Arial" w:eastAsia="Arial" w:hAnsi="Arial"/>
          <w:sz w:val="15"/>
          <w:szCs w:val="15"/>
          <w:b w:val="1"/>
          <w:bCs w:val="1"/>
          <w:color w:val="auto"/>
        </w:rPr>
        <w:t xml:space="preserve"> [***] </w:t>
      </w:r>
      <w:r>
        <w:rPr>
          <w:rFonts w:ascii="Arial" w:cs="Arial" w:eastAsia="Arial" w:hAnsi="Arial"/>
          <w:sz w:val="15"/>
          <w:szCs w:val="15"/>
          <w:color w:val="auto"/>
        </w:rPr>
        <w:t>to</w:t>
      </w:r>
    </w:p>
    <w:p>
      <w:pPr>
        <w:spacing w:after="0"/>
        <w:rPr>
          <w:rFonts w:ascii="Arial" w:cs="Arial" w:eastAsia="Arial" w:hAnsi="Arial"/>
          <w:sz w:val="15"/>
          <w:szCs w:val="15"/>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based on sales volume as in Section 4.5(A)(i).</w:t>
      </w:r>
    </w:p>
    <w:p>
      <w:pPr>
        <w:spacing w:after="0" w:line="119" w:lineRule="exact"/>
        <w:rPr>
          <w:sz w:val="20"/>
          <w:szCs w:val="20"/>
          <w:color w:val="auto"/>
        </w:rPr>
      </w:pPr>
    </w:p>
    <w:p>
      <w:pPr>
        <w:ind w:left="940" w:hanging="409"/>
        <w:spacing w:after="0" w:line="266" w:lineRule="auto"/>
        <w:tabs>
          <w:tab w:leader="none" w:pos="9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 xml:space="preserve">On a product-by product and country-by-country basis, Company shall be entitled to reduce the royalty rates otherwise applicable under subpart A or B above on account of generic competition from which Company can demonstrate is of comparable quality and performance and have </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the applicable royalty rate for generic competition will not be reduced by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royalty due, in any reporting period.</w:t>
      </w:r>
    </w:p>
    <w:p>
      <w:pPr>
        <w:spacing w:after="0" w:line="73" w:lineRule="exact"/>
        <w:rPr>
          <w:rFonts w:ascii="Arial" w:cs="Arial" w:eastAsia="Arial" w:hAnsi="Arial"/>
          <w:sz w:val="17"/>
          <w:szCs w:val="17"/>
          <w:color w:val="auto"/>
        </w:rPr>
      </w:pPr>
    </w:p>
    <w:p>
      <w:pPr>
        <w:ind w:right="280" w:firstLine="4"/>
        <w:spacing w:after="0" w:line="272" w:lineRule="auto"/>
        <w:tabs>
          <w:tab w:leader="none" w:pos="28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royalty rate may be reduced by up to 50% for any royalty paid by Company to third parties for their patent rights wherein Company is required to obtain a license from such third party in order to manufacture, use or sell any Product or Process in any country of the License Territory to avoid infringing or misappropriating the intellectual property rights of such third party.</w:t>
      </w:r>
    </w:p>
    <w:p>
      <w:pPr>
        <w:spacing w:after="0" w:line="66" w:lineRule="exact"/>
        <w:rPr>
          <w:rFonts w:ascii="Arial" w:cs="Arial" w:eastAsia="Arial" w:hAnsi="Arial"/>
          <w:sz w:val="17"/>
          <w:szCs w:val="17"/>
          <w:color w:val="auto"/>
        </w:rPr>
      </w:pPr>
    </w:p>
    <w:p>
      <w:pPr>
        <w:ind w:right="260" w:firstLine="4"/>
        <w:spacing w:after="0" w:line="272" w:lineRule="auto"/>
        <w:tabs>
          <w:tab w:leader="none" w:pos="26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For the avoidance of doubt, in no event, shall the royalty rate, when aggregated with any other offsets and credits allowed under this Agreement, be reduced to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royalty otherwise due under Part (A)(i) (A)(ii), C, or D, under this section 4.5, in any reporting period.</w:t>
      </w:r>
    </w:p>
    <w:p>
      <w:pPr>
        <w:spacing w:after="0" w:line="66" w:lineRule="exact"/>
        <w:rPr>
          <w:rFonts w:ascii="Arial" w:cs="Arial" w:eastAsia="Arial" w:hAnsi="Arial"/>
          <w:sz w:val="17"/>
          <w:szCs w:val="17"/>
          <w:color w:val="auto"/>
        </w:rPr>
      </w:pPr>
    </w:p>
    <w:p>
      <w:pPr>
        <w:ind w:right="80" w:firstLine="4"/>
        <w:spacing w:after="0" w:line="287" w:lineRule="auto"/>
        <w:tabs>
          <w:tab w:leader="none" w:pos="25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obligation to pay royalties under this Agreement will be imposed only once with respect to the same unit of product sold by Company, its Affiliates, or Sublicensees, provided, however, that the highest applicable royalty rate for such product shall apply.</w:t>
      </w:r>
    </w:p>
    <w:p>
      <w:pPr>
        <w:spacing w:after="0" w:line="55" w:lineRule="exact"/>
        <w:rPr>
          <w:sz w:val="20"/>
          <w:szCs w:val="20"/>
          <w:color w:val="auto"/>
        </w:rPr>
      </w:pPr>
    </w:p>
    <w:p>
      <w:pPr>
        <w:ind w:right="120" w:firstLine="4"/>
        <w:spacing w:after="0" w:line="287" w:lineRule="auto"/>
        <w:tabs>
          <w:tab w:leader="none" w:pos="26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Company shall pay Hospital a percentage of Sublicense Income as follows, depending upon the stage of development of the relevant Product or Process when the Sublicense is granted:</w:t>
      </w:r>
    </w:p>
    <w:p>
      <w:pPr>
        <w:spacing w:after="0" w:line="49" w:lineRule="exact"/>
        <w:rPr>
          <w:sz w:val="20"/>
          <w:szCs w:val="20"/>
          <w:color w:val="auto"/>
        </w:rPr>
      </w:pPr>
    </w:p>
    <w:p>
      <w:pPr>
        <w:ind w:left="220" w:hanging="216"/>
        <w:spacing w:after="0"/>
        <w:tabs>
          <w:tab w:leader="none" w:pos="220"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260" w:hanging="256"/>
        <w:spacing w:after="0"/>
        <w:tabs>
          <w:tab w:leader="none" w:pos="260"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or</w:t>
      </w:r>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20"/>
          </w:cols>
          <w:pgMar w:left="1040" w:top="270" w:right="639" w:bottom="1440" w:gutter="0" w:footer="0" w:header="0"/>
        </w:sectPr>
      </w:pPr>
    </w:p>
    <w:bookmarkStart w:id="312" w:name="page313"/>
    <w:bookmarkEnd w:id="312"/>
    <w:p>
      <w:pPr>
        <w:ind w:left="722" w:hanging="296"/>
        <w:spacing w:after="0"/>
        <w:tabs>
          <w:tab w:leader="none" w:pos="722"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color w:val="auto"/>
        </w:rPr>
        <w:t>.</w:t>
      </w:r>
    </w:p>
    <w:p>
      <w:pPr>
        <w:spacing w:after="0" w:line="118" w:lineRule="exact"/>
        <w:rPr>
          <w:sz w:val="20"/>
          <w:szCs w:val="20"/>
          <w:color w:val="auto"/>
        </w:rPr>
      </w:pPr>
    </w:p>
    <w:p>
      <w:pPr>
        <w:ind w:left="422" w:right="20" w:firstLine="4"/>
        <w:spacing w:after="0" w:line="295" w:lineRule="auto"/>
        <w:tabs>
          <w:tab w:leader="none" w:pos="67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All payments due to Hospital under this Section 4.5 shall be due and payable by Company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end of each Reporting Period, and shall be accompanied by a report as set forth in Sections 5.3 and 5.4.</w:t>
      </w:r>
    </w:p>
    <w:p>
      <w:pPr>
        <w:spacing w:after="0" w:line="48" w:lineRule="exact"/>
        <w:rPr>
          <w:sz w:val="20"/>
          <w:szCs w:val="20"/>
          <w:color w:val="auto"/>
        </w:rPr>
      </w:pPr>
    </w:p>
    <w:p>
      <w:pPr>
        <w:ind w:left="2" w:right="60"/>
        <w:spacing w:after="0" w:line="296"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Equity</w:t>
      </w:r>
      <w:r>
        <w:rPr>
          <w:rFonts w:ascii="Arial" w:cs="Arial" w:eastAsia="Arial" w:hAnsi="Arial"/>
          <w:sz w:val="15"/>
          <w:szCs w:val="15"/>
          <w:color w:val="auto"/>
        </w:rPr>
        <w:t xml:space="preserve">. As partial consideration for the rights granted in this Agreement, upon Hospital’s execution and delivery to Company of a fully-executed copy of a Stock Issuance Agreement in the form prescribed by Company (a “Issuance Agreement”), Company shall issue to Hospital (a)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Effective Date, that number shares of its common stock that equal </w:t>
      </w:r>
      <w:r>
        <w:rPr>
          <w:rFonts w:ascii="Arial" w:cs="Arial" w:eastAsia="Arial" w:hAnsi="Arial"/>
          <w:sz w:val="15"/>
          <w:szCs w:val="15"/>
          <w:b w:val="1"/>
          <w:bCs w:val="1"/>
          <w:color w:val="auto"/>
        </w:rPr>
        <w:t>[***]</w:t>
      </w:r>
      <w:r>
        <w:rPr>
          <w:rFonts w:ascii="Arial" w:cs="Arial" w:eastAsia="Arial" w:hAnsi="Arial"/>
          <w:sz w:val="15"/>
          <w:szCs w:val="15"/>
          <w:color w:val="auto"/>
        </w:rPr>
        <w:t xml:space="preserve"> of Company’s fully-diluted shares on the Effective Date (the “Shares”), and</w:t>
      </w:r>
    </w:p>
    <w:p>
      <w:pPr>
        <w:spacing w:after="0" w:line="1" w:lineRule="exact"/>
        <w:rPr>
          <w:sz w:val="20"/>
          <w:szCs w:val="20"/>
          <w:color w:val="auto"/>
        </w:rPr>
      </w:pPr>
    </w:p>
    <w:p>
      <w:pPr>
        <w:ind w:left="242" w:hanging="242"/>
        <w:spacing w:after="0"/>
        <w:tabs>
          <w:tab w:leader="none" w:pos="242" w:val="left"/>
        </w:tabs>
        <w:numPr>
          <w:ilvl w:val="0"/>
          <w:numId w:val="26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Board Seat and Co-Investment</w:t>
      </w:r>
      <w:r>
        <w:rPr>
          <w:rFonts w:ascii="Arial" w:cs="Arial" w:eastAsia="Arial" w:hAnsi="Arial"/>
          <w:sz w:val="17"/>
          <w:szCs w:val="17"/>
          <w:color w:val="auto"/>
        </w:rPr>
        <w:t>.</w:t>
      </w:r>
    </w:p>
    <w:p>
      <w:pPr>
        <w:spacing w:after="0" w:line="131" w:lineRule="exact"/>
        <w:rPr>
          <w:sz w:val="20"/>
          <w:szCs w:val="20"/>
          <w:color w:val="auto"/>
        </w:rPr>
      </w:pPr>
    </w:p>
    <w:p>
      <w:pPr>
        <w:ind w:left="942" w:hanging="524"/>
        <w:spacing w:after="0" w:line="259" w:lineRule="auto"/>
        <w:tabs>
          <w:tab w:leader="none" w:pos="942"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For so long as Hospital holds shares of Company stock and The Partners Innovation Fund (PIF) is not represented on Company’s Board of Directors, Company shall invite a representative of Hospital to attend all meetings of its Board of Directors in a nonvoting observer capacity; provided, however, that Hospital shall cause such representative to, and prior to the exercise of the rights contained in this Section 4.7 such representative shall enter into a written agreement with Company providing that such representative will, hold in confidence and trust and to act in a fiduciary manner with respect to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Company and its counsel or result in disclosure of trade secrets or a conflict of interest. </w:t>
      </w:r>
      <w:r>
        <w:rPr>
          <w:rFonts w:ascii="Arial" w:cs="Arial" w:eastAsia="Arial" w:hAnsi="Arial"/>
          <w:sz w:val="17"/>
          <w:szCs w:val="17"/>
          <w:b w:val="1"/>
          <w:bCs w:val="1"/>
          <w:color w:val="auto"/>
        </w:rPr>
        <w:t>[***]</w:t>
      </w:r>
      <w:r>
        <w:rPr>
          <w:rFonts w:ascii="Arial" w:cs="Arial" w:eastAsia="Arial" w:hAnsi="Arial"/>
          <w:sz w:val="17"/>
          <w:szCs w:val="17"/>
          <w:color w:val="auto"/>
        </w:rPr>
        <w:t xml:space="preserve"> and one or more of his collaborators shall be invited to serve as members on Company’s Scientific Advisory Board. The terms and conditions of such membership shall be set forth in a definitive written agreement in the form prescribed by Company.</w:t>
      </w:r>
    </w:p>
    <w:p>
      <w:pPr>
        <w:spacing w:after="0" w:line="90" w:lineRule="exact"/>
        <w:rPr>
          <w:rFonts w:ascii="Arial" w:cs="Arial" w:eastAsia="Arial" w:hAnsi="Arial"/>
          <w:sz w:val="17"/>
          <w:szCs w:val="17"/>
          <w:color w:val="auto"/>
        </w:rPr>
      </w:pPr>
    </w:p>
    <w:p>
      <w:pPr>
        <w:ind w:left="942" w:hanging="524"/>
        <w:spacing w:after="0"/>
        <w:tabs>
          <w:tab w:leader="none" w:pos="942"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4" w:lineRule="exact"/>
        <w:rPr>
          <w:sz w:val="20"/>
          <w:szCs w:val="20"/>
          <w:color w:val="auto"/>
        </w:rPr>
      </w:pPr>
    </w:p>
    <w:p>
      <w:pPr>
        <w:ind w:left="2" w:right="100"/>
        <w:spacing w:after="0" w:line="26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Form of Payment</w:t>
      </w:r>
      <w:r>
        <w:rPr>
          <w:rFonts w:ascii="Arial" w:cs="Arial" w:eastAsia="Arial" w:hAnsi="Arial"/>
          <w:sz w:val="17"/>
          <w:szCs w:val="17"/>
          <w:color w:val="auto"/>
        </w:rPr>
        <w:t>. All payments due under this Agreement shall be drawn on a United States bank and shall be payable in United States dollars. Each payment shall reference this Agreement and its Agreement Number and identify the obligation under this Agreement that the payment satisfies. Conversion of foreign currency to U.S. dollars shall be made at the conversion rate existing in the United States, as reported in The Wall Street Journal, on the last working day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1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2"/>
          </w:cols>
          <w:pgMar w:left="618" w:top="264" w:right="639" w:bottom="1440" w:gutter="0" w:footer="0" w:header="0"/>
        </w:sectPr>
      </w:pPr>
    </w:p>
    <w:bookmarkStart w:id="313" w:name="page314"/>
    <w:bookmarkEnd w:id="313"/>
    <w:p>
      <w:pPr>
        <w:ind w:left="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Checks for all payments due to the Hospital under this Agreement shall be made payable to the Hospital and addressed as set forth below:</w:t>
      </w:r>
    </w:p>
    <w:p>
      <w:pPr>
        <w:spacing w:after="0" w:line="112"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Massachusetts General Hospital</w:t>
      </w:r>
    </w:p>
    <w:p>
      <w:pPr>
        <w:spacing w:after="0" w:line="3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BOA-Lockbox Services</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PCSR Lockbox #</w:t>
      </w:r>
      <w:r>
        <w:rPr>
          <w:rFonts w:ascii="Arial" w:cs="Arial" w:eastAsia="Arial" w:hAnsi="Arial"/>
          <w:sz w:val="17"/>
          <w:szCs w:val="17"/>
          <w:b w:val="1"/>
          <w:bCs w:val="1"/>
          <w:color w:val="auto"/>
        </w:rPr>
        <w:t>[***]</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MA5-527-02-07</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2 Morrissey Blvd</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Dorchester, MA 02125</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Reference Agreement #: </w:t>
      </w:r>
      <w:r>
        <w:rPr>
          <w:rFonts w:ascii="Arial" w:cs="Arial" w:eastAsia="Arial" w:hAnsi="Arial"/>
          <w:sz w:val="17"/>
          <w:szCs w:val="17"/>
          <w:b w:val="1"/>
          <w:bCs w:val="1"/>
          <w:color w:val="auto"/>
        </w:rPr>
        <w: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7"/>
          <w:szCs w:val="17"/>
          <w:color w:val="auto"/>
        </w:rPr>
        <w:t>Payments via wire transfer should be made as follows:</w:t>
      </w:r>
    </w:p>
    <w:p>
      <w:pPr>
        <w:spacing w:after="0" w:line="11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ACH Credit: ABA # </w:t>
      </w:r>
      <w:r>
        <w:rPr>
          <w:rFonts w:ascii="Arial" w:cs="Arial" w:eastAsia="Arial" w:hAnsi="Arial"/>
          <w:sz w:val="17"/>
          <w:szCs w:val="17"/>
          <w:b w:val="1"/>
          <w:bCs w:val="1"/>
          <w:color w:val="auto"/>
        </w:rPr>
        <w:t>[***]</w:t>
      </w:r>
    </w:p>
    <w:p>
      <w:pPr>
        <w:spacing w:after="0" w:line="3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Federal Reserve Wire: </w:t>
      </w:r>
      <w:r>
        <w:rPr>
          <w:rFonts w:ascii="Arial" w:cs="Arial" w:eastAsia="Arial" w:hAnsi="Arial"/>
          <w:sz w:val="17"/>
          <w:szCs w:val="17"/>
          <w:b w:val="1"/>
          <w:bCs w:val="1"/>
          <w:color w:val="auto"/>
        </w:rPr>
        <w:t>[***]</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SWIFT Code: </w:t>
      </w:r>
      <w:r>
        <w:rPr>
          <w:rFonts w:ascii="Arial" w:cs="Arial" w:eastAsia="Arial" w:hAnsi="Arial"/>
          <w:sz w:val="17"/>
          <w:szCs w:val="17"/>
          <w:b w:val="1"/>
          <w:bCs w:val="1"/>
          <w:color w:val="auto"/>
        </w:rPr>
        <w:t>[***]</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Account #</w:t>
      </w:r>
      <w:r>
        <w:rPr>
          <w:rFonts w:ascii="Arial" w:cs="Arial" w:eastAsia="Arial" w:hAnsi="Arial"/>
          <w:sz w:val="17"/>
          <w:szCs w:val="17"/>
          <w:b w:val="1"/>
          <w:bCs w:val="1"/>
          <w:color w:val="auto"/>
        </w:rPr>
        <w:t>[***]</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Massachusetts General Hospital</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Bank of America</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100 Federal Street</w:t>
      </w:r>
    </w:p>
    <w:p>
      <w:pPr>
        <w:spacing w:after="0" w:line="13" w:lineRule="exact"/>
        <w:rPr>
          <w:sz w:val="20"/>
          <w:szCs w:val="20"/>
          <w:color w:val="auto"/>
        </w:rPr>
      </w:pPr>
    </w:p>
    <w:p>
      <w:pPr>
        <w:ind w:left="422"/>
        <w:spacing w:after="0"/>
        <w:rPr>
          <w:sz w:val="20"/>
          <w:szCs w:val="20"/>
          <w:color w:val="auto"/>
        </w:rPr>
      </w:pPr>
      <w:r>
        <w:rPr>
          <w:rFonts w:ascii="Arial" w:cs="Arial" w:eastAsia="Arial" w:hAnsi="Arial"/>
          <w:sz w:val="17"/>
          <w:szCs w:val="17"/>
          <w:color w:val="auto"/>
        </w:rPr>
        <w:t>Boston, MA 02110</w:t>
      </w:r>
    </w:p>
    <w:p>
      <w:pPr>
        <w:spacing w:after="0" w:line="100" w:lineRule="exact"/>
        <w:rPr>
          <w:sz w:val="20"/>
          <w:szCs w:val="20"/>
          <w:color w:val="auto"/>
        </w:rPr>
      </w:pPr>
    </w:p>
    <w:p>
      <w:pPr>
        <w:ind w:left="422"/>
        <w:spacing w:after="0"/>
        <w:rPr>
          <w:sz w:val="20"/>
          <w:szCs w:val="20"/>
          <w:color w:val="auto"/>
        </w:rPr>
      </w:pPr>
      <w:r>
        <w:rPr>
          <w:rFonts w:ascii="Arial" w:cs="Arial" w:eastAsia="Arial" w:hAnsi="Arial"/>
          <w:sz w:val="17"/>
          <w:szCs w:val="17"/>
          <w:color w:val="auto"/>
        </w:rPr>
        <w:t xml:space="preserve">Reference Agreement #: </w:t>
      </w:r>
      <w:r>
        <w:rPr>
          <w:rFonts w:ascii="Arial" w:cs="Arial" w:eastAsia="Arial" w:hAnsi="Arial"/>
          <w:sz w:val="17"/>
          <w:szCs w:val="17"/>
          <w:b w:val="1"/>
          <w:bCs w:val="1"/>
          <w:color w:val="auto"/>
        </w:rPr>
        <w:t>[***]</w:t>
      </w:r>
    </w:p>
    <w:p>
      <w:pPr>
        <w:spacing w:after="0" w:line="124" w:lineRule="exact"/>
        <w:rPr>
          <w:sz w:val="20"/>
          <w:szCs w:val="20"/>
          <w:color w:val="auto"/>
        </w:rPr>
      </w:pPr>
    </w:p>
    <w:p>
      <w:pPr>
        <w:ind w:left="2"/>
        <w:spacing w:after="0" w:line="264"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Overdue Payments</w:t>
      </w:r>
      <w:r>
        <w:rPr>
          <w:rFonts w:ascii="Arial" w:cs="Arial" w:eastAsia="Arial" w:hAnsi="Arial"/>
          <w:sz w:val="17"/>
          <w:szCs w:val="17"/>
          <w:color w:val="auto"/>
        </w:rPr>
        <w:t xml:space="preserve">. The payments due under this Agreement shall, if overdue, bear interest beginning on the first day following the Reporting Period to which such payment was incurred and until payment thereof at a per annum rate equal to </w:t>
      </w:r>
      <w:r>
        <w:rPr>
          <w:rFonts w:ascii="Arial" w:cs="Arial" w:eastAsia="Arial" w:hAnsi="Arial"/>
          <w:sz w:val="17"/>
          <w:szCs w:val="17"/>
          <w:b w:val="1"/>
          <w:bCs w:val="1"/>
          <w:color w:val="auto"/>
        </w:rPr>
        <w:t>[***]</w:t>
      </w:r>
      <w:r>
        <w:rPr>
          <w:rFonts w:ascii="Arial" w:cs="Arial" w:eastAsia="Arial" w:hAnsi="Arial"/>
          <w:sz w:val="17"/>
          <w:szCs w:val="17"/>
          <w:color w:val="auto"/>
        </w:rPr>
        <w:t xml:space="preserve"> above the prime rate in effect on the due date as reported by The Wall Street Journal, </w:t>
      </w:r>
      <w:r>
        <w:rPr>
          <w:rFonts w:ascii="Arial" w:cs="Arial" w:eastAsia="Arial" w:hAnsi="Arial"/>
          <w:sz w:val="17"/>
          <w:szCs w:val="17"/>
          <w:b w:val="1"/>
          <w:bCs w:val="1"/>
          <w:color w:val="auto"/>
        </w:rPr>
        <w:t>[***]</w:t>
      </w:r>
      <w:r>
        <w:rPr>
          <w:rFonts w:ascii="Arial" w:cs="Arial" w:eastAsia="Arial" w:hAnsi="Arial"/>
          <w:sz w:val="17"/>
          <w:szCs w:val="17"/>
          <w:color w:val="auto"/>
        </w:rPr>
        <w:t>, not to exceed the maximum permitted by law. Any such overdue payments when made shall be accompanied by all interest so accrued. Said interest and the payment and acceptance thereof shall not preclude Hospital from exercising any other rights it may have as a consequence of the lateness of any payment.</w:t>
      </w:r>
    </w:p>
    <w:p>
      <w:pPr>
        <w:spacing w:after="0" w:line="381"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5. REPORTS AND RECORDS</w:t>
      </w:r>
    </w:p>
    <w:p>
      <w:pPr>
        <w:spacing w:after="0" w:line="222" w:lineRule="exact"/>
        <w:rPr>
          <w:sz w:val="20"/>
          <w:szCs w:val="20"/>
          <w:color w:val="auto"/>
        </w:rPr>
      </w:pPr>
    </w:p>
    <w:p>
      <w:pPr>
        <w:ind w:left="2" w:right="20"/>
        <w:spacing w:after="0" w:line="30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Diligence Reports</w:t>
      </w:r>
      <w:r>
        <w:rPr>
          <w:rFonts w:ascii="Arial" w:cs="Arial" w:eastAsia="Arial" w:hAnsi="Arial"/>
          <w:sz w:val="16"/>
          <w:szCs w:val="16"/>
          <w:color w:val="auto"/>
        </w:rPr>
        <w:t xml:space="preserv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the end of each calendar year, Company shall report in writing to Hospital on progress made toward the objectives set forth in Section 3.1 during such preceding 12 month period, including, without limitation, progress on research and development, status of applications for regulatory approvals, manufacturing, sublicensing and the number of sublicenses entered into and marketing.</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Milestone Achievement Notification</w:t>
      </w:r>
      <w:r>
        <w:rPr>
          <w:rFonts w:ascii="Arial" w:cs="Arial" w:eastAsia="Arial" w:hAnsi="Arial"/>
          <w:sz w:val="16"/>
          <w:szCs w:val="16"/>
          <w:color w:val="auto"/>
        </w:rPr>
        <w:t>. Company shall report to Hospital the dates on which it achieves the milestones set forth in Section 4.4 within</w:t>
      </w:r>
    </w:p>
    <w:p>
      <w:pPr>
        <w:spacing w:after="0" w:line="37" w:lineRule="exact"/>
        <w:rPr>
          <w:sz w:val="20"/>
          <w:szCs w:val="20"/>
          <w:color w:val="auto"/>
        </w:rPr>
      </w:pPr>
    </w:p>
    <w:p>
      <w:pPr>
        <w:ind w:left="422" w:hanging="422"/>
        <w:spacing w:after="0"/>
        <w:tabs>
          <w:tab w:leader="none" w:pos="422" w:val="left"/>
        </w:tabs>
        <w:numPr>
          <w:ilvl w:val="0"/>
          <w:numId w:val="269"/>
        </w:numPr>
        <w:rPr>
          <w:rFonts w:ascii="Arial" w:cs="Arial" w:eastAsia="Arial" w:hAnsi="Arial"/>
          <w:sz w:val="17"/>
          <w:szCs w:val="17"/>
          <w:b w:val="1"/>
          <w:bCs w:val="1"/>
          <w:color w:val="auto"/>
        </w:rPr>
      </w:pPr>
      <w:r>
        <w:rPr>
          <w:rFonts w:ascii="Arial" w:cs="Arial" w:eastAsia="Arial" w:hAnsi="Arial"/>
          <w:sz w:val="17"/>
          <w:szCs w:val="17"/>
          <w:color w:val="auto"/>
        </w:rPr>
        <w:t>of each such occurrence.</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2"/>
          </w:cols>
          <w:pgMar w:left="618" w:top="271" w:right="639" w:bottom="1440" w:gutter="0" w:footer="0" w:header="0"/>
        </w:sectPr>
      </w:pPr>
    </w:p>
    <w:bookmarkStart w:id="314" w:name="page315"/>
    <w:bookmarkEnd w:id="314"/>
    <w:p>
      <w:pPr>
        <w:ind w:right="20"/>
        <w:spacing w:after="0" w:line="31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5.3 </w:t>
      </w:r>
      <w:r>
        <w:rPr>
          <w:rFonts w:ascii="Arial" w:cs="Arial" w:eastAsia="Arial" w:hAnsi="Arial"/>
          <w:sz w:val="15"/>
          <w:szCs w:val="15"/>
          <w:u w:val="single" w:color="auto"/>
          <w:color w:val="auto"/>
        </w:rPr>
        <w:t>Sales Reports</w:t>
      </w:r>
      <w:r>
        <w:rPr>
          <w:rFonts w:ascii="Arial" w:cs="Arial" w:eastAsia="Arial" w:hAnsi="Arial"/>
          <w:sz w:val="15"/>
          <w:szCs w:val="15"/>
          <w:color w:val="auto"/>
        </w:rPr>
        <w:t xml:space="preserve">. Company shall report to Hospital the date of the First Commercial Sale in each country of the License Territory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of each such occurrence. Following the First Commercial Sale, Company shall deliver reports to Hospital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after the end of each Reporting Period. Each report under this Section 5.4 shall have substantially the format outlined in </w:t>
      </w:r>
      <w:r>
        <w:rPr>
          <w:rFonts w:ascii="Arial" w:cs="Arial" w:eastAsia="Arial" w:hAnsi="Arial"/>
          <w:sz w:val="15"/>
          <w:szCs w:val="15"/>
          <w:b w:val="1"/>
          <w:bCs w:val="1"/>
          <w:color w:val="auto"/>
        </w:rPr>
        <w:t>Appendix C</w:t>
      </w:r>
      <w:r>
        <w:rPr>
          <w:rFonts w:ascii="Arial" w:cs="Arial" w:eastAsia="Arial" w:hAnsi="Arial"/>
          <w:sz w:val="15"/>
          <w:szCs w:val="15"/>
          <w:color w:val="auto"/>
        </w:rPr>
        <w:t>, shall be certified as correct by an officer of Company and shall contain at least the following information as may be pertinent to a royalty accounting hereunder for the immediately preceding Reporting Period:</w:t>
      </w:r>
    </w:p>
    <w:p>
      <w:pPr>
        <w:spacing w:after="0" w:line="53" w:lineRule="exact"/>
        <w:rPr>
          <w:sz w:val="20"/>
          <w:szCs w:val="20"/>
          <w:color w:val="auto"/>
        </w:rPr>
      </w:pPr>
    </w:p>
    <w:p>
      <w:pPr>
        <w:ind w:left="940" w:hanging="524"/>
        <w:spacing w:after="0"/>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number of Products and Processes Sold by Company, its Affiliates and Sublicensees in each country;</w:t>
      </w:r>
    </w:p>
    <w:p>
      <w:pPr>
        <w:spacing w:after="0" w:line="130" w:lineRule="exact"/>
        <w:rPr>
          <w:rFonts w:ascii="Arial" w:cs="Arial" w:eastAsia="Arial" w:hAnsi="Arial"/>
          <w:sz w:val="17"/>
          <w:szCs w:val="17"/>
          <w:color w:val="auto"/>
        </w:rPr>
      </w:pPr>
    </w:p>
    <w:p>
      <w:pPr>
        <w:ind w:left="940" w:right="140" w:hanging="524"/>
        <w:spacing w:after="0" w:line="287" w:lineRule="auto"/>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amounts billed, invoiced and received by Company, its Affiliates and Sublicensees for each Product and Process, in each country, and total billings or payments due or made for all Products and Processes;</w:t>
      </w:r>
    </w:p>
    <w:p>
      <w:pPr>
        <w:spacing w:after="0" w:line="67" w:lineRule="exact"/>
        <w:rPr>
          <w:rFonts w:ascii="Arial" w:cs="Arial" w:eastAsia="Arial" w:hAnsi="Arial"/>
          <w:sz w:val="17"/>
          <w:szCs w:val="17"/>
          <w:color w:val="auto"/>
        </w:rPr>
      </w:pPr>
    </w:p>
    <w:p>
      <w:pPr>
        <w:ind w:left="940" w:right="680" w:hanging="524"/>
        <w:spacing w:after="0" w:line="287" w:lineRule="auto"/>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calculation of Net Sales for the applicable Reporting Period in each country, including an itemized listing of permitted offsets and deductions;</w:t>
      </w:r>
    </w:p>
    <w:p>
      <w:pPr>
        <w:spacing w:after="0" w:line="67" w:lineRule="exact"/>
        <w:rPr>
          <w:rFonts w:ascii="Arial" w:cs="Arial" w:eastAsia="Arial" w:hAnsi="Arial"/>
          <w:sz w:val="17"/>
          <w:szCs w:val="17"/>
          <w:color w:val="auto"/>
        </w:rPr>
      </w:pPr>
    </w:p>
    <w:p>
      <w:pPr>
        <w:ind w:left="940" w:hanging="524"/>
        <w:spacing w:after="0"/>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total royalties payable on Net Sales in U.S. dollars, together with the exchange rates used for conversion; and</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any other payments due to Hospital under this Agreement.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no amounts are due to Hospital for any Reporting Period, the report shall so state.</w:t>
      </w:r>
    </w:p>
    <w:p>
      <w:pPr>
        <w:spacing w:after="0" w:line="1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Sublicense Income Reports</w:t>
      </w:r>
      <w:r>
        <w:rPr>
          <w:rFonts w:ascii="Arial" w:cs="Arial" w:eastAsia="Arial" w:hAnsi="Arial"/>
          <w:sz w:val="17"/>
          <w:szCs w:val="17"/>
          <w:color w:val="auto"/>
        </w:rPr>
        <w:t xml:space="preserve">. Company shall, along with delivering payment as set forth in Section 4.6, report to Hospital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receipt the amount of all Sublicense Income received by Company, and Company’s calculation of the amount due and paid to Hospital from such income, including an itemized listing of the source of income comprising such consideration, and the name and address of each entity making such payments in substantially the format outlined in </w:t>
      </w:r>
      <w:r>
        <w:rPr>
          <w:rFonts w:ascii="Arial" w:cs="Arial" w:eastAsia="Arial" w:hAnsi="Arial"/>
          <w:sz w:val="17"/>
          <w:szCs w:val="17"/>
          <w:b w:val="1"/>
          <w:bCs w:val="1"/>
          <w:color w:val="auto"/>
        </w:rPr>
        <w:t>Appendix D</w:t>
      </w:r>
      <w:r>
        <w:rPr>
          <w:rFonts w:ascii="Arial" w:cs="Arial" w:eastAsia="Arial" w:hAnsi="Arial"/>
          <w:sz w:val="17"/>
          <w:szCs w:val="17"/>
          <w:color w:val="auto"/>
        </w:rPr>
        <w:t>.</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Audit Rights</w:t>
      </w:r>
      <w:r>
        <w:rPr>
          <w:rFonts w:ascii="Arial" w:cs="Arial" w:eastAsia="Arial" w:hAnsi="Arial"/>
          <w:sz w:val="17"/>
          <w:szCs w:val="17"/>
          <w:color w:val="auto"/>
        </w:rPr>
        <w:t xml:space="preserve">. Company shall maintain, and shall cause each of its Affiliates and Sublicensees to maintain, complete and accurate records relating to the rights and obligations under this Agreement and any amounts payable to Hospital in relation to this Agreement, which records shall contain sufficient information to permit Hospital and its representatives to confirm the accuracy of any payments and reports delivered to Hospital and compliance in all other respects with this Agreement. Company shall retain and make available, and shall cause each of its Affiliates and Sublicensees to retain and make available, such records for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end of the calendar year to which they pertain, to Hospital and/or its representatives and upon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 advance written notice, for inspection during normal business hours, to verify any reports and payments made and/or compliance in other respects under this Agreement. If any examination conducted by Hospital or its representatives pursuant to the provisions of this Section show an underreporting or underpayment of </w:t>
      </w:r>
      <w:r>
        <w:rPr>
          <w:rFonts w:ascii="Arial" w:cs="Arial" w:eastAsia="Arial" w:hAnsi="Arial"/>
          <w:sz w:val="17"/>
          <w:szCs w:val="17"/>
          <w:b w:val="1"/>
          <w:bCs w:val="1"/>
          <w:color w:val="auto"/>
        </w:rPr>
        <w:t>[***]</w:t>
      </w:r>
      <w:r>
        <w:rPr>
          <w:rFonts w:ascii="Arial" w:cs="Arial" w:eastAsia="Arial" w:hAnsi="Arial"/>
          <w:sz w:val="17"/>
          <w:szCs w:val="17"/>
          <w:color w:val="auto"/>
        </w:rPr>
        <w:t xml:space="preserve"> or more in any payment due to Hospital hereunder, Company shall bear the full cost of such audit and shall remit any amounts due to Hospital (including interest due in accordance with Section 4.7)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receiving notice thereof from Hospital.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620" w:top="264" w:right="639" w:bottom="1440" w:gutter="0" w:footer="0" w:header="0"/>
        </w:sectPr>
      </w:pPr>
    </w:p>
    <w:bookmarkStart w:id="315" w:name="page316"/>
    <w:bookmarkEnd w:id="315"/>
    <w:p>
      <w:pPr>
        <w:jc w:val="center"/>
        <w:ind w:right="-41"/>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6. PATENT PROSECUTION AND MAINTENANCE</w:t>
      </w:r>
    </w:p>
    <w:p>
      <w:pPr>
        <w:spacing w:after="0" w:line="228" w:lineRule="exact"/>
        <w:rPr>
          <w:sz w:val="20"/>
          <w:szCs w:val="20"/>
          <w:color w:val="auto"/>
        </w:rPr>
      </w:pPr>
    </w:p>
    <w:p>
      <w:pPr>
        <w:jc w:val="both"/>
        <w:ind w:left="2" w:right="6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Prosecution</w:t>
      </w:r>
      <w:r>
        <w:rPr>
          <w:rFonts w:ascii="Arial" w:cs="Arial" w:eastAsia="Arial" w:hAnsi="Arial"/>
          <w:sz w:val="17"/>
          <w:szCs w:val="17"/>
          <w:color w:val="auto"/>
        </w:rPr>
        <w:t>. Hospital shall be responsible for the preparation, filing, prosecution and maintenance of all patent applications and patents included in Patent Rights through patent counsel reasonably acceptable Company. Company shall reimburse Hospital for Patent Costs incurred by Hospital prior to the Effective Date relating thereto in accordance with Section 4.2.</w:t>
      </w:r>
    </w:p>
    <w:p>
      <w:pPr>
        <w:spacing w:after="0" w:line="66" w:lineRule="exact"/>
        <w:rPr>
          <w:sz w:val="20"/>
          <w:szCs w:val="20"/>
          <w:color w:val="auto"/>
        </w:rPr>
      </w:pPr>
    </w:p>
    <w:p>
      <w:pPr>
        <w:ind w:left="2"/>
        <w:spacing w:after="0" w:line="26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Copies of Documents</w:t>
      </w:r>
      <w:r>
        <w:rPr>
          <w:rFonts w:ascii="Arial" w:cs="Arial" w:eastAsia="Arial" w:hAnsi="Arial"/>
          <w:sz w:val="17"/>
          <w:szCs w:val="17"/>
          <w:color w:val="auto"/>
        </w:rPr>
        <w:t>. With respect to any Patent Right licensed hereunder, Hospital shall instruct the patent counsel prosecuting such Patent Right to (i) copy Company on patent prosecution documents that are received from or filed with the United States Patent and Trademark Office and foreign equivalent, as applicable; (ii) provide Company with copies of draft submissions to the USPTO and foreign equivalent, as applicable, prior to filing; and (iii) give consideration to the comments and requests of Company or its patent counsel.</w:t>
      </w:r>
    </w:p>
    <w:p>
      <w:pPr>
        <w:spacing w:after="0" w:line="73" w:lineRule="exact"/>
        <w:rPr>
          <w:sz w:val="20"/>
          <w:szCs w:val="20"/>
          <w:color w:val="auto"/>
        </w:rPr>
      </w:pPr>
    </w:p>
    <w:p>
      <w:pPr>
        <w:ind w:left="2" w:right="120"/>
        <w:spacing w:after="0" w:line="292"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Hospital’s Election Not to Proceed</w:t>
      </w:r>
      <w:r>
        <w:rPr>
          <w:rFonts w:ascii="Arial" w:cs="Arial" w:eastAsia="Arial" w:hAnsi="Arial"/>
          <w:sz w:val="15"/>
          <w:szCs w:val="15"/>
          <w:color w:val="auto"/>
        </w:rPr>
        <w:t xml:space="preserve">. Hospital, will not, without prior written notice Company, abandon any patent application or patent with the Patent Rights. In the event Hospital, in its sole discretion, determines not to prepare, file, prosecute or maintain any patent application or patent within the Licensed Patents in any country in the Territory, Hospital will promptly notify Company thereof, and Company will have the right, at its own expense to prepare, file, prosecute and maintain any patent application or patent in such country in the name of Hospital. If Company fails to assume control of preparation, filing, prosecution and maintenance of such patent application or patent in Patent Rights or if Company otherwise elects to surrender any patent application or patent in Patent Rights in any country upon </w:t>
      </w:r>
      <w:r>
        <w:rPr>
          <w:rFonts w:ascii="Arial" w:cs="Arial" w:eastAsia="Arial" w:hAnsi="Arial"/>
          <w:sz w:val="15"/>
          <w:szCs w:val="15"/>
          <w:b w:val="1"/>
          <w:bCs w:val="1"/>
          <w:color w:val="auto"/>
        </w:rPr>
        <w:t>[***]</w:t>
      </w:r>
      <w:r>
        <w:rPr>
          <w:rFonts w:ascii="Arial" w:cs="Arial" w:eastAsia="Arial" w:hAnsi="Arial"/>
          <w:sz w:val="15"/>
          <w:szCs w:val="15"/>
          <w:color w:val="auto"/>
        </w:rPr>
        <w:t xml:space="preserve"> prior written notice to Hospital, Hospital shall be relieved of its obligations regarding such surrendered patent application or patent under Section 6.2 below and Company shall be relieved of the obligation to reimburse Hospital for future patent expenses with respect to such surrendered patent application or patent; provided, that, Company shall continue to have the obligation to reimburse Hospital for patent expenses incurred in connection with that patent application or patent prior to the expiration of the</w:t>
      </w:r>
    </w:p>
    <w:p>
      <w:pPr>
        <w:spacing w:after="0" w:line="3" w:lineRule="exact"/>
        <w:rPr>
          <w:sz w:val="20"/>
          <w:szCs w:val="20"/>
          <w:color w:val="auto"/>
        </w:rPr>
      </w:pPr>
    </w:p>
    <w:p>
      <w:pPr>
        <w:ind w:left="2" w:right="300" w:hanging="2"/>
        <w:spacing w:after="0" w:line="264" w:lineRule="auto"/>
        <w:tabs>
          <w:tab w:leader="none" w:pos="422"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notice. For purposes of clarity, in the event Company elects to surrender or abandon any patent application or patent in Patent Rights, such application or patent will be excluded from the definition of Rights Hospital shall be free to license its rights to that particular U.S. or foreign patent application or patent to any other party on any terms.</w:t>
      </w:r>
    </w:p>
    <w:p>
      <w:pPr>
        <w:spacing w:after="0" w:line="74" w:lineRule="exact"/>
        <w:rPr>
          <w:sz w:val="20"/>
          <w:szCs w:val="20"/>
          <w:color w:val="auto"/>
        </w:rPr>
      </w:pPr>
    </w:p>
    <w:p>
      <w:pPr>
        <w:ind w:left="2" w:right="180"/>
        <w:spacing w:after="0" w:line="32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Confidentiality of Prosecution and Maintenance Information</w:t>
      </w:r>
      <w:r>
        <w:rPr>
          <w:rFonts w:ascii="Arial" w:cs="Arial" w:eastAsia="Arial" w:hAnsi="Arial"/>
          <w:sz w:val="16"/>
          <w:szCs w:val="16"/>
          <w:color w:val="auto"/>
        </w:rPr>
        <w:t xml:space="preserve">. Company and Hospital each hereby agrees to treat all information received from the other related to prosecution and maintenance of Patent Rights as Confidential Information in accordance with the provisions of </w:t>
      </w:r>
      <w:r>
        <w:rPr>
          <w:rFonts w:ascii="Arial" w:cs="Arial" w:eastAsia="Arial" w:hAnsi="Arial"/>
          <w:sz w:val="16"/>
          <w:szCs w:val="16"/>
          <w:b w:val="1"/>
          <w:bCs w:val="1"/>
          <w:color w:val="auto"/>
        </w:rPr>
        <w:t>Appendix E</w:t>
      </w:r>
      <w:r>
        <w:rPr>
          <w:rFonts w:ascii="Arial" w:cs="Arial" w:eastAsia="Arial" w:hAnsi="Arial"/>
          <w:sz w:val="16"/>
          <w:szCs w:val="16"/>
          <w:color w:val="auto"/>
        </w:rPr>
        <w:t>.</w:t>
      </w:r>
    </w:p>
    <w:p>
      <w:pPr>
        <w:spacing w:after="0" w:line="339" w:lineRule="exact"/>
        <w:rPr>
          <w:sz w:val="20"/>
          <w:szCs w:val="20"/>
          <w:color w:val="auto"/>
        </w:rPr>
      </w:pPr>
    </w:p>
    <w:p>
      <w:pPr>
        <w:jc w:val="center"/>
        <w:ind w:right="-41"/>
        <w:spacing w:after="0"/>
        <w:rPr>
          <w:sz w:val="20"/>
          <w:szCs w:val="20"/>
          <w:color w:val="auto"/>
        </w:rPr>
      </w:pPr>
      <w:r>
        <w:rPr>
          <w:rFonts w:ascii="Arial" w:cs="Arial" w:eastAsia="Arial" w:hAnsi="Arial"/>
          <w:sz w:val="17"/>
          <w:szCs w:val="17"/>
          <w:b w:val="1"/>
          <w:bCs w:val="1"/>
          <w:color w:val="auto"/>
        </w:rPr>
        <w:t>7. THIRD PARTY INFRINGEMENT AND LEGAL ACTIONS</w:t>
      </w:r>
    </w:p>
    <w:p>
      <w:pPr>
        <w:spacing w:after="0" w:line="228" w:lineRule="exact"/>
        <w:rPr>
          <w:sz w:val="20"/>
          <w:szCs w:val="20"/>
          <w:color w:val="auto"/>
        </w:rPr>
      </w:pPr>
    </w:p>
    <w:p>
      <w:pPr>
        <w:ind w:left="2" w:right="40"/>
        <w:spacing w:after="0" w:line="26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Company Right to Prosecute</w:t>
      </w:r>
      <w:r>
        <w:rPr>
          <w:rFonts w:ascii="Arial" w:cs="Arial" w:eastAsia="Arial" w:hAnsi="Arial"/>
          <w:sz w:val="17"/>
          <w:szCs w:val="17"/>
          <w:color w:val="auto"/>
        </w:rPr>
        <w:t>. Company will have the first right, but not the obligation, to protect the Patent Rights from infringement and prosecute infringers when, in its sole judgment, such action may be reasonably necessary, proper and justified. If Company shall have supplied Hospital with written evidence demonstrating to Hospital’s reasonable satisfaction prima facie infringement of a claim of a Patent Right in the License Field in the License Territory by a third party which poses a material threat to Company’s rights under this Agreement, Company may by notice request Hospital to cooperate with Company to take steps to protect such Patent Right.</w:t>
      </w:r>
    </w:p>
    <w:p>
      <w:pPr>
        <w:spacing w:after="0" w:line="113"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02"/>
          </w:cols>
          <w:pgMar w:left="618" w:top="264" w:right="679" w:bottom="1440" w:gutter="0" w:footer="0" w:header="0"/>
        </w:sectPr>
      </w:pPr>
    </w:p>
    <w:bookmarkStart w:id="316" w:name="page317"/>
    <w:bookmarkEnd w:id="316"/>
    <w:p>
      <w:pPr>
        <w:ind w:right="10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7.2 Hospital </w:t>
      </w:r>
      <w:r>
        <w:rPr>
          <w:rFonts w:ascii="Arial" w:cs="Arial" w:eastAsia="Arial" w:hAnsi="Arial"/>
          <w:sz w:val="16"/>
          <w:szCs w:val="16"/>
          <w:u w:val="single" w:color="auto"/>
          <w:color w:val="auto"/>
        </w:rPr>
        <w:t>Right to Prosecute</w:t>
      </w:r>
      <w:r>
        <w:rPr>
          <w:rFonts w:ascii="Arial" w:cs="Arial" w:eastAsia="Arial" w:hAnsi="Arial"/>
          <w:sz w:val="16"/>
          <w:szCs w:val="16"/>
          <w:color w:val="auto"/>
        </w:rPr>
        <w:t>. In the event Company notifies Hospital that Company does not intend to prosecute infringement identified under Section 7.1, Hospital may, upon notice to Company, initiate legal proceedings against the infringer at Hospital’s expense with respect to a claim of a Patent Right in the License Field in the License Territory. Before commencing such action, Hospital and, as applicable, any Affiliate, shall consult with Company , concerning, among other things, Hospital’s standing to bring suit, the advisability of bringing suit, the selection of counsel and the jurisdiction for such action (provided Hospital must have Company’s prior written consent with respect to selection of jurisdiction for any action in which Company may be joined as a party-plaintiff) and shall use reasonable efforts to accommodate the views of Company regarding the proposed action, including without limitation with respect to potential effects on the public interest. Hospital shall be responsible for all costs, expenses and liabilities in connection with any such action and shall indemnify and hold Company harmless therefrom, regardless of whether Company is a party-plaintiff, except for the expense of any independent counsel retained by Company in accordance with Section 7.5 below.</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Company Joined as Party-Plaintiff</w:t>
      </w:r>
      <w:r>
        <w:rPr>
          <w:rFonts w:ascii="Arial" w:cs="Arial" w:eastAsia="Arial" w:hAnsi="Arial"/>
          <w:sz w:val="17"/>
          <w:szCs w:val="17"/>
          <w:color w:val="auto"/>
        </w:rPr>
        <w:t>. If Hospital elects to commence an action as described in Section 7.2 above, Company shall have, in its sole discretion, the option to join such action as a party-plaintiff. If Company is required by law to join such action as a party-plaintiff, Company may either, in its sole discretion, permit itself to be joined as a party-plaintiff at the sole expense of Company.</w:t>
      </w:r>
    </w:p>
    <w:p>
      <w:pPr>
        <w:spacing w:after="0" w:line="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Notice of Actions; Settlement</w:t>
      </w:r>
      <w:r>
        <w:rPr>
          <w:rFonts w:ascii="Arial" w:cs="Arial" w:eastAsia="Arial" w:hAnsi="Arial"/>
          <w:sz w:val="17"/>
          <w:szCs w:val="17"/>
          <w:color w:val="auto"/>
        </w:rPr>
        <w:t>. Each Party shall promptly inform the other Party of any action or suit relating to Patent Rights and shall not enter into any settlement, consent judgment or other voluntary final disposition of any action relating to Patent Rights, including but not limited to appeals, without the prior written consent of Company.</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Cooperation</w:t>
      </w:r>
      <w:r>
        <w:rPr>
          <w:rFonts w:ascii="Arial" w:cs="Arial" w:eastAsia="Arial" w:hAnsi="Arial"/>
          <w:sz w:val="17"/>
          <w:szCs w:val="17"/>
          <w:color w:val="auto"/>
        </w:rPr>
        <w:t>. Each Party agrees to cooperate reasonably in any action under Section 7 which is controlled by the other Party, provided that the controlling party reimburses the cooperating party for any costs and expenses incurred by the cooperating party in connection with providing such assistance, except for the expense of any independent counsel retained by the cooperating party in accordance with this Section 7.5.Such controlling party shall keep the cooperating party informed of the progress of such proceedings and shall make its counsel available to the cooperating party. The cooperating party shall also be entitled to independent counsel in such proceedings but at its own expense, said expense to be offset against any damages received by the Party bringing suit in accordance with Section 7.6.</w:t>
      </w:r>
    </w:p>
    <w:p>
      <w:pPr>
        <w:spacing w:after="0" w:line="77" w:lineRule="exact"/>
        <w:rPr>
          <w:sz w:val="20"/>
          <w:szCs w:val="20"/>
          <w:color w:val="auto"/>
        </w:rPr>
      </w:pPr>
    </w:p>
    <w:p>
      <w:pPr>
        <w:ind w:right="320"/>
        <w:spacing w:after="0" w:line="32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Recovery</w:t>
      </w:r>
      <w:r>
        <w:rPr>
          <w:rFonts w:ascii="Arial" w:cs="Arial" w:eastAsia="Arial" w:hAnsi="Arial"/>
          <w:sz w:val="16"/>
          <w:szCs w:val="16"/>
          <w:color w:val="auto"/>
        </w:rPr>
        <w:t>. Any award paid by third parties as the result of such proceedings (whether by way of settlement or otherwise) shall first be applied to reimbursement of any legal fees and expenses incurred by either Party and then the remainder shall be divided between the Parties as follows:</w:t>
      </w:r>
    </w:p>
    <w:p>
      <w:pPr>
        <w:spacing w:after="0" w:line="39" w:lineRule="exact"/>
        <w:rPr>
          <w:sz w:val="20"/>
          <w:szCs w:val="20"/>
          <w:color w:val="auto"/>
        </w:rPr>
      </w:pPr>
    </w:p>
    <w:p>
      <w:pPr>
        <w:ind w:left="940" w:hanging="524"/>
        <w:spacing w:after="0"/>
        <w:tabs>
          <w:tab w:leader="none" w:pos="9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1360" w:hanging="409"/>
        <w:spacing w:after="0"/>
        <w:tabs>
          <w:tab w:leader="none" w:pos="1360" w:val="left"/>
        </w:tabs>
        <w:numPr>
          <w:ilvl w:val="1"/>
          <w:numId w:val="27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Additional IP</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20"/>
          </w:cols>
          <w:pgMar w:left="620" w:top="270" w:right="65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8. INDEMNIFICATION AND INSURANCE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31" w:lineRule="exact"/>
        <w:rPr>
          <w:sz w:val="20"/>
          <w:szCs w:val="20"/>
          <w:color w:val="auto"/>
        </w:rPr>
      </w:pPr>
    </w:p>
    <w:p>
      <w:pPr>
        <w:ind w:left="940" w:right="40" w:hanging="524"/>
        <w:spacing w:after="0" w:line="260" w:lineRule="auto"/>
        <w:tabs>
          <w:tab w:leader="none" w:pos="9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Company shall indemnify, defend and hold harmless Hospital and its Affiliates and their respective trustees, directors, officers, medical and professional staff, employees, and agents and their respective successors, heirs and assigns (the “Indemnitees”), against any liability, damage, loss or expense (including reasonable attorney’s fees and expenses of litigation) incurred by or imposed upon the Indemnitees or any one of them in connection with any claims, suits, actions, demands or judgments arising out of any theory of product liability (including, but not limited to, actions in the farm of contract, tort, warranty, or strict liability) concerning any Product, Process made, used, or sold or performed pursuant to any right or license granted to Company under this Agreement, except to the extent that such liability, damage, loss or expense result from the gross negligence, wilful misconduct or breach of any of the provisions of this Agreement on the part of any of the Indemnities.</w:t>
      </w:r>
    </w:p>
    <w:p>
      <w:pPr>
        <w:spacing w:after="0" w:line="94" w:lineRule="exact"/>
        <w:rPr>
          <w:rFonts w:ascii="Arial" w:cs="Arial" w:eastAsia="Arial" w:hAnsi="Arial"/>
          <w:sz w:val="17"/>
          <w:szCs w:val="17"/>
          <w:color w:val="auto"/>
        </w:rPr>
      </w:pPr>
    </w:p>
    <w:p>
      <w:pPr>
        <w:ind w:left="940" w:right="180" w:hanging="524"/>
        <w:spacing w:after="0" w:line="262" w:lineRule="auto"/>
        <w:tabs>
          <w:tab w:leader="none" w:pos="9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Company agrees, at its own expense, to provide attorneys reasonably acceptable to the Hospital to defend against any actions brought or filed against any party indemnified hereunder with respect to the subject of indemnity contained herein; provided, however, that any Indemnitee shall have the right to retain its own counsel, at the expense of Company, if representation of such Indemnitee by counsel retained by Company would be inappropriate because of conflict of interests of such Indemnitee and any other party represented by such counsel. Company agrees to keep Hospital informed of the progress in the defense and disposition of such claim and to consult with Hospital prior to any proposed settlement.</w:t>
      </w:r>
    </w:p>
    <w:p>
      <w:pPr>
        <w:spacing w:after="0" w:line="90" w:lineRule="exact"/>
        <w:rPr>
          <w:rFonts w:ascii="Arial" w:cs="Arial" w:eastAsia="Arial" w:hAnsi="Arial"/>
          <w:sz w:val="17"/>
          <w:szCs w:val="17"/>
          <w:color w:val="auto"/>
        </w:rPr>
      </w:pPr>
    </w:p>
    <w:p>
      <w:pPr>
        <w:ind w:left="940" w:hanging="524"/>
        <w:spacing w:after="0"/>
        <w:tabs>
          <w:tab w:leader="none" w:pos="9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This section 8.1 shall survive expiration or termination of this Agreement.</w:t>
      </w:r>
    </w:p>
    <w:p>
      <w:pPr>
        <w:spacing w:after="0" w:line="200" w:lineRule="exact"/>
        <w:rPr>
          <w:sz w:val="20"/>
          <w:szCs w:val="20"/>
          <w:color w:val="auto"/>
        </w:rPr>
      </w:pPr>
    </w:p>
    <w:p>
      <w:pPr>
        <w:spacing w:after="0" w:line="244" w:lineRule="exact"/>
        <w:rPr>
          <w:sz w:val="20"/>
          <w:szCs w:val="20"/>
          <w:color w:val="auto"/>
        </w:rPr>
      </w:pPr>
    </w:p>
    <w:p>
      <w:pPr>
        <w:ind w:left="940" w:hanging="524"/>
        <w:spacing w:after="0" w:line="294" w:lineRule="auto"/>
        <w:tabs>
          <w:tab w:leader="none" w:pos="9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Beginning at such time as any such Product or Process is being commercially distributed, sold, leased or otherwise transferred, or performed or used (other than for the purpose of obtaining regulatory approvals), by Company, an Affiliate or Sublicensee, Company shall, at its sole cost and expense, procure and maintain commercial general liability insurance in amounts not less than $</w:t>
      </w:r>
      <w:r>
        <w:rPr>
          <w:rFonts w:ascii="Arial" w:cs="Arial" w:eastAsia="Arial" w:hAnsi="Arial"/>
          <w:sz w:val="15"/>
          <w:szCs w:val="15"/>
          <w:b w:val="1"/>
          <w:bCs w:val="1"/>
          <w:color w:val="auto"/>
        </w:rPr>
        <w:t>[***]</w:t>
      </w:r>
      <w:r>
        <w:rPr>
          <w:rFonts w:ascii="Arial" w:cs="Arial" w:eastAsia="Arial" w:hAnsi="Arial"/>
          <w:sz w:val="15"/>
          <w:szCs w:val="15"/>
          <w:color w:val="auto"/>
        </w:rPr>
        <w:t xml:space="preserve"> per incident and $</w:t>
      </w:r>
      <w:r>
        <w:rPr>
          <w:rFonts w:ascii="Arial" w:cs="Arial" w:eastAsia="Arial" w:hAnsi="Arial"/>
          <w:sz w:val="15"/>
          <w:szCs w:val="15"/>
          <w:b w:val="1"/>
          <w:bCs w:val="1"/>
          <w:color w:val="auto"/>
        </w:rPr>
        <w:t>[***]</w:t>
      </w:r>
      <w:r>
        <w:rPr>
          <w:rFonts w:ascii="Arial" w:cs="Arial" w:eastAsia="Arial" w:hAnsi="Arial"/>
          <w:sz w:val="15"/>
          <w:szCs w:val="15"/>
          <w:color w:val="auto"/>
        </w:rPr>
        <w:t xml:space="preserve"> annual aggregate and naming the Indemnitees as additional insureds. Such commercial general liability insurance shall provide</w:t>
      </w:r>
    </w:p>
    <w:p>
      <w:pPr>
        <w:spacing w:after="0" w:line="2"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7"/>
          <w:szCs w:val="17"/>
          <w:color w:val="auto"/>
        </w:rPr>
        <w:t>(i) product liability coverage and (ii) broad form contractual liability coverage for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40"/>
          </w:cols>
          <w:pgMar w:left="620" w:top="264" w:right="639" w:bottom="1440" w:gutter="0" w:footer="0" w:header="0"/>
        </w:sectPr>
      </w:pPr>
    </w:p>
    <w:bookmarkStart w:id="318" w:name="page319"/>
    <w:bookmarkEnd w:id="318"/>
    <w:p>
      <w:pPr>
        <w:jc w:val="both"/>
        <w:ind w:left="96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Company’s indemnification under Section 8.1 of this Agreement. If Company elects to self-insure all or part of the limits described above (including deductibles or retentions which are in excess of $</w:t>
      </w:r>
      <w:r>
        <w:rPr>
          <w:rFonts w:ascii="Arial" w:cs="Arial" w:eastAsia="Arial" w:hAnsi="Arial"/>
          <w:sz w:val="16"/>
          <w:szCs w:val="16"/>
          <w:b w:val="1"/>
          <w:bCs w:val="1"/>
          <w:color w:val="auto"/>
        </w:rPr>
        <w:t>[***]</w:t>
      </w:r>
      <w:r>
        <w:rPr>
          <w:rFonts w:ascii="Arial" w:cs="Arial" w:eastAsia="Arial" w:hAnsi="Arial"/>
          <w:sz w:val="16"/>
          <w:szCs w:val="16"/>
          <w:color w:val="auto"/>
        </w:rPr>
        <w:t xml:space="preserve"> annual aggregate) such self-insurance program must be acceptable to the Hospital and the Risk Management Foundation. The minimum amounts of insurance coverage required under this Section 8.2 shall not be construed to create a limit of Company’s liability with respect to its indemnification under Section 8.1 of this Agreement.</w:t>
      </w:r>
    </w:p>
    <w:p>
      <w:pPr>
        <w:spacing w:after="0" w:line="70" w:lineRule="exact"/>
        <w:rPr>
          <w:sz w:val="20"/>
          <w:szCs w:val="20"/>
          <w:color w:val="auto"/>
        </w:rPr>
      </w:pPr>
    </w:p>
    <w:p>
      <w:pPr>
        <w:ind w:left="940" w:right="180" w:hanging="524"/>
        <w:spacing w:after="0" w:line="288" w:lineRule="auto"/>
        <w:tabs>
          <w:tab w:leader="none" w:pos="94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Company shall provide Hospital with written evidence of such insurance upon request of Hospital. Company shall provide Hospital with written notice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the cancellation, non-renewal or material change in such insurance; if Company does not obtain replacement insurance providing comparable coverage prior to the expiration of such </w:t>
      </w:r>
      <w:r>
        <w:rPr>
          <w:rFonts w:ascii="Arial" w:cs="Arial" w:eastAsia="Arial" w:hAnsi="Arial"/>
          <w:sz w:val="16"/>
          <w:szCs w:val="16"/>
          <w:b w:val="1"/>
          <w:bCs w:val="1"/>
          <w:color w:val="auto"/>
        </w:rPr>
        <w:t>[***]</w:t>
      </w:r>
      <w:r>
        <w:rPr>
          <w:rFonts w:ascii="Arial" w:cs="Arial" w:eastAsia="Arial" w:hAnsi="Arial"/>
          <w:sz w:val="16"/>
          <w:szCs w:val="16"/>
          <w:color w:val="auto"/>
        </w:rPr>
        <w:t xml:space="preserve"> period, Hospital shall have the right to terminate this Agreement effective at the end of such </w:t>
      </w:r>
      <w:r>
        <w:rPr>
          <w:rFonts w:ascii="Arial" w:cs="Arial" w:eastAsia="Arial" w:hAnsi="Arial"/>
          <w:sz w:val="16"/>
          <w:szCs w:val="16"/>
          <w:b w:val="1"/>
          <w:bCs w:val="1"/>
          <w:color w:val="auto"/>
        </w:rPr>
        <w:t>[***]</w:t>
      </w:r>
      <w:r>
        <w:rPr>
          <w:rFonts w:ascii="Arial" w:cs="Arial" w:eastAsia="Arial" w:hAnsi="Arial"/>
          <w:sz w:val="16"/>
          <w:szCs w:val="16"/>
          <w:color w:val="auto"/>
        </w:rPr>
        <w:t xml:space="preserve"> period without notice or any additional waiting periods.</w:t>
      </w:r>
    </w:p>
    <w:p>
      <w:pPr>
        <w:spacing w:after="0" w:line="69" w:lineRule="exact"/>
        <w:rPr>
          <w:rFonts w:ascii="Arial" w:cs="Arial" w:eastAsia="Arial" w:hAnsi="Arial"/>
          <w:sz w:val="16"/>
          <w:szCs w:val="16"/>
          <w:color w:val="auto"/>
        </w:rPr>
      </w:pPr>
    </w:p>
    <w:p>
      <w:pPr>
        <w:ind w:left="940" w:right="80" w:hanging="524"/>
        <w:spacing w:after="0" w:line="266" w:lineRule="auto"/>
        <w:tabs>
          <w:tab w:leader="none" w:pos="9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Company shall maintain such commercial general liability insurance beyond the expiration or termination of this Agreement during (i) the period that any such Product or Process is being commercially distributed, sold, leased or otherwise transferred, or performed or used (other than for the purpose of obtaining regulatory approvals), by Company or by a licensee, affiliate or agent of Company and (ii) a reasonable period after the period referred to in (c) (i) above which in no event shall be less than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940" w:hanging="524"/>
        <w:spacing w:after="0"/>
        <w:tabs>
          <w:tab w:leader="none" w:pos="9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This section 8.2 shall survive expiration or termination of this Agreement.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 DISCLAIMER OF WARRANTIES; LIMITATION OF LIABILITY</w:t>
      </w:r>
    </w:p>
    <w:p>
      <w:pPr>
        <w:spacing w:after="0" w:line="22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Title to Patent Rights</w:t>
      </w:r>
      <w:r>
        <w:rPr>
          <w:rFonts w:ascii="Arial" w:cs="Arial" w:eastAsia="Arial" w:hAnsi="Arial"/>
          <w:sz w:val="16"/>
          <w:szCs w:val="16"/>
          <w:color w:val="auto"/>
        </w:rPr>
        <w:t xml:space="preserve">. Hospital is an owner by assignment from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Patent Rights and has the sole authority to enter this Agreement, and to license the Patent Rights to Company hereunder. Hospital hereby represents and warrants to Company that, as between Hospital and the Co-Owners, pursuant to the terms and conditions of the IAAs, Hospital has exclusive agency to license the Patent Rights and all Co-Owners have agreed that Hospital has the sole legal right and authority to grant licenses under the ownership interests of the Co-Owners in the Patent Rights on behalf of all Co-Owners, and that no Co-Owner (other than Hospital) is permitted to grant to any third party any license under its rights in the Patent Rights, and that, to the best of Hospital’s knowledge as of the Effective Date, there is no encumbrance, lien or restriction or retained or reserved rights of any Co-Owners (other than the reserved academic rights as set forth in Section 2.3 of this Agreement) or of any third party that would conflict or interfere with the exclusive license rights granted to Company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40"/>
          </w:cols>
          <w:pgMar w:left="620" w:top="270" w:right="639" w:bottom="1440" w:gutter="0" w:footer="0" w:header="0"/>
        </w:sectPr>
      </w:pPr>
    </w:p>
    <w:bookmarkStart w:id="319" w:name="page320"/>
    <w:bookmarkEnd w:id="319"/>
    <w:p>
      <w:pPr>
        <w:ind w:right="20" w:firstLine="42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the best of Hospital’s Innovation Office’s knowledge as of the Effective Date, (a) Hospital has not received written notice from a third party of any pending or threatened legal action or proceeding asserting that the use of the Patent Rights as contemplated by the License to be granted hereunder does or would infringe or misappropriate the intellectual property rights of any third party; (b) Hospital has not granted a license in, to or under, or any option or other right to Patent Rights that would conflict or interfere with the rights granted to Company under the License, and (c) the execution, delivery and performance of the License does not conflict with, or constitute a breach of, any order, judgment or agreement to which Hospital is a party.</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 Warranties</w:t>
      </w:r>
      <w:r>
        <w:rPr>
          <w:rFonts w:ascii="Arial" w:cs="Arial" w:eastAsia="Arial" w:hAnsi="Arial"/>
          <w:sz w:val="17"/>
          <w:szCs w:val="17"/>
          <w:color w:val="auto"/>
        </w:rPr>
        <w:t>. EXCEPT AS EXPRESSLY SET FORTH IN SECTION 9.1, HOSPITAL MAKES NO REPRESENTATIONS OR WARRANTIES OF ANY KIND, EXPRESS OR IMPLIED, CONCERNING THE PATENT RIGHTS AND THE RIGHTS GRANTED HEREUNDER, INCLUDING, WITHOUT LIMITATION, WARRANTIES OF TITLE, MERCHANTABILITY, FITNESS FOR A PARTICULAR PURPOSE, NONINFRINGEMENT, VALIDITY OF PATENT RIGHTS CLAIMS, WHETHER ISSUED OR PENDING, AND THE ABSENCE OF LATENT OR OTHER DEFECTS, WHETHER OR NOT DISCOVERABLE, AND HEREBY DISCLAIMS THE SAME. SPECIFICALLY, AND NOT TO LIMIT THE FOREGOING, HOSPITAL MAKES NO WARRANTY OR REPRESENTATION (i) REGARDING THE VALIDITY OR SCOPE OF ANY OF THE CLAIM(S), WHETHER ISSUED OR PENDING, OF ANY OF THE PATENT RIGHTS, AND (ii) THAT THE EXPLOITATION OF THE PATENT RIGHTS OR ANY PRODUCT WILL NOT INFRINGE ANY PATENTS OR OTHER INTELLECTUAL PROPERTY RIGHTS OF HOSPITAL OR OF ANY THIRD PARTY.</w:t>
      </w:r>
    </w:p>
    <w:p>
      <w:pPr>
        <w:spacing w:after="0" w:line="7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IN NO EVENT SHALL HOSPITAL OR ANY OF ITS AFFILIATES OR ANY OF THEIR RESPECTIVE TRUSTEES, DIRECTORS, OFFICERS, MEDICAL OR PROFESSIONAL STAFF, EMPLOYEES AND AGENTS BE LIABLE TO LICENSEE OR ANY OF ITS AFFILIATES, SUBLICENSEES OR DISTRIBUTORS FOR INDIRECT, SPECIAL, INCIDENTAL OR CONSEQUENTIAL DAMAGES OF ANY KIND ARISING IN ANY WAY OUT OF THIS AGREEMENT OR THE LICENSE OR RIGHTS GRANTED HEREUNDER, HOWEVER CAUSED AND ON ANY THEORY OF LIABILITY, INCLUDING WITHOUT LIMITATION ECONOMIC DAMAGES OR INJURY TO PROPERTY OR LOST PROFITS, REGARDLESS OF WHETHER HOSPITAL SHALL BE ADVISED, SHALL HAVE OTHER REASON TO KNOW, OR IN FACT SHALL KNOW OF THE POSSIBILITY OF THE FOREGOING.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 TERM AND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10.1 Term. The term of this Agreement shall commence on the Effective Date and shall remain in effect until the later of:</w:t>
      </w:r>
    </w:p>
    <w:p>
      <w:pPr>
        <w:spacing w:after="0" w:line="131" w:lineRule="exact"/>
        <w:rPr>
          <w:sz w:val="20"/>
          <w:szCs w:val="20"/>
          <w:color w:val="auto"/>
        </w:rPr>
      </w:pPr>
    </w:p>
    <w:p>
      <w:pPr>
        <w:ind w:left="940" w:right="260" w:hanging="524"/>
        <w:spacing w:after="0" w:line="287" w:lineRule="auto"/>
        <w:tabs>
          <w:tab w:leader="none" w:pos="9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date on which all issued patents and filed patent applications within the Patent Rights with any Valid Claim covering the Product or Process have expired or been abandoned, and</w:t>
      </w:r>
    </w:p>
    <w:p>
      <w:pPr>
        <w:spacing w:after="0" w:line="67" w:lineRule="exact"/>
        <w:rPr>
          <w:rFonts w:ascii="Arial" w:cs="Arial" w:eastAsia="Arial" w:hAnsi="Arial"/>
          <w:sz w:val="17"/>
          <w:szCs w:val="17"/>
          <w:color w:val="auto"/>
        </w:rPr>
      </w:pPr>
    </w:p>
    <w:p>
      <w:pPr>
        <w:ind w:left="940" w:hanging="524"/>
        <w:spacing w:after="0"/>
        <w:tabs>
          <w:tab w:leader="none" w:pos="9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ten (10) years after the First Commercial Sale of the last Product or Process for which a royalty is due under Section 4.5(A)(ii);</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00"/>
          </w:cols>
          <w:pgMar w:left="620" w:top="270" w:right="67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unless this Agreement is terminated earlier in accordance with any of the other provisions of Section 10.</w:t>
      </w:r>
    </w:p>
    <w:p>
      <w:pPr>
        <w:spacing w:after="0" w:line="11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 for Failure to Pay</w:t>
      </w:r>
      <w:r>
        <w:rPr>
          <w:rFonts w:ascii="Arial" w:cs="Arial" w:eastAsia="Arial" w:hAnsi="Arial"/>
          <w:sz w:val="17"/>
          <w:szCs w:val="17"/>
          <w:color w:val="auto"/>
        </w:rPr>
        <w:t xml:space="preserve">. If Company fails to make any payment due hereunder, Hospital shall have the right to terminate this Agreement upon </w:t>
      </w:r>
      <w:r>
        <w:rPr>
          <w:rFonts w:ascii="Arial" w:cs="Arial" w:eastAsia="Arial" w:hAnsi="Arial"/>
          <w:sz w:val="17"/>
          <w:szCs w:val="17"/>
          <w:b w:val="1"/>
          <w:bCs w:val="1"/>
          <w:color w:val="auto"/>
        </w:rPr>
        <w:t>[***]</w:t>
      </w:r>
      <w:r>
        <w:rPr>
          <w:rFonts w:ascii="Arial" w:cs="Arial" w:eastAsia="Arial" w:hAnsi="Arial"/>
          <w:sz w:val="17"/>
          <w:szCs w:val="17"/>
          <w:color w:val="auto"/>
        </w:rPr>
        <w:t xml:space="preserve"> written notice, unless Company makes such payments plus any interest due, as set forth in Section 4.7, within said </w:t>
      </w:r>
      <w:r>
        <w:rPr>
          <w:rFonts w:ascii="Arial" w:cs="Arial" w:eastAsia="Arial" w:hAnsi="Arial"/>
          <w:sz w:val="17"/>
          <w:szCs w:val="17"/>
          <w:b w:val="1"/>
          <w:bCs w:val="1"/>
          <w:color w:val="auto"/>
        </w:rPr>
        <w:t>[***]</w:t>
      </w:r>
      <w:r>
        <w:rPr>
          <w:rFonts w:ascii="Arial" w:cs="Arial" w:eastAsia="Arial" w:hAnsi="Arial"/>
          <w:sz w:val="17"/>
          <w:szCs w:val="17"/>
          <w:color w:val="auto"/>
        </w:rPr>
        <w:t xml:space="preserve"> notice period. If payments are not made, Hospital may immediately terminate this Agreement at the end of said </w:t>
      </w:r>
      <w:r>
        <w:rPr>
          <w:rFonts w:ascii="Arial" w:cs="Arial" w:eastAsia="Arial" w:hAnsi="Arial"/>
          <w:sz w:val="17"/>
          <w:szCs w:val="17"/>
          <w:b w:val="1"/>
          <w:bCs w:val="1"/>
          <w:color w:val="auto"/>
        </w:rPr>
        <w:t>[***]</w:t>
      </w:r>
      <w:r>
        <w:rPr>
          <w:rFonts w:ascii="Arial" w:cs="Arial" w:eastAsia="Arial" w:hAnsi="Arial"/>
          <w:sz w:val="17"/>
          <w:szCs w:val="17"/>
          <w:color w:val="auto"/>
        </w:rPr>
        <w:t xml:space="preserve"> period. Company shall be entitled to only one such cure period in a calendar year; for a second failure to make payment on time, Hospital shall have the right to terminate this Agreement immediately upon written notice.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Termination for Insurance and Insolvency</w:t>
      </w:r>
      <w:r>
        <w:rPr>
          <w:rFonts w:ascii="Arial" w:cs="Arial" w:eastAsia="Arial" w:hAnsi="Arial"/>
          <w:sz w:val="17"/>
          <w:szCs w:val="17"/>
          <w:color w:val="auto"/>
        </w:rPr>
        <w:t>.</w:t>
      </w:r>
    </w:p>
    <w:p>
      <w:pPr>
        <w:spacing w:after="0" w:line="131" w:lineRule="exact"/>
        <w:rPr>
          <w:sz w:val="20"/>
          <w:szCs w:val="20"/>
          <w:color w:val="auto"/>
        </w:rPr>
      </w:pPr>
    </w:p>
    <w:p>
      <w:pPr>
        <w:ind w:left="940" w:right="280" w:hanging="524"/>
        <w:spacing w:after="0" w:line="287" w:lineRule="auto"/>
        <w:tabs>
          <w:tab w:leader="none" w:pos="94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Hospital shall have the right to terminate this Agreement in accordance with Section 8.2(b) if Company fails to maintain the insurance required by Section 8.2.</w:t>
      </w:r>
    </w:p>
    <w:p>
      <w:pPr>
        <w:spacing w:after="0" w:line="67" w:lineRule="exact"/>
        <w:rPr>
          <w:rFonts w:ascii="Arial" w:cs="Arial" w:eastAsia="Arial" w:hAnsi="Arial"/>
          <w:sz w:val="17"/>
          <w:szCs w:val="17"/>
          <w:color w:val="auto"/>
        </w:rPr>
      </w:pPr>
    </w:p>
    <w:p>
      <w:pPr>
        <w:ind w:left="940" w:hanging="524"/>
        <w:spacing w:after="0" w:line="288" w:lineRule="auto"/>
        <w:tabs>
          <w:tab w:leader="none" w:pos="94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Insolvency and other Bankruptcy Related Events</w:t>
      </w:r>
      <w:r>
        <w:rPr>
          <w:rFonts w:ascii="Arial" w:cs="Arial" w:eastAsia="Arial" w:hAnsi="Arial"/>
          <w:sz w:val="16"/>
          <w:szCs w:val="16"/>
          <w:color w:val="auto"/>
        </w:rPr>
        <w:t xml:space="preserve">. Hospital shall have the right to terminate this Agreement immediately upon written notice to Company with no further notice obligation or opportunity to cure if: (i) Company passes a resolution for voluntary winding up, or a dissolution, winding-up or liquidation proceeding is initiated against it and not set aside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(ii) a receiver or liquidator is appointed for the Company and has not been removed within </w:t>
      </w:r>
      <w:r>
        <w:rPr>
          <w:rFonts w:ascii="Arial" w:cs="Arial" w:eastAsia="Arial" w:hAnsi="Arial"/>
          <w:sz w:val="16"/>
          <w:szCs w:val="16"/>
          <w:b w:val="1"/>
          <w:bCs w:val="1"/>
          <w:color w:val="auto"/>
        </w:rPr>
        <w:t>[***]</w:t>
      </w:r>
      <w:r>
        <w:rPr>
          <w:rFonts w:ascii="Arial" w:cs="Arial" w:eastAsia="Arial" w:hAnsi="Arial"/>
          <w:sz w:val="16"/>
          <w:szCs w:val="16"/>
          <w:color w:val="auto"/>
        </w:rPr>
        <w:t>; or (iii) Company makes an assignment for the benefit of creditors.</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Termination for Non-Financial Default</w:t>
      </w:r>
      <w:r>
        <w:rPr>
          <w:rFonts w:ascii="Arial" w:cs="Arial" w:eastAsia="Arial" w:hAnsi="Arial"/>
          <w:sz w:val="16"/>
          <w:szCs w:val="16"/>
          <w:color w:val="auto"/>
        </w:rPr>
        <w:t xml:space="preserve">. If Company, any of its Affiliates or any Sublicensee shall default in the performance of any of its other material obligations under this Agreement not otherwise covered by the provisions of Section 10.2 and 10.3, and if such default has not been cured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notice by Hospital in writing of such default, or to provide a reasonably acceptable plan to cure such breach, Hospital may immediately terminate this Agreement, and/or any license granted hereunder with respect to the country or countries in which such default has occurred, at the end of said </w:t>
      </w:r>
      <w:r>
        <w:rPr>
          <w:rFonts w:ascii="Arial" w:cs="Arial" w:eastAsia="Arial" w:hAnsi="Arial"/>
          <w:sz w:val="16"/>
          <w:szCs w:val="16"/>
          <w:b w:val="1"/>
          <w:bCs w:val="1"/>
          <w:color w:val="auto"/>
        </w:rPr>
        <w:t>[***]</w:t>
      </w:r>
      <w:r>
        <w:rPr>
          <w:rFonts w:ascii="Arial" w:cs="Arial" w:eastAsia="Arial" w:hAnsi="Arial"/>
          <w:sz w:val="16"/>
          <w:szCs w:val="16"/>
          <w:color w:val="auto"/>
        </w:rPr>
        <w:t xml:space="preserve"> cure period. Hospital shall also have the right to terminate this Agreement and/or any such license immediately, upon written notice, in the event of repeated defaults, even if cured within such </w:t>
      </w:r>
      <w:r>
        <w:rPr>
          <w:rFonts w:ascii="Arial" w:cs="Arial" w:eastAsia="Arial" w:hAnsi="Arial"/>
          <w:sz w:val="16"/>
          <w:szCs w:val="16"/>
          <w:b w:val="1"/>
          <w:bCs w:val="1"/>
          <w:color w:val="auto"/>
        </w:rPr>
        <w:t>[***]</w:t>
      </w:r>
      <w:r>
        <w:rPr>
          <w:rFonts w:ascii="Arial" w:cs="Arial" w:eastAsia="Arial" w:hAnsi="Arial"/>
          <w:sz w:val="16"/>
          <w:szCs w:val="16"/>
          <w:color w:val="auto"/>
        </w:rPr>
        <w:t xml:space="preserve"> periods. Hospital shall have no further obligations hereunder.</w:t>
      </w:r>
    </w:p>
    <w:p>
      <w:pPr>
        <w:spacing w:after="0" w:line="60"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Challenging Validity</w:t>
      </w:r>
      <w:r>
        <w:rPr>
          <w:rFonts w:ascii="Arial" w:cs="Arial" w:eastAsia="Arial" w:hAnsi="Arial"/>
          <w:sz w:val="17"/>
          <w:szCs w:val="17"/>
          <w:color w:val="auto"/>
        </w:rPr>
        <w:t>. During the term of this Agreement, Company shall not challenge, and shall restrict Company Affiliates and Sublicensees from challenging, the validity of the Patent Rights and in the event of any breach of this provision Hospital shall have the right to terminate this Agreement and any license granted hereunder immediately.</w:t>
      </w:r>
    </w:p>
    <w:p>
      <w:pPr>
        <w:spacing w:after="0" w:line="6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Termination by Company</w:t>
      </w:r>
      <w:r>
        <w:rPr>
          <w:rFonts w:ascii="Arial" w:cs="Arial" w:eastAsia="Arial" w:hAnsi="Arial"/>
          <w:sz w:val="17"/>
          <w:szCs w:val="17"/>
          <w:color w:val="auto"/>
        </w:rPr>
        <w:t xml:space="preserve">. Company shall have the right to terminate this Agreement for any reason or merely for convenience by giving </w:t>
      </w:r>
      <w:r>
        <w:rPr>
          <w:rFonts w:ascii="Arial" w:cs="Arial" w:eastAsia="Arial" w:hAnsi="Arial"/>
          <w:sz w:val="17"/>
          <w:szCs w:val="17"/>
          <w:b w:val="1"/>
          <w:bCs w:val="1"/>
          <w:color w:val="auto"/>
        </w:rPr>
        <w:t>[***]</w:t>
      </w:r>
      <w:r>
        <w:rPr>
          <w:rFonts w:ascii="Arial" w:cs="Arial" w:eastAsia="Arial" w:hAnsi="Arial"/>
          <w:sz w:val="17"/>
          <w:szCs w:val="17"/>
          <w:color w:val="auto"/>
        </w:rPr>
        <w:t xml:space="preserve"> advance written notice to Hospital and upon such termination shall immediately cease all use and Sales of Products and Processes, except as otherwise expressly set forth under Section 10.8 or 10.9.</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620" w:top="270" w:right="659" w:bottom="1440" w:gutter="0" w:footer="0" w:header="0"/>
        </w:sectPr>
      </w:pPr>
    </w:p>
    <w:bookmarkStart w:id="321" w:name="page322"/>
    <w:bookmarkEnd w:id="321"/>
    <w:p>
      <w:pPr>
        <w:ind w:left="2" w:right="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10.7 </w:t>
      </w:r>
      <w:r>
        <w:rPr>
          <w:rFonts w:ascii="Arial" w:cs="Arial" w:eastAsia="Arial" w:hAnsi="Arial"/>
          <w:sz w:val="17"/>
          <w:szCs w:val="17"/>
          <w:u w:val="single" w:color="auto"/>
          <w:color w:val="auto"/>
        </w:rPr>
        <w:t>Effect of Termination on Sublicenses</w:t>
      </w:r>
      <w:r>
        <w:rPr>
          <w:rFonts w:ascii="Arial" w:cs="Arial" w:eastAsia="Arial" w:hAnsi="Arial"/>
          <w:sz w:val="17"/>
          <w:szCs w:val="17"/>
          <w:color w:val="auto"/>
        </w:rPr>
        <w:t>. If this Agreement is terminated for any reason, all outstanding sublicenses not in default will be assigned by Company to Hospital. The assigned sublicenses will remain in full force and effect with the Hospital as the licensor or sublicensor instead of Company; provided, however, that the duties of the Hospital under the assigned sublicenses will not be greater than the duties of the Hospital under this Agreement, and the rights of the Hospital under the assigned sublicenses will not be less than the rights of the Hospital under this Agreement, including all rights to receive financial consideration and other rights of the Hospital.</w:t>
      </w:r>
    </w:p>
    <w:p>
      <w:pPr>
        <w:spacing w:after="0" w:line="74" w:lineRule="exact"/>
        <w:rPr>
          <w:sz w:val="20"/>
          <w:szCs w:val="20"/>
          <w:color w:val="auto"/>
        </w:rPr>
      </w:pPr>
    </w:p>
    <w:p>
      <w:pPr>
        <w:ind w:left="2"/>
        <w:spacing w:after="0" w:line="258"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Effects of Termination of Agreement</w:t>
      </w:r>
      <w:r>
        <w:rPr>
          <w:rFonts w:ascii="Arial" w:cs="Arial" w:eastAsia="Arial" w:hAnsi="Arial"/>
          <w:sz w:val="17"/>
          <w:szCs w:val="17"/>
          <w:color w:val="auto"/>
        </w:rPr>
        <w:t>. Upon termination of this Agreement or any of the licenses hereunder for any reason, (i) final reports in accordance with Section 5 shall be submitted to Hospital and (ii) all royalties and other payments, including without limitation any unreimbursed Patent Costs, accrued or due to Hospital as of the termination or expiration date shall become immediately due and payable and (iii) all obligations of the parties shall cease, except those that expressly survive termination or expiration of the License. Company shall cease, and shall cause its Affiliates and Sublicensees to cease under any sublicense granted by Company, all Sales and uses of Products and Processes upon such termination, subject to Section 10.9. The termination or expiration of this Agreement or any license granted hereunder shall not relieve Company, its Affiliates or Sublicensees of obligations arising before such termination or expiration.</w:t>
      </w:r>
    </w:p>
    <w:p>
      <w:pPr>
        <w:spacing w:after="0" w:line="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06" w:lineRule="exact"/>
        <w:rPr>
          <w:sz w:val="20"/>
          <w:szCs w:val="20"/>
          <w:color w:val="auto"/>
        </w:rPr>
      </w:pPr>
    </w:p>
    <w:p>
      <w:pPr>
        <w:ind w:left="2" w:right="300"/>
        <w:spacing w:after="0" w:line="296"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Inventory</w:t>
      </w:r>
      <w:r>
        <w:rPr>
          <w:rFonts w:ascii="Arial" w:cs="Arial" w:eastAsia="Arial" w:hAnsi="Arial"/>
          <w:sz w:val="15"/>
          <w:szCs w:val="15"/>
          <w:color w:val="auto"/>
        </w:rPr>
        <w:t>. Upon early termination of this Agreement other than for Company default, Company, Company Affiliates and Sublicensees may complete and sell any work-in-progress and inventory of Products that exist as of the effective date of termination provided that (i) Company pays Hospital the applicable running royalty or other amounts due on such Net Sales in accordance with the terms and conditions of this Agreement, and</w:t>
      </w:r>
    </w:p>
    <w:p>
      <w:pPr>
        <w:spacing w:after="0" w:line="1" w:lineRule="exact"/>
        <w:rPr>
          <w:sz w:val="20"/>
          <w:szCs w:val="20"/>
          <w:color w:val="auto"/>
        </w:rPr>
      </w:pPr>
    </w:p>
    <w:p>
      <w:pPr>
        <w:ind w:left="2" w:right="20" w:hanging="2"/>
        <w:spacing w:after="0" w:line="264" w:lineRule="auto"/>
        <w:tabs>
          <w:tab w:leader="none" w:pos="25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Company, Company Affiliates and Sublicensees shall complete and sell all work-in-progress and inventory of Products within six (6) months after the effective date of termination. Upon expiration of this Agreement, Company shall pay to Hospital the royalties set forth in Section 4.5(a) for Sales of any Product that was in inventory or was a work-in-progress on the date of expiration of the Agreement.</w:t>
      </w:r>
    </w:p>
    <w:p>
      <w:pPr>
        <w:spacing w:after="0" w:line="381" w:lineRule="exact"/>
        <w:rPr>
          <w:sz w:val="20"/>
          <w:szCs w:val="20"/>
          <w:color w:val="auto"/>
        </w:rPr>
      </w:pPr>
    </w:p>
    <w:p>
      <w:pPr>
        <w:jc w:val="center"/>
        <w:ind w:right="-61"/>
        <w:spacing w:after="0"/>
        <w:rPr>
          <w:sz w:val="20"/>
          <w:szCs w:val="20"/>
          <w:color w:val="auto"/>
        </w:rPr>
      </w:pPr>
      <w:r>
        <w:rPr>
          <w:rFonts w:ascii="Arial" w:cs="Arial" w:eastAsia="Arial" w:hAnsi="Arial"/>
          <w:sz w:val="17"/>
          <w:szCs w:val="17"/>
          <w:b w:val="1"/>
          <w:bCs w:val="1"/>
          <w:color w:val="auto"/>
        </w:rPr>
        <w:t>11. COMPLIANCE WITH LAW</w:t>
      </w:r>
    </w:p>
    <w:p>
      <w:pPr>
        <w:spacing w:after="0" w:line="228" w:lineRule="exact"/>
        <w:rPr>
          <w:sz w:val="20"/>
          <w:szCs w:val="20"/>
          <w:color w:val="auto"/>
        </w:rPr>
      </w:pPr>
    </w:p>
    <w:p>
      <w:pPr>
        <w:ind w:left="2" w:right="80"/>
        <w:spacing w:after="0" w:line="307"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Compliance</w:t>
      </w:r>
      <w:r>
        <w:rPr>
          <w:rFonts w:ascii="Arial" w:cs="Arial" w:eastAsia="Arial" w:hAnsi="Arial"/>
          <w:sz w:val="15"/>
          <w:szCs w:val="15"/>
          <w:color w:val="auto"/>
        </w:rPr>
        <w:t>. Company shall have the sole obligation for compliance with, and shall ensure that any Affiliates and Sublicensees comply with, all government statutes and regulations that relate to Products and Processes, including, but not limited to, those of the Food and Drug Administration and the Export Administration, as amended, and any applicable laws and regulations of any other country in the License Territory. Company agrees that it shall be solely responsible for obtaining any necessary licenses to export, re-export, or import Products or Processes covered by Patent Rights and/or Confidential Information. Company shall indemnify and hold harmless Hospital for any breach of Company’s obligations under this Section 11.1.</w:t>
      </w:r>
    </w:p>
    <w:p>
      <w:pPr>
        <w:spacing w:after="0" w:line="46" w:lineRule="exact"/>
        <w:rPr>
          <w:sz w:val="20"/>
          <w:szCs w:val="20"/>
          <w:color w:val="auto"/>
        </w:rPr>
      </w:pPr>
    </w:p>
    <w:p>
      <w:pPr>
        <w:ind w:left="2" w:right="40"/>
        <w:spacing w:after="0" w:line="272"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Patent Numbers</w:t>
      </w:r>
      <w:r>
        <w:rPr>
          <w:rFonts w:ascii="Arial" w:cs="Arial" w:eastAsia="Arial" w:hAnsi="Arial"/>
          <w:sz w:val="17"/>
          <w:szCs w:val="17"/>
          <w:color w:val="auto"/>
        </w:rPr>
        <w:t>. Company shall cause all Products sold in the United States to be marked with all applicable U.S. Patent Numbers, to the full extent required by United States law. Company shall similarly cause all Products shipped to or sold in any other country to be marked in such a manner as to conform with the patent laws and legal requirements of such country.</w:t>
      </w:r>
    </w:p>
    <w:p>
      <w:pPr>
        <w:spacing w:after="0" w:line="106" w:lineRule="exact"/>
        <w:rPr>
          <w:sz w:val="20"/>
          <w:szCs w:val="20"/>
          <w:color w:val="auto"/>
        </w:rPr>
      </w:pPr>
    </w:p>
    <w:p>
      <w:pPr>
        <w:jc w:val="center"/>
        <w:ind w:right="-61"/>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82"/>
          </w:cols>
          <w:pgMar w:left="618" w:top="270" w:right="699"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 MISCELLANEOUS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understanding between the Parties with respect to the subject matter hereof.</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reports, waivers, correspondences or other communications required under or pertaining to this Agreement shall be in writing and shall be delivered by hand, or sent by a reputable overnight mail service (e.g., Federal Express), or by first class mail (certified or registered), or by facsimile confirmed by one of the foregoing methods, to the other party. Notices will be deemed effective (a) three (3) working days after deposit, postage prepaid, if mailed, (b) the next day if sent by overnight mail, or (c) the same day if sent by facsimile and confirmed as set forth above or delivered by hand. Unless changed in writing in accordance with this Section, the notice address for Hospital shall be as follows:</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Director, Innovation</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General Hospital Corporation</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 Huntington Avenue, 4</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Boston, MA 02199</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Fax No. </w:t>
      </w:r>
      <w:r>
        <w:rPr>
          <w:rFonts w:ascii="Arial" w:cs="Arial" w:eastAsia="Arial" w:hAnsi="Arial"/>
          <w:sz w:val="17"/>
          <w:szCs w:val="17"/>
          <w:b w:val="1"/>
          <w:bCs w:val="1"/>
          <w:color w:val="auto"/>
        </w:rPr>
        <w:t>[***]</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Amendment; Waiver</w:t>
      </w:r>
      <w:r>
        <w:rPr>
          <w:rFonts w:ascii="Arial" w:cs="Arial" w:eastAsia="Arial" w:hAnsi="Arial"/>
          <w:sz w:val="16"/>
          <w:szCs w:val="16"/>
          <w:color w:val="auto"/>
        </w:rPr>
        <w:t>. This Agreement may be amended and any of its terms or conditions may be waived only by a written instrument executed by an authorized signatory of the Parties or, in the case of a waiver, by the Party waiving compliance. The failure of either Party at any time or times to require performance of any provision hereof shall in no manner affect its rights at a later time to enforce the same. No waiver by either Party of any condition or term shall be deemed as a further or continuing waiver of such condition or term or of any other condition or term.</w:t>
      </w:r>
    </w:p>
    <w:p>
      <w:pPr>
        <w:spacing w:after="0" w:line="57"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and be enforceable by the Parties hereto and their respective permitted successors and assigns.</w:t>
      </w:r>
    </w:p>
    <w:p>
      <w:pPr>
        <w:spacing w:after="0" w:line="5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Company shall not assign this Agreement or any of its rights or obligations under this Agreement without the prior written consent of Hospital; provided, however, that if Company has fulfilled its diligence obligations as set forth in Section 3, no such consent will be required to assign this Agreement to an Affiliate of Company or to a successor of the Company’s business or assets to which this Agreement pertains or to a purchaser of substantially all of the Company’s assets related to this Agreement, so long as such successor or purchaser shall agree in writing to be bound by all of the terms and conditions hereof prior to such assignment. Company shall notify Hospital in writing of any such assignment and provide a copy of all assignment documents and related agreements to Hospital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of such assignment. Failure of an assignee to agree to be bound by the terms hereof or failure of Company to notify Hospital and provide copies of assignment documentation shall be grounds for termination of this Agreement for default. Further, neither any rights granted under this Agreement, nor any sublicense, may be assigned by any Sublicensee without the prior written consent of Hospital, such consent not to be unreasonably withheld by Hospital.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620" w:top="265" w:right="659" w:bottom="1440" w:gutter="0" w:footer="0" w:header="0"/>
        </w:sectPr>
      </w:pPr>
    </w:p>
    <w:bookmarkStart w:id="323" w:name="page324"/>
    <w:bookmarkEnd w:id="323"/>
    <w:p>
      <w:pPr>
        <w:ind w:right="60"/>
        <w:spacing w:after="0" w:line="32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12.6 </w:t>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responsible for delays resulting from causes beyond the reasonable control of such Party, including without limitation fire, explosion, flood, war, sabotage,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Use of Name</w:t>
      </w:r>
      <w:r>
        <w:rPr>
          <w:rFonts w:ascii="Arial" w:cs="Arial" w:eastAsia="Arial" w:hAnsi="Arial"/>
          <w:sz w:val="17"/>
          <w:szCs w:val="17"/>
          <w:color w:val="auto"/>
        </w:rPr>
        <w:t>. Unless required by law, applicable regulation or court order, neither Party shall use the name of the other Party or of any trustee, director, officer, staff member, employee, student or agent of the other Party or any adaptation thereof in any advertising, promotional or sales literature, publicity or in any document employed to obtain funds or financing without the prior written approval of the Party or individual whose name is to be used. For Hospital, such approval shall be obtained from Hospital’s VP of Public Affairs.</w:t>
      </w:r>
    </w:p>
    <w:p>
      <w:pPr>
        <w:spacing w:after="0" w:line="7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a United States jurisdiction, to be determined by the mutual agreement of the Parties as may be appropriate given the contacts with the relevant jurisdictions and the involvement of any rights of other Co-Owners, excluding with respect to conflict of laws, except that questions affecting the construction and effect of any patent shall be determined by the law of the country in which the patent shall have been granted.</w:t>
      </w:r>
    </w:p>
    <w:p>
      <w:pPr>
        <w:spacing w:after="0" w:line="7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Hospital Policies</w:t>
      </w:r>
      <w:r>
        <w:rPr>
          <w:rFonts w:ascii="Arial" w:cs="Arial" w:eastAsia="Arial" w:hAnsi="Arial"/>
          <w:sz w:val="17"/>
          <w:szCs w:val="17"/>
          <w:color w:val="auto"/>
        </w:rPr>
        <w:t>. Company acknowledges that Hospital’s employees and medical and professional staff members and the employees and staff members of Hospital’s Affiliates are subject to the applicable policies of Hospital and such Affiliates, including, without limitation, policies regarding conflicts of interest, intellectual property and other matters. Company shall provide Hospital with any agreement it proposes to enter into with any employee or staff member of Hospital or any of Hospital’s Affiliates for Hospital’s prior review and shall not enter into any oral or written agreement with such employee or staff member which conflicts with any such policy. Hospital shall provide Company, at Company’s request, with copies of any such policies applicable to any such employee or staff member.</w:t>
      </w:r>
    </w:p>
    <w:p>
      <w:pPr>
        <w:spacing w:after="0" w:line="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provision(s) of this Agreement are or become invalid, are ruled illegal by any court of competent jurisdiction or are deemed unenforceable under then current applicable law from time to time in effect during the term hereof, it is the intention of the parties that the remainder of this Agreement shall not be effected thereby. It is further the intention of the parties that in lieu of each such provision which is invalid, illegal or unenforceable, there be substituted or added as part of this Agreement a provision which shall be as similar as possible in economic and business objectives as intended by the parties to such invalid, illegal or enforceable provision, but shall be valid, legal and enforceable.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12.11 </w:t>
      </w:r>
      <w:r>
        <w:rPr>
          <w:rFonts w:ascii="Arial" w:cs="Arial" w:eastAsia="Arial" w:hAnsi="Arial"/>
          <w:sz w:val="15"/>
          <w:szCs w:val="15"/>
          <w:u w:val="single" w:color="auto"/>
          <w:color w:val="auto"/>
        </w:rPr>
        <w:t>Survival</w:t>
      </w:r>
      <w:r>
        <w:rPr>
          <w:rFonts w:ascii="Arial" w:cs="Arial" w:eastAsia="Arial" w:hAnsi="Arial"/>
          <w:sz w:val="15"/>
          <w:szCs w:val="15"/>
          <w:color w:val="auto"/>
        </w:rPr>
        <w:t>. In addition to any specific survival references in this Agreement, Sections 1, 2.4, 4.2, 4.6, 4.7, 5.3, 5.4, 5.5, 6.4, 8.1, 8.2, 9.2, 9.3, 10.7,</w:t>
      </w:r>
    </w:p>
    <w:p>
      <w:pPr>
        <w:spacing w:after="0" w:line="4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10.8, 10.9, 12.1, 12.2, 12.3, 12.4, 12.7, 12.8, 12.9, 12.10, 12.11, 12.12 and 12.13 shall survive termination or expiration of this Agreement. Any other rights, responsibilities, obligations, covenants and warranties which by their nature should survive this Agreement shall similarly survive and remain in effect.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80"/>
          </w:cols>
          <w:pgMar w:left="620" w:top="270" w:right="699" w:bottom="1440" w:gutter="0" w:footer="0" w:header="0"/>
        </w:sectPr>
      </w:pPr>
    </w:p>
    <w:bookmarkStart w:id="324" w:name="page325"/>
    <w:bookmarkEnd w:id="324"/>
    <w:p>
      <w:pPr>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12.12 </w:t>
      </w:r>
      <w:r>
        <w:rPr>
          <w:rFonts w:ascii="Arial" w:cs="Arial" w:eastAsia="Arial" w:hAnsi="Arial"/>
          <w:sz w:val="17"/>
          <w:szCs w:val="17"/>
          <w:u w:val="single" w:color="auto"/>
          <w:color w:val="auto"/>
        </w:rPr>
        <w:t>Interpretation</w:t>
      </w:r>
      <w:r>
        <w:rPr>
          <w:rFonts w:ascii="Arial" w:cs="Arial" w:eastAsia="Arial" w:hAnsi="Arial"/>
          <w:sz w:val="17"/>
          <w:szCs w:val="17"/>
          <w:color w:val="auto"/>
        </w:rPr>
        <w:t>. The parties hereto are sophisticated, have had the opportunity to consult legal counsel with respect to this transaction and hereby waive any presumptions of any statutory or common law rule relating to the interpretation of contracts against the drafter.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Headings</w:t>
      </w:r>
      <w:r>
        <w:rPr>
          <w:rFonts w:ascii="Arial" w:cs="Arial" w:eastAsia="Arial" w:hAnsi="Arial"/>
          <w:sz w:val="17"/>
          <w:szCs w:val="17"/>
          <w:color w:val="auto"/>
        </w:rPr>
        <w:t>. All headings are for convenience only and shall not affect the meaning of any provision of this Agreement.</w:t>
      </w: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20"/>
          </w:cols>
          <w:pgMar w:left="620" w:top="271" w:right="859" w:bottom="1440" w:gutter="0" w:footer="0" w:header="0"/>
        </w:sectPr>
      </w:pPr>
    </w:p>
    <w:bookmarkStart w:id="325" w:name="page326"/>
    <w:bookmarkEnd w:id="325"/>
    <w:p>
      <w:pPr>
        <w:ind w:right="40" w:firstLine="426"/>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Parties have caused this Agreement to be executed by their duly authorized representatives as of the Effective Date first written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20" w:type="dxa"/>
            <w:vAlign w:val="bottom"/>
            <w:gridSpan w:val="2"/>
          </w:tcPr>
          <w:p>
            <w:pPr>
              <w:spacing w:after="0"/>
              <w:rPr>
                <w:sz w:val="20"/>
                <w:szCs w:val="20"/>
                <w:color w:val="auto"/>
              </w:rPr>
            </w:pPr>
            <w:r>
              <w:rPr>
                <w:rFonts w:ascii="Arial" w:cs="Arial" w:eastAsia="Arial" w:hAnsi="Arial"/>
                <w:sz w:val="17"/>
                <w:szCs w:val="17"/>
                <w:b w:val="1"/>
                <w:bCs w:val="1"/>
                <w:color w:val="auto"/>
              </w:rPr>
              <w:t>K</w:t>
            </w:r>
            <w:r>
              <w:rPr>
                <w:rFonts w:ascii="Arial" w:cs="Arial" w:eastAsia="Arial" w:hAnsi="Arial"/>
                <w:sz w:val="14"/>
                <w:szCs w:val="14"/>
                <w:b w:val="1"/>
                <w:bCs w:val="1"/>
                <w:color w:val="auto"/>
              </w:rPr>
              <w:t>EROS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20" w:type="dxa"/>
            <w:vAlign w:val="bottom"/>
            <w:gridSpan w:val="2"/>
          </w:tcPr>
          <w:p>
            <w:pPr>
              <w:ind w:left="8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ASSACHUSETTS</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OSPITAL</w:t>
            </w:r>
          </w:p>
        </w:tc>
      </w:tr>
      <w:tr>
        <w:trPr>
          <w:trHeight w:val="4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7"/>
                <w:szCs w:val="17"/>
                <w:i w:val="1"/>
                <w:iCs w:val="1"/>
                <w:color w:val="auto"/>
              </w:rPr>
              <w:t>/s/ Jasbir Seehra</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7"/>
                <w:szCs w:val="17"/>
                <w:i w:val="1"/>
                <w:iCs w:val="1"/>
                <w:color w:val="auto"/>
              </w:rPr>
              <w:t>Ran Nussbaum</w:t>
            </w:r>
          </w:p>
        </w:tc>
        <w:tc>
          <w:tcPr>
            <w:tcW w:w="1040" w:type="dxa"/>
            <w:vAlign w:val="bottom"/>
            <w:tcBorders>
              <w:bottom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b w:val="1"/>
                <w:bCs w:val="1"/>
                <w:color w:val="auto"/>
              </w:rPr>
              <w:t>[***]</w:t>
            </w:r>
          </w:p>
        </w:tc>
      </w:tr>
      <w:tr>
        <w:trPr>
          <w:trHeight w:val="190"/>
        </w:trPr>
        <w:tc>
          <w:tcPr>
            <w:tcW w:w="540" w:type="dxa"/>
            <w:vAlign w:val="bottom"/>
          </w:tcPr>
          <w:p>
            <w:pPr>
              <w:spacing w:after="0"/>
              <w:rPr>
                <w:sz w:val="16"/>
                <w:szCs w:val="16"/>
                <w:color w:val="auto"/>
              </w:rPr>
            </w:pPr>
          </w:p>
        </w:tc>
        <w:tc>
          <w:tcPr>
            <w:tcW w:w="1680" w:type="dxa"/>
            <w:vAlign w:val="bottom"/>
          </w:tcPr>
          <w:p>
            <w:pPr>
              <w:ind w:left="80"/>
              <w:spacing w:after="0" w:line="189" w:lineRule="exact"/>
              <w:rPr>
                <w:sz w:val="20"/>
                <w:szCs w:val="20"/>
                <w:color w:val="auto"/>
              </w:rPr>
            </w:pPr>
            <w:r>
              <w:rPr>
                <w:rFonts w:ascii="Arial" w:cs="Arial" w:eastAsia="Arial" w:hAnsi="Arial"/>
                <w:sz w:val="17"/>
                <w:szCs w:val="17"/>
                <w:color w:val="auto"/>
                <w:w w:val="98"/>
              </w:rPr>
              <w:t>Name: Jasbir Seehra</w:t>
            </w:r>
          </w:p>
        </w:tc>
        <w:tc>
          <w:tcPr>
            <w:tcW w:w="2080" w:type="dxa"/>
            <w:vAlign w:val="bottom"/>
          </w:tcPr>
          <w:p>
            <w:pPr>
              <w:ind w:left="100"/>
              <w:spacing w:after="0" w:line="189" w:lineRule="exact"/>
              <w:rPr>
                <w:sz w:val="20"/>
                <w:szCs w:val="20"/>
                <w:color w:val="auto"/>
              </w:rPr>
            </w:pPr>
            <w:r>
              <w:rPr>
                <w:rFonts w:ascii="Arial" w:cs="Arial" w:eastAsia="Arial" w:hAnsi="Arial"/>
                <w:sz w:val="17"/>
                <w:szCs w:val="17"/>
                <w:color w:val="auto"/>
              </w:rPr>
              <w:t>Ran Nussbaum</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8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color w:val="auto"/>
              </w:rPr>
              <w:t>[***]</w:t>
            </w:r>
          </w:p>
        </w:tc>
      </w:tr>
      <w:tr>
        <w:trPr>
          <w:trHeight w:val="208"/>
        </w:trPr>
        <w:tc>
          <w:tcPr>
            <w:tcW w:w="2220" w:type="dxa"/>
            <w:vAlign w:val="bottom"/>
            <w:gridSpan w:val="2"/>
          </w:tcPr>
          <w:p>
            <w:pPr>
              <w:spacing w:after="0"/>
              <w:rPr>
                <w:sz w:val="20"/>
                <w:szCs w:val="20"/>
                <w:color w:val="auto"/>
              </w:rPr>
            </w:pPr>
            <w:r>
              <w:rPr>
                <w:rFonts w:ascii="Arial" w:cs="Arial" w:eastAsia="Arial" w:hAnsi="Arial"/>
                <w:sz w:val="17"/>
                <w:szCs w:val="17"/>
                <w:color w:val="auto"/>
              </w:rPr>
              <w:t>TITLE: CEO</w:t>
            </w:r>
          </w:p>
        </w:tc>
        <w:tc>
          <w:tcPr>
            <w:tcW w:w="2080" w:type="dxa"/>
            <w:vAlign w:val="bottom"/>
          </w:tcPr>
          <w:p>
            <w:pPr>
              <w:ind w:left="140"/>
              <w:spacing w:after="0"/>
              <w:rPr>
                <w:sz w:val="20"/>
                <w:szCs w:val="20"/>
                <w:color w:val="auto"/>
              </w:rPr>
            </w:pPr>
            <w:r>
              <w:rPr>
                <w:rFonts w:ascii="Arial" w:cs="Arial" w:eastAsia="Arial" w:hAnsi="Arial"/>
                <w:sz w:val="17"/>
                <w:szCs w:val="17"/>
                <w:color w:val="auto"/>
              </w:rPr>
              <w:t>Director</w:t>
            </w:r>
          </w:p>
        </w:tc>
        <w:tc>
          <w:tcPr>
            <w:tcW w:w="1040" w:type="dxa"/>
            <w:vAlign w:val="bottom"/>
          </w:tcPr>
          <w:p>
            <w:pPr>
              <w:spacing w:after="0"/>
              <w:rPr>
                <w:sz w:val="18"/>
                <w:szCs w:val="18"/>
                <w:color w:val="auto"/>
              </w:rPr>
            </w:pPr>
          </w:p>
        </w:tc>
        <w:tc>
          <w:tcPr>
            <w:tcW w:w="5320" w:type="dxa"/>
            <w:vAlign w:val="bottom"/>
            <w:gridSpan w:val="2"/>
          </w:tcPr>
          <w:p>
            <w:pPr>
              <w:ind w:left="80"/>
              <w:spacing w:after="0"/>
              <w:rPr>
                <w:sz w:val="20"/>
                <w:szCs w:val="20"/>
                <w:color w:val="auto"/>
              </w:rPr>
            </w:pPr>
            <w:r>
              <w:rPr>
                <w:rFonts w:ascii="Arial" w:cs="Arial" w:eastAsia="Arial" w:hAnsi="Arial"/>
                <w:sz w:val="17"/>
                <w:szCs w:val="17"/>
                <w:color w:val="auto"/>
              </w:rPr>
              <w:t>TITLE: Director, Innovation</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1680" w:type="dxa"/>
            <w:vAlign w:val="bottom"/>
          </w:tcPr>
          <w:p>
            <w:pPr>
              <w:ind w:left="240"/>
              <w:spacing w:after="0"/>
              <w:rPr>
                <w:sz w:val="20"/>
                <w:szCs w:val="20"/>
                <w:color w:val="auto"/>
              </w:rPr>
            </w:pPr>
            <w:r>
              <w:rPr>
                <w:rFonts w:ascii="Arial" w:cs="Arial" w:eastAsia="Arial" w:hAnsi="Arial"/>
                <w:sz w:val="17"/>
                <w:szCs w:val="17"/>
                <w:color w:val="auto"/>
              </w:rPr>
              <w:t>April 5</w:t>
            </w:r>
            <w:r>
              <w:rPr>
                <w:rFonts w:ascii="Arial" w:cs="Arial" w:eastAsia="Arial" w:hAnsi="Arial"/>
                <w:sz w:val="14"/>
                <w:szCs w:val="14"/>
                <w:color w:val="auto"/>
              </w:rPr>
              <w:t>th</w:t>
            </w:r>
            <w:r>
              <w:rPr>
                <w:rFonts w:ascii="Arial" w:cs="Arial" w:eastAsia="Arial" w:hAnsi="Arial"/>
                <w:sz w:val="17"/>
                <w:szCs w:val="17"/>
                <w:color w:val="auto"/>
              </w:rPr>
              <w:t>, 2016</w:t>
            </w: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auto"/>
              </w:rPr>
              <w:t>DATE:</w:t>
            </w:r>
          </w:p>
        </w:tc>
        <w:tc>
          <w:tcPr>
            <w:tcW w:w="4680" w:type="dxa"/>
            <w:vAlign w:val="bottom"/>
          </w:tcPr>
          <w:p>
            <w:pPr>
              <w:ind w:left="260"/>
              <w:spacing w:after="0"/>
              <w:rPr>
                <w:sz w:val="20"/>
                <w:szCs w:val="20"/>
                <w:color w:val="auto"/>
              </w:rPr>
            </w:pPr>
            <w:r>
              <w:rPr>
                <w:rFonts w:ascii="Arial" w:cs="Arial" w:eastAsia="Arial" w:hAnsi="Arial"/>
                <w:sz w:val="17"/>
                <w:szCs w:val="17"/>
                <w:color w:val="auto"/>
              </w:rPr>
              <w:t>April 5</w:t>
            </w:r>
            <w:r>
              <w:rPr>
                <w:rFonts w:ascii="Arial" w:cs="Arial" w:eastAsia="Arial" w:hAnsi="Arial"/>
                <w:sz w:val="14"/>
                <w:szCs w:val="14"/>
                <w:color w:val="auto"/>
              </w:rPr>
              <w:t>th</w:t>
            </w:r>
            <w:r>
              <w:rPr>
                <w:rFonts w:ascii="Arial" w:cs="Arial" w:eastAsia="Arial" w:hAnsi="Arial"/>
                <w:sz w:val="17"/>
                <w:szCs w:val="17"/>
                <w:color w:val="auto"/>
              </w:rPr>
              <w:t>, 2016</w:t>
            </w:r>
          </w:p>
        </w:tc>
      </w:tr>
      <w:tr>
        <w:trPr>
          <w:trHeight w:val="352"/>
        </w:trPr>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gridSpan w:val="2"/>
          </w:tcPr>
          <w:p>
            <w:pPr>
              <w:jc w:val="right"/>
              <w:ind w:right="473"/>
              <w:spacing w:after="0"/>
              <w:rPr>
                <w:sz w:val="20"/>
                <w:szCs w:val="20"/>
                <w:color w:val="auto"/>
              </w:rPr>
            </w:pPr>
            <w:r>
              <w:rPr>
                <w:rFonts w:ascii="Arial" w:cs="Arial" w:eastAsia="Arial" w:hAnsi="Arial"/>
                <w:sz w:val="17"/>
                <w:szCs w:val="17"/>
                <w:color w:val="auto"/>
              </w:rPr>
              <w:t>25</w:t>
            </w:r>
          </w:p>
        </w:tc>
        <w:tc>
          <w:tcPr>
            <w:tcW w:w="4680" w:type="dxa"/>
            <w:vAlign w:val="bottom"/>
          </w:tcPr>
          <w:p>
            <w:pPr>
              <w:spacing w:after="0"/>
              <w:rPr>
                <w:sz w:val="24"/>
                <w:szCs w:val="24"/>
                <w:color w:val="auto"/>
              </w:rPr>
            </w:pPr>
          </w:p>
        </w:tc>
      </w:tr>
    </w:tbl>
    <w:p>
      <w:pPr>
        <w:sectPr>
          <w:pgSz w:w="11900" w:h="16838" w:orient="portrait"/>
          <w:cols w:equalWidth="0" w:num="1">
            <w:col w:w="10660"/>
          </w:cols>
          <w:pgMar w:left="620" w:top="270" w:right="619" w:bottom="1440" w:gutter="0" w:footer="0" w:header="0"/>
        </w:sectPr>
      </w:pPr>
    </w:p>
    <w:bookmarkStart w:id="326" w:name="page327"/>
    <w:bookmarkEnd w:id="326"/>
    <w:p>
      <w:pPr>
        <w:jc w:val="center"/>
        <w:ind w:right="-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A</w:t>
      </w:r>
    </w:p>
    <w:p>
      <w:pPr>
        <w:spacing w:after="0" w:line="222"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DESCRIPTION OF PATENT RIGHTS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8" w:lineRule="exact"/>
        <w:rPr>
          <w:sz w:val="20"/>
          <w:szCs w:val="20"/>
          <w:color w:val="auto"/>
        </w:rPr>
      </w:pPr>
    </w:p>
    <w:p>
      <w:pPr>
        <w:jc w:val="center"/>
        <w:ind w:right="-820"/>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168"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839"/>
          </w:cols>
          <w:pgMar w:left="620" w:top="264" w:right="1440"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B</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TECHNOLOGICAL INFORMATION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019"/>
          </w:cols>
          <w:pgMar w:left="1440" w:top="265" w:right="1440" w:bottom="1440" w:gutter="0" w:footer="0" w:header="0"/>
        </w:sectPr>
      </w:pPr>
    </w:p>
    <w:bookmarkStart w:id="328" w:name="page329"/>
    <w:bookmarkEnd w:id="32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SALES REPORTS</w:t>
      </w:r>
    </w:p>
    <w:p>
      <w:pPr>
        <w:spacing w:after="0" w:line="230" w:lineRule="exact"/>
        <w:rPr>
          <w:sz w:val="20"/>
          <w:szCs w:val="20"/>
          <w:color w:val="auto"/>
        </w:rPr>
      </w:pPr>
    </w:p>
    <w:p>
      <w:pPr>
        <w:spacing w:after="0"/>
        <w:tabs>
          <w:tab w:leader="none" w:pos="9460" w:val="left"/>
        </w:tabs>
        <w:rPr>
          <w:sz w:val="20"/>
          <w:szCs w:val="20"/>
          <w:color w:val="auto"/>
        </w:rPr>
      </w:pPr>
      <w:r>
        <w:rPr>
          <w:rFonts w:ascii="Arial" w:cs="Arial" w:eastAsia="Arial" w:hAnsi="Arial"/>
          <w:sz w:val="17"/>
          <w:szCs w:val="17"/>
          <w:b w:val="1"/>
          <w:bCs w:val="1"/>
          <w:color w:val="auto"/>
        </w:rPr>
        <w:t>AGREEMENT INCOME REPORT</w:t>
      </w:r>
      <w:r>
        <w:rPr>
          <w:sz w:val="20"/>
          <w:szCs w:val="20"/>
          <w:color w:val="auto"/>
        </w:rPr>
        <w:tab/>
      </w:r>
      <w:r>
        <w:rPr>
          <w:rFonts w:ascii="Arial" w:cs="Arial" w:eastAsia="Arial" w:hAnsi="Arial"/>
          <w:sz w:val="15"/>
          <w:szCs w:val="15"/>
          <w:b w:val="1"/>
          <w:bCs w:val="1"/>
          <w:color w:val="auto"/>
        </w:rPr>
        <w:t>Royalty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MGH Agreement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Sub-Licensee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Separate reports must be filed for:</w:t>
      </w:r>
    </w:p>
    <w:p>
      <w:pPr>
        <w:spacing w:after="0" w:line="118" w:lineRule="exact"/>
        <w:rPr>
          <w:sz w:val="20"/>
          <w:szCs w:val="20"/>
          <w:color w:val="auto"/>
        </w:rPr>
      </w:pPr>
    </w:p>
    <w:p>
      <w:pPr>
        <w:ind w:left="680" w:hanging="334"/>
        <w:spacing w:after="0"/>
        <w:tabs>
          <w:tab w:leader="none" w:pos="680" w:val="left"/>
        </w:tabs>
        <w:numPr>
          <w:ilvl w:val="0"/>
          <w:numId w:val="2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Each Product sold.</w:t>
      </w:r>
    </w:p>
    <w:p>
      <w:pPr>
        <w:spacing w:after="0" w:line="117" w:lineRule="exact"/>
        <w:rPr>
          <w:rFonts w:ascii="Arial" w:cs="Arial" w:eastAsia="Arial" w:hAnsi="Arial"/>
          <w:sz w:val="17"/>
          <w:szCs w:val="17"/>
          <w:b w:val="1"/>
          <w:bCs w:val="1"/>
          <w:i w:val="1"/>
          <w:iCs w:val="1"/>
          <w:color w:val="auto"/>
        </w:rPr>
      </w:pPr>
    </w:p>
    <w:p>
      <w:pPr>
        <w:ind w:left="680" w:hanging="334"/>
        <w:spacing w:after="0"/>
        <w:tabs>
          <w:tab w:leader="none" w:pos="680" w:val="left"/>
        </w:tabs>
        <w:numPr>
          <w:ilvl w:val="0"/>
          <w:numId w:val="2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Each country of sale, if different deductions or royalty rates apply.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wp:posOffset>
            </wp:positionV>
            <wp:extent cx="48329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832985" cy="825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127635</wp:posOffset>
            </wp:positionV>
            <wp:extent cx="10217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Time Period:</w:t>
      </w:r>
    </w:p>
    <w:p>
      <w:pPr>
        <w:spacing w:after="0" w:line="124" w:lineRule="exact"/>
        <w:rPr>
          <w:sz w:val="20"/>
          <w:szCs w:val="20"/>
          <w:color w:val="auto"/>
        </w:rPr>
      </w:pPr>
    </w:p>
    <w:p>
      <w:pPr>
        <w:ind w:left="340"/>
        <w:spacing w:after="0"/>
        <w:tabs>
          <w:tab w:leader="none" w:pos="2540" w:val="left"/>
        </w:tabs>
        <w:rPr>
          <w:sz w:val="20"/>
          <w:szCs w:val="20"/>
          <w:color w:val="auto"/>
        </w:rPr>
      </w:pPr>
      <w:r>
        <w:rPr>
          <w:rFonts w:ascii="Arial" w:cs="Arial" w:eastAsia="Arial" w:hAnsi="Arial"/>
          <w:sz w:val="17"/>
          <w:szCs w:val="17"/>
          <w:color w:val="auto"/>
        </w:rPr>
        <w:t>From</w:t>
      </w:r>
      <w:r>
        <w:rPr>
          <w:sz w:val="20"/>
          <w:szCs w:val="20"/>
          <w:color w:val="auto"/>
        </w:rPr>
        <w:tab/>
      </w:r>
      <w:r>
        <w:rPr>
          <w:rFonts w:ascii="Arial" w:cs="Arial" w:eastAsia="Arial" w:hAnsi="Arial"/>
          <w:sz w:val="17"/>
          <w:szCs w:val="17"/>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-7620</wp:posOffset>
            </wp:positionV>
            <wp:extent cx="43364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3641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123825</wp:posOffset>
            </wp:positionV>
            <wp:extent cx="129794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307" w:lineRule="exact"/>
        <w:rPr>
          <w:sz w:val="20"/>
          <w:szCs w:val="20"/>
          <w:color w:val="auto"/>
        </w:rPr>
      </w:pPr>
    </w:p>
    <w:p>
      <w:pPr>
        <w:ind w:left="340"/>
        <w:spacing w:after="0"/>
        <w:tabs>
          <w:tab w:leader="none" w:pos="254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6772275" cy="1492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772275" cy="14922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-7620</wp:posOffset>
            </wp:positionV>
            <wp:extent cx="43364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3641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123825</wp:posOffset>
            </wp:positionV>
            <wp:extent cx="12979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Country of Sale</w:t>
            </w:r>
          </w:p>
        </w:tc>
        <w:tc>
          <w:tcPr>
            <w:tcW w:w="108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Quantity Sold</w:t>
            </w:r>
          </w:p>
        </w:tc>
        <w:tc>
          <w:tcPr>
            <w:tcW w:w="108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6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Gross Sales (USD)</w:t>
            </w:r>
          </w:p>
        </w:tc>
        <w:tc>
          <w:tcPr>
            <w:tcW w:w="2880" w:type="dxa"/>
            <w:vAlign w:val="bottom"/>
            <w:gridSpan w:val="2"/>
            <w:vMerge w:val="restart"/>
          </w:tcPr>
          <w:p>
            <w:pPr>
              <w:jc w:val="right"/>
              <w:ind w:right="1800"/>
              <w:spacing w:after="0"/>
              <w:rPr>
                <w:sz w:val="20"/>
                <w:szCs w:val="20"/>
                <w:color w:val="auto"/>
              </w:rPr>
            </w:pPr>
            <w:r>
              <w:rPr>
                <w:rFonts w:ascii="Arial" w:cs="Arial" w:eastAsia="Arial" w:hAnsi="Arial"/>
                <w:sz w:val="17"/>
                <w:szCs w:val="17"/>
                <w:color w:val="auto"/>
              </w:rPr>
              <w:t>$</w:t>
            </w:r>
          </w:p>
        </w:tc>
        <w:tc>
          <w:tcPr>
            <w:tcW w:w="2760" w:type="dxa"/>
            <w:vAlign w:val="bottom"/>
            <w:gridSpan w:val="2"/>
            <w:vMerge w:val="restart"/>
          </w:tcPr>
          <w:p>
            <w:pPr>
              <w:jc w:val="right"/>
              <w:ind w:right="178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360" w:type="dxa"/>
            <w:vAlign w:val="bottom"/>
            <w:vMerge w:val="continue"/>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276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Exchange Rate</w:t>
            </w:r>
          </w:p>
        </w:tc>
        <w:tc>
          <w:tcPr>
            <w:tcW w:w="1080" w:type="dxa"/>
            <w:vAlign w:val="bottom"/>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Borders>
              <w:top w:val="single" w:sz="8" w:color="auto"/>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Deductions (Itemize)</w:t>
      </w:r>
    </w:p>
    <w:p>
      <w:pPr>
        <w:spacing w:after="0" w:line="118" w:lineRule="exact"/>
        <w:rPr>
          <w:sz w:val="20"/>
          <w:szCs w:val="20"/>
          <w:color w:val="auto"/>
        </w:rPr>
      </w:pPr>
    </w:p>
    <w:p>
      <w:pPr>
        <w:ind w:right="980"/>
        <w:spacing w:after="0" w:line="287" w:lineRule="auto"/>
        <w:rPr>
          <w:sz w:val="20"/>
          <w:szCs w:val="20"/>
          <w:color w:val="auto"/>
        </w:rPr>
      </w:pPr>
      <w:r>
        <w:rPr>
          <w:rFonts w:ascii="Arial" w:cs="Arial" w:eastAsia="Arial" w:hAnsi="Arial"/>
          <w:sz w:val="17"/>
          <w:szCs w:val="17"/>
          <w:i w:val="1"/>
          <w:iCs w:val="1"/>
          <w:color w:val="auto"/>
        </w:rPr>
        <w:t>Please list each deduction separately. Use same definition as appears in Agreement and include the contract paragraph as a reference (Std Section 1.17(a)(ii) line item deductions listed below).</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-7620</wp:posOffset>
            </wp:positionV>
            <wp:extent cx="45720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572000" cy="8255"/>
                    </a:xfrm>
                    <a:prstGeom prst="rect">
                      <a:avLst/>
                    </a:prstGeom>
                    <a:noFill/>
                  </pic:spPr>
                </pic:pic>
              </a:graphicData>
            </a:graphic>
          </wp:anchor>
        </w:drawing>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-7620</wp:posOffset>
            </wp:positionV>
            <wp:extent cx="45720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572000" cy="8255"/>
                    </a:xfrm>
                    <a:prstGeom prst="rect">
                      <a:avLst/>
                    </a:prstGeom>
                    <a:noFill/>
                  </pic:spPr>
                </pic:pic>
              </a:graphicData>
            </a:graphic>
          </wp:anchor>
        </w:drawing>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-7620</wp:posOffset>
            </wp:positionV>
            <wp:extent cx="28898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8988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-49530</wp:posOffset>
            </wp:positionV>
            <wp:extent cx="11322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-7620</wp:posOffset>
            </wp:positionV>
            <wp:extent cx="45720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572000" cy="8255"/>
                    </a:xfrm>
                    <a:prstGeom prst="rect">
                      <a:avLst/>
                    </a:prstGeom>
                    <a:noFill/>
                  </pic:spPr>
                </pic:pic>
              </a:graphicData>
            </a:graphic>
          </wp:anchor>
        </w:drawing>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B</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-3810</wp:posOffset>
            </wp:positionV>
            <wp:extent cx="45720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572000" cy="8255"/>
                    </a:xfrm>
                    <a:prstGeom prst="rect">
                      <a:avLst/>
                    </a:prstGeom>
                    <a:noFill/>
                  </pic:spPr>
                </pic:pic>
              </a:graphicData>
            </a:graphic>
          </wp:anchor>
        </w:drawing>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Total Deductions</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6"/>
                <w:szCs w:val="16"/>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Net Sales</w:t>
            </w: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Royalty Percentage</w:t>
            </w: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Credits (itemize)</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4"/>
                <w:szCs w:val="2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36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7"/>
                <w:szCs w:val="17"/>
                <w:b w:val="1"/>
                <w:bCs w:val="1"/>
                <w:i w:val="1"/>
                <w:iCs w:val="1"/>
                <w:color w:val="auto"/>
              </w:rPr>
              <w:t>Royalties Due</w:t>
            </w:r>
          </w:p>
        </w:tc>
        <w:tc>
          <w:tcPr>
            <w:tcW w:w="1960" w:type="dxa"/>
            <w:vAlign w:val="bottom"/>
            <w:gridSpan w:val="3"/>
          </w:tcPr>
          <w:p>
            <w:pPr>
              <w:jc w:val="right"/>
              <w:ind w:right="8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tcPr>
          <w:p>
            <w:pPr>
              <w:jc w:val="right"/>
              <w:ind w:right="86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3"/>
          </w:tcPr>
          <w:p>
            <w:pPr>
              <w:jc w:val="right"/>
              <w:ind w:right="17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54"/>
        </w:trPr>
        <w:tc>
          <w:tcPr>
            <w:tcW w:w="2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r>
      <w:tr>
        <w:trPr>
          <w:trHeight w:val="202"/>
        </w:trPr>
        <w:tc>
          <w:tcPr>
            <w:tcW w:w="2360" w:type="dxa"/>
            <w:vAlign w:val="bottom"/>
            <w:tcBorders>
              <w:left w:val="single" w:sz="8" w:color="auto"/>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PLEASE ATTACH DETAIL SALES REPORTS AS REQUIRED</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60"/>
          </w:cols>
          <w:pgMar w:left="620" w:top="264" w:right="61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D</w:t>
      </w:r>
    </w:p>
    <w:p>
      <w:pPr>
        <w:spacing w:after="0" w:line="248" w:lineRule="exact"/>
        <w:rPr>
          <w:sz w:val="20"/>
          <w:szCs w:val="20"/>
          <w:color w:val="auto"/>
        </w:rPr>
      </w:pPr>
    </w:p>
    <w:p>
      <w:pPr>
        <w:spacing w:after="0"/>
        <w:tabs>
          <w:tab w:leader="none" w:pos="9260" w:val="left"/>
        </w:tabs>
        <w:rPr>
          <w:sz w:val="20"/>
          <w:szCs w:val="20"/>
          <w:color w:val="auto"/>
        </w:rPr>
      </w:pPr>
      <w:r>
        <w:rPr>
          <w:rFonts w:ascii="Arial" w:cs="Arial" w:eastAsia="Arial" w:hAnsi="Arial"/>
          <w:sz w:val="17"/>
          <w:szCs w:val="17"/>
          <w:b w:val="1"/>
          <w:bCs w:val="1"/>
          <w:color w:val="auto"/>
        </w:rPr>
        <w:t>AGREEMENT INCOME REPORT</w:t>
      </w:r>
      <w:r>
        <w:rPr>
          <w:sz w:val="20"/>
          <w:szCs w:val="20"/>
          <w:color w:val="auto"/>
        </w:rPr>
        <w:tab/>
      </w:r>
      <w:r>
        <w:rPr>
          <w:rFonts w:ascii="Arial" w:cs="Arial" w:eastAsia="Arial" w:hAnsi="Arial"/>
          <w:sz w:val="15"/>
          <w:szCs w:val="15"/>
          <w:b w:val="1"/>
          <w:bCs w:val="1"/>
          <w:color w:val="auto"/>
        </w:rPr>
        <w:t>Sublicense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MGH Agreement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Sub-Licensee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16510</wp:posOffset>
            </wp:positionV>
            <wp:extent cx="479933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9933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Separate reports must be filed for Payments associated with each Product: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wp:posOffset>
            </wp:positionV>
            <wp:extent cx="483298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832985" cy="825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127635</wp:posOffset>
            </wp:positionV>
            <wp:extent cx="10769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Time Period:</w:t>
      </w:r>
    </w:p>
    <w:p>
      <w:pPr>
        <w:spacing w:after="0" w:line="124"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7"/>
          <w:szCs w:val="17"/>
          <w:color w:val="auto"/>
        </w:rPr>
        <w:t>From</w:t>
      </w:r>
      <w:r>
        <w:rPr>
          <w:sz w:val="20"/>
          <w:szCs w:val="20"/>
          <w:color w:val="auto"/>
        </w:rPr>
        <w:tab/>
      </w:r>
      <w:r>
        <w:rPr>
          <w:rFonts w:ascii="Arial" w:cs="Arial" w:eastAsia="Arial" w:hAnsi="Arial"/>
          <w:sz w:val="17"/>
          <w:szCs w:val="17"/>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-7620</wp:posOffset>
            </wp:positionV>
            <wp:extent cx="43364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33641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123825</wp:posOffset>
            </wp:positionV>
            <wp:extent cx="129794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307"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6772275" cy="1492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772275" cy="14922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-7620</wp:posOffset>
            </wp:positionV>
            <wp:extent cx="43364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33641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123825</wp:posOffset>
            </wp:positionV>
            <wp:extent cx="12979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Detailed Explanation of Payment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Required for “Other Payment”</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Annual Fees/Minimum Royalties</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Milestone Payments</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Sublicense Fees and Royalties</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Other Payment</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Other Payment</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i w:val="1"/>
                <w:iCs w:val="1"/>
                <w:color w:val="auto"/>
              </w:rPr>
              <w:t>Other Payment</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319"/>
        </w:trPr>
        <w:tc>
          <w:tcPr>
            <w:tcW w:w="39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48"/>
        </w:trPr>
        <w:tc>
          <w:tcPr>
            <w:tcW w:w="39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spacing w:after="0"/>
              <w:rPr>
                <w:sz w:val="21"/>
                <w:szCs w:val="21"/>
                <w:color w:val="auto"/>
              </w:rPr>
            </w:pPr>
          </w:p>
        </w:tc>
      </w:tr>
      <w:tr>
        <w:trPr>
          <w:trHeight w:val="202"/>
        </w:trPr>
        <w:tc>
          <w:tcPr>
            <w:tcW w:w="3960" w:type="dxa"/>
            <w:vAlign w:val="bottom"/>
            <w:tcBorders>
              <w:left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PLEASE ATTACH DETAIL AS REQUIRED</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60"/>
          </w:cols>
          <w:pgMar w:left="620" w:top="264" w:right="619" w:bottom="1440" w:gutter="0" w:footer="0" w:header="0"/>
        </w:sectPr>
      </w:pPr>
    </w:p>
    <w:bookmarkStart w:id="330" w:name="page331"/>
    <w:bookmarkEnd w:id="330"/>
    <w:p>
      <w:pPr>
        <w:jc w:val="center"/>
        <w:ind w:right="-41"/>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Appendix E</w:t>
      </w:r>
    </w:p>
    <w:p>
      <w:pPr>
        <w:spacing w:after="0" w:line="222" w:lineRule="exact"/>
        <w:rPr>
          <w:sz w:val="20"/>
          <w:szCs w:val="20"/>
          <w:color w:val="auto"/>
        </w:rPr>
      </w:pPr>
    </w:p>
    <w:p>
      <w:pPr>
        <w:jc w:val="center"/>
        <w:ind w:right="-41"/>
        <w:spacing w:after="0"/>
        <w:rPr>
          <w:sz w:val="20"/>
          <w:szCs w:val="20"/>
          <w:color w:val="auto"/>
        </w:rPr>
      </w:pPr>
      <w:r>
        <w:rPr>
          <w:rFonts w:ascii="Arial" w:cs="Arial" w:eastAsia="Arial" w:hAnsi="Arial"/>
          <w:sz w:val="17"/>
          <w:szCs w:val="17"/>
          <w:b w:val="1"/>
          <w:bCs w:val="1"/>
          <w:color w:val="auto"/>
        </w:rPr>
        <w:t>CONFIDENTIALITY TERMS AND CONDITIONS</w:t>
      </w:r>
    </w:p>
    <w:p>
      <w:pPr>
        <w:spacing w:after="0" w:line="228" w:lineRule="exact"/>
        <w:rPr>
          <w:sz w:val="20"/>
          <w:szCs w:val="20"/>
          <w:color w:val="auto"/>
        </w:rPr>
      </w:pPr>
    </w:p>
    <w:p>
      <w:pPr>
        <w:ind w:left="2" w:right="80" w:hanging="2"/>
        <w:spacing w:after="0" w:line="282" w:lineRule="auto"/>
        <w:tabs>
          <w:tab w:leader="none" w:pos="176"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Definition of Confidential Information</w:t>
      </w:r>
      <w:r>
        <w:rPr>
          <w:rFonts w:ascii="Arial" w:cs="Arial" w:eastAsia="Arial" w:hAnsi="Arial"/>
          <w:sz w:val="16"/>
          <w:szCs w:val="16"/>
          <w:color w:val="auto"/>
        </w:rPr>
        <w:t>. “Confidential Information” shall mean any information, including but not limited to data, techniques, protocols or results, or business, financial, commercial or technical information, disclosed by one Party ( each a “Discloser” as applicable) to the other Party (each a “Recipient” as applicable) in connection with the terms of that certain Exclusive License Agreement dated ____________________ (the “License Agreement”) and identified as confidential at the time of disclosure (the “Purpose”). Hospital’s Confidential Information shall also include all information disclosed by Hospital to Company in connection with the Patent Rights. Capitalized terms used in this Appendix that are not otherwise defined herein have the meanings ascribed in the License Agreement to which this Appendix is attached and made a part thereof</w:t>
      </w:r>
    </w:p>
    <w:p>
      <w:pPr>
        <w:spacing w:after="0" w:line="60" w:lineRule="exact"/>
        <w:rPr>
          <w:rFonts w:ascii="Arial" w:cs="Arial" w:eastAsia="Arial" w:hAnsi="Arial"/>
          <w:sz w:val="16"/>
          <w:szCs w:val="16"/>
          <w:color w:val="auto"/>
        </w:rPr>
      </w:pPr>
    </w:p>
    <w:p>
      <w:pPr>
        <w:ind w:left="2" w:hanging="2"/>
        <w:spacing w:after="0" w:line="260" w:lineRule="auto"/>
        <w:tabs>
          <w:tab w:leader="none" w:pos="176"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“Confidential Information” under this Agreement shall not include any information that (i) is or becomes publicly available through no wrongful act of Recipient; (ii) was known by Recipient prior to disclosure by Discloser, as evidenced by tangible records; (iii) becomes known to Recipient after disclosure from a third party having an apparent bona fide right to disclose it; (iv) is independently developed or discovered by Recipient without use of Discloser’s Confidential Information, as evidenced by tangible records; or (v) is disclosed to another party by Discloser without restriction on further disclosure. The obligations of confidentiality and non-use set forth in this Agreement shall not apply with respect to any information that Recipient is required to disclose or produce pursuant to applicable law, court order or other valid legal process provided that Recipient promptly notifies Discloser prior to such required disclosure, discloses such information only to the extent so required and cooperates reasonably with Discloser’s efforts to contest or limit the scope of such disclosure.</w:t>
      </w:r>
    </w:p>
    <w:p>
      <w:pPr>
        <w:spacing w:after="0" w:line="81" w:lineRule="exact"/>
        <w:rPr>
          <w:rFonts w:ascii="Arial" w:cs="Arial" w:eastAsia="Arial" w:hAnsi="Arial"/>
          <w:sz w:val="17"/>
          <w:szCs w:val="17"/>
          <w:color w:val="auto"/>
        </w:rPr>
      </w:pPr>
    </w:p>
    <w:p>
      <w:pPr>
        <w:ind w:left="2" w:right="180" w:hanging="2"/>
        <w:spacing w:after="0" w:line="272" w:lineRule="auto"/>
        <w:tabs>
          <w:tab w:leader="none" w:pos="176"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Permitted Purpose</w:t>
      </w:r>
      <w:r>
        <w:rPr>
          <w:rFonts w:ascii="Arial" w:cs="Arial" w:eastAsia="Arial" w:hAnsi="Arial"/>
          <w:sz w:val="17"/>
          <w:szCs w:val="17"/>
          <w:color w:val="auto"/>
        </w:rPr>
        <w:t>. Recipient shall have the right to, and agrees that it will, use Discloser’s Confidential Information solely for the Purpose as described in the License Agreement, except as may be otherwise specified in a separate definitive written agreement negotiated and executed between the parties.</w:t>
      </w:r>
    </w:p>
    <w:p>
      <w:pPr>
        <w:spacing w:after="0" w:line="66" w:lineRule="exact"/>
        <w:rPr>
          <w:rFonts w:ascii="Arial" w:cs="Arial" w:eastAsia="Arial" w:hAnsi="Arial"/>
          <w:sz w:val="17"/>
          <w:szCs w:val="17"/>
          <w:color w:val="auto"/>
        </w:rPr>
      </w:pPr>
    </w:p>
    <w:p>
      <w:pPr>
        <w:ind w:left="2" w:right="40" w:hanging="2"/>
        <w:spacing w:after="0" w:line="260" w:lineRule="auto"/>
        <w:tabs>
          <w:tab w:leader="none" w:pos="176"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For the term of the License Agreement and a period of seven (7) years thereafter (and indefinitely with respect to any individually identifiable health information disclosed by Hospital to Company, if any), each Recipient agrees that: (i) it will not use such Confidential Information for any purpose other than as specified herein, including without limitation for its own benefit or the benefit of any other person or entity; and (ii) it will use reasonable efforts (but no less than the efforts used to protect its own confidential and/or proprietary information of a similar nature) not to disclose such Confidential Information to any other person or entity except as expressly permitted hereunder. Recipient may, however, disclose Discloser’s Confidential Information only on a need-to-know basis to its and its Affiliates employees, staff members and agents (“Receiving Individuals”) who are directly participating in the Purpose and who are informed of the confidential nature of such information, provided Recipient shall be responsible for compliance by Receiving Individuals with the terms</w:t>
      </w:r>
    </w:p>
    <w:p>
      <w:pPr>
        <w:spacing w:after="0" w:line="120"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22"/>
          </w:cols>
          <w:pgMar w:left="618" w:top="264" w:right="659" w:bottom="1440" w:gutter="0" w:footer="0" w:header="0"/>
        </w:sectPr>
      </w:pPr>
    </w:p>
    <w:bookmarkStart w:id="331" w:name="page332"/>
    <w:bookmarkEnd w:id="331"/>
    <w:p>
      <w:pPr>
        <w:ind w:left="2"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 this Agreement and any breach thereof. Each party further agrees not to use the name of the other party or any of its Affiliates or any of their respective trustees, directors, officers, staff members, employees, students or agents in any advertising, promotional or sales literature, publicity or in any document employed to obtain funds or financing without the prior written approval of the party or individual whose name is to be used, in the case of Hospital such approval to be given by the Public Affairs Department. This Section 4 shall survive termination or expiration of this Agreement.</w:t>
      </w:r>
    </w:p>
    <w:p>
      <w:pPr>
        <w:spacing w:after="0" w:line="57" w:lineRule="exact"/>
        <w:rPr>
          <w:sz w:val="20"/>
          <w:szCs w:val="20"/>
          <w:color w:val="auto"/>
        </w:rPr>
      </w:pPr>
    </w:p>
    <w:p>
      <w:pPr>
        <w:ind w:left="2" w:right="240" w:hanging="2"/>
        <w:spacing w:after="0" w:line="287" w:lineRule="auto"/>
        <w:tabs>
          <w:tab w:leader="none" w:pos="176"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Right to Disclose</w:t>
      </w:r>
      <w:r>
        <w:rPr>
          <w:rFonts w:ascii="Arial" w:cs="Arial" w:eastAsia="Arial" w:hAnsi="Arial"/>
          <w:sz w:val="17"/>
          <w:szCs w:val="17"/>
          <w:color w:val="auto"/>
        </w:rPr>
        <w:t>. Discloser represents that to the best of its knowledge it has the right to disclose to each Recipient all of Discloser’s Confidential Information that will be disclosed hereunder.</w:t>
      </w:r>
    </w:p>
    <w:p>
      <w:pPr>
        <w:spacing w:after="0" w:line="54" w:lineRule="exact"/>
        <w:rPr>
          <w:rFonts w:ascii="Arial" w:cs="Arial" w:eastAsia="Arial" w:hAnsi="Arial"/>
          <w:sz w:val="17"/>
          <w:szCs w:val="17"/>
          <w:color w:val="auto"/>
        </w:rPr>
      </w:pPr>
    </w:p>
    <w:p>
      <w:pPr>
        <w:jc w:val="both"/>
        <w:ind w:left="2" w:right="240" w:hanging="2"/>
        <w:spacing w:after="0" w:line="266" w:lineRule="auto"/>
        <w:tabs>
          <w:tab w:leader="none" w:pos="176"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All Confidential Information disclosed pursuant to this Agreement, including without limitation all written and tangible forms thereof, shall be and remain the property of the Discloser. Upon termination of this Agreement, if requested by Discloser, Recipient shall return or destroy at Discloser’s discretion all of Discloser’s Confidential Information, provided that Recipient shall be entitled to keep one copy of such Confidential Information in a secure location solely for the purpose of determining Recipient’s legal obligations hereunder.</w:t>
      </w:r>
    </w:p>
    <w:p>
      <w:pPr>
        <w:spacing w:after="0" w:line="73" w:lineRule="exact"/>
        <w:rPr>
          <w:rFonts w:ascii="Arial" w:cs="Arial" w:eastAsia="Arial" w:hAnsi="Arial"/>
          <w:sz w:val="17"/>
          <w:szCs w:val="17"/>
          <w:color w:val="auto"/>
        </w:rPr>
      </w:pPr>
    </w:p>
    <w:p>
      <w:pPr>
        <w:jc w:val="both"/>
        <w:ind w:left="2" w:right="80" w:hanging="2"/>
        <w:spacing w:after="0" w:line="272" w:lineRule="auto"/>
        <w:tabs>
          <w:tab w:leader="none" w:pos="176"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No License</w:t>
      </w:r>
      <w:r>
        <w:rPr>
          <w:rFonts w:ascii="Arial" w:cs="Arial" w:eastAsia="Arial" w:hAnsi="Arial"/>
          <w:sz w:val="17"/>
          <w:szCs w:val="17"/>
          <w:color w:val="auto"/>
        </w:rPr>
        <w:t>. Nothing in this Agreement shall be construed as granting or conferring, expressly or impliedly, any rights by license or otherwise, under any patent, copyright, or other intellectual property rights owned or controlled by Discloser relating to Confidential Information, except as specifically set forth in the License Agreement.</w:t>
      </w:r>
    </w:p>
    <w:p>
      <w:pPr>
        <w:spacing w:after="0" w:line="66" w:lineRule="exact"/>
        <w:rPr>
          <w:rFonts w:ascii="Arial" w:cs="Arial" w:eastAsia="Arial" w:hAnsi="Arial"/>
          <w:sz w:val="17"/>
          <w:szCs w:val="17"/>
          <w:color w:val="auto"/>
        </w:rPr>
      </w:pPr>
    </w:p>
    <w:p>
      <w:pPr>
        <w:ind w:left="2" w:right="380" w:hanging="2"/>
        <w:spacing w:after="0" w:line="287" w:lineRule="auto"/>
        <w:tabs>
          <w:tab w:leader="none" w:pos="176"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Each party acknowledges that any breach of this Agreement by it may cause irreparable harm to the other party and that each party is entitled to seek injunctive relief and any other remedy available at law or in equity.</w:t>
      </w:r>
    </w:p>
    <w:p>
      <w:pPr>
        <w:spacing w:after="0" w:line="54" w:lineRule="exact"/>
        <w:rPr>
          <w:rFonts w:ascii="Arial" w:cs="Arial" w:eastAsia="Arial" w:hAnsi="Arial"/>
          <w:sz w:val="17"/>
          <w:szCs w:val="17"/>
          <w:color w:val="auto"/>
        </w:rPr>
      </w:pPr>
    </w:p>
    <w:p>
      <w:pPr>
        <w:jc w:val="both"/>
        <w:ind w:left="2" w:hanging="2"/>
        <w:spacing w:after="0" w:line="324" w:lineRule="auto"/>
        <w:tabs>
          <w:tab w:leader="none" w:pos="176" w:val="left"/>
        </w:tabs>
        <w:numPr>
          <w:ilvl w:val="0"/>
          <w:numId w:val="28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These Confidentiality Terms and Conditions, along with the License Agreement, contain the entire understanding of the parties with respect to the subject matter hereof, and supersede any prior oral or written understandings between the parties relating to confidential treatment of information. Sections 1, 2, 4, 6, 8 and 9 of these Confidentiality Terms and Conditions shall survive any expiration or termination of the License Agreement.</w:t>
      </w:r>
    </w:p>
    <w:p>
      <w:pPr>
        <w:spacing w:after="0" w:line="72" w:lineRule="exact"/>
        <w:rPr>
          <w:sz w:val="20"/>
          <w:szCs w:val="20"/>
          <w:color w:val="auto"/>
        </w:rPr>
      </w:pPr>
    </w:p>
    <w:p>
      <w:pPr>
        <w:jc w:val="center"/>
        <w:ind w:right="-61"/>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02"/>
          </w:cols>
          <w:pgMar w:left="618" w:top="270" w:right="679" w:bottom="1440" w:gutter="0" w:footer="0" w:header="0"/>
        </w:sectPr>
      </w:pPr>
    </w:p>
    <w:bookmarkStart w:id="332" w:name="page333"/>
    <w:bookmarkEnd w:id="332"/>
    <w:p>
      <w:pPr>
        <w:jc w:val="center"/>
        <w:ind w:right="-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Appendix F</w:t>
      </w:r>
    </w:p>
    <w:p>
      <w:pPr>
        <w:spacing w:after="0" w:line="222" w:lineRule="exact"/>
        <w:rPr>
          <w:sz w:val="20"/>
          <w:szCs w:val="20"/>
          <w:color w:val="auto"/>
        </w:rPr>
      </w:pPr>
    </w:p>
    <w:p>
      <w:pPr>
        <w:jc w:val="right"/>
        <w:ind w:right="2559"/>
        <w:spacing w:after="0"/>
        <w:rPr>
          <w:sz w:val="20"/>
          <w:szCs w:val="20"/>
          <w:color w:val="auto"/>
        </w:rPr>
      </w:pPr>
      <w:r>
        <w:rPr>
          <w:rFonts w:ascii="Arial" w:cs="Arial" w:eastAsia="Arial" w:hAnsi="Arial"/>
          <w:sz w:val="17"/>
          <w:szCs w:val="17"/>
          <w:b w:val="1"/>
          <w:bCs w:val="1"/>
          <w:color w:val="auto"/>
        </w:rPr>
        <w:t>Brief Financing and Commercial Development Plans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8" w:lineRule="exact"/>
        <w:rPr>
          <w:sz w:val="20"/>
          <w:szCs w:val="20"/>
          <w:color w:val="auto"/>
        </w:rPr>
      </w:pPr>
    </w:p>
    <w:p>
      <w:pPr>
        <w:jc w:val="center"/>
        <w:ind w:right="-800"/>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157"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839"/>
          </w:cols>
          <w:pgMar w:left="620" w:top="264" w:right="1440" w:bottom="1440" w:gutter="0" w:footer="0" w:header="0"/>
        </w:sectPr>
      </w:pPr>
    </w:p>
    <w:bookmarkStart w:id="333" w:name="page334"/>
    <w:bookmarkEnd w:id="3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p>
    <w:p>
      <w:pPr>
        <w:spacing w:after="0" w:line="228" w:lineRule="exact"/>
        <w:rPr>
          <w:sz w:val="20"/>
          <w:szCs w:val="20"/>
          <w:color w:val="auto"/>
        </w:rPr>
      </w:pPr>
    </w:p>
    <w:p>
      <w:pPr>
        <w:jc w:val="center"/>
        <w:ind w:right="-820"/>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168"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9839"/>
          </w:cols>
          <w:pgMar w:left="620" w:top="265" w:right="1440" w:bottom="1440" w:gutter="0" w:footer="0" w:header="0"/>
        </w:sectPr>
      </w:pPr>
    </w:p>
    <w:bookmarkStart w:id="334" w:name="page335"/>
    <w:bookmarkEnd w:id="334"/>
    <w:p>
      <w:pPr>
        <w:ind w:left="2" w:right="640"/>
        <w:spacing w:after="0" w:line="27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372"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AMENDMENT #1</w:t>
      </w:r>
    </w:p>
    <w:p>
      <w:pPr>
        <w:spacing w:after="0" w:line="222" w:lineRule="exact"/>
        <w:rPr>
          <w:sz w:val="20"/>
          <w:szCs w:val="20"/>
          <w:color w:val="auto"/>
        </w:rPr>
      </w:pPr>
    </w:p>
    <w:p>
      <w:pPr>
        <w:ind w:left="2" w:firstLine="426"/>
        <w:spacing w:after="0" w:line="269" w:lineRule="auto"/>
        <w:rPr>
          <w:sz w:val="20"/>
          <w:szCs w:val="20"/>
          <w:color w:val="auto"/>
        </w:rPr>
      </w:pPr>
      <w:r>
        <w:rPr>
          <w:rFonts w:ascii="Arial" w:cs="Arial" w:eastAsia="Arial" w:hAnsi="Arial"/>
          <w:sz w:val="17"/>
          <w:szCs w:val="17"/>
          <w:color w:val="auto"/>
        </w:rPr>
        <w:t>This Amendment (“</w:t>
      </w:r>
      <w:r>
        <w:rPr>
          <w:rFonts w:ascii="Arial" w:cs="Arial" w:eastAsia="Arial" w:hAnsi="Arial"/>
          <w:sz w:val="17"/>
          <w:szCs w:val="17"/>
          <w:u w:val="single" w:color="auto"/>
          <w:color w:val="auto"/>
        </w:rPr>
        <w:t>Amendment #1</w:t>
      </w:r>
      <w:r>
        <w:rPr>
          <w:rFonts w:ascii="Arial" w:cs="Arial" w:eastAsia="Arial" w:hAnsi="Arial"/>
          <w:sz w:val="17"/>
          <w:szCs w:val="17"/>
          <w:color w:val="auto"/>
        </w:rPr>
        <w:t>”) is entered into as May 12, 2017 (the “</w:t>
      </w:r>
      <w:r>
        <w:rPr>
          <w:rFonts w:ascii="Arial" w:cs="Arial" w:eastAsia="Arial" w:hAnsi="Arial"/>
          <w:sz w:val="17"/>
          <w:szCs w:val="17"/>
          <w:u w:val="single" w:color="auto"/>
          <w:color w:val="auto"/>
        </w:rPr>
        <w:t>Amendment #1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Keros Therapeutics,</w:t>
      </w:r>
      <w:r>
        <w:rPr>
          <w:rFonts w:ascii="Arial" w:cs="Arial" w:eastAsia="Arial" w:hAnsi="Arial"/>
          <w:sz w:val="17"/>
          <w:szCs w:val="17"/>
          <w:color w:val="auto"/>
        </w:rPr>
        <w:t xml:space="preserve"> </w:t>
      </w:r>
      <w:r>
        <w:rPr>
          <w:rFonts w:ascii="Arial" w:cs="Arial" w:eastAsia="Arial" w:hAnsi="Arial"/>
          <w:sz w:val="17"/>
          <w:szCs w:val="17"/>
          <w:b w:val="1"/>
          <w:bCs w:val="1"/>
          <w:color w:val="auto"/>
        </w:rPr>
        <w:t>Inc.</w:t>
      </w:r>
      <w:r>
        <w:rPr>
          <w:rFonts w:ascii="Arial" w:cs="Arial" w:eastAsia="Arial" w:hAnsi="Arial"/>
          <w:sz w:val="17"/>
          <w:szCs w:val="17"/>
          <w:color w:val="auto"/>
        </w:rPr>
        <w:t>, a Delaware corporation, having a principal place of business at 3 Lincoln Te1rnce, Lexington, MA 02421 (“</w:t>
      </w:r>
      <w:r>
        <w:rPr>
          <w:rFonts w:ascii="Arial" w:cs="Arial" w:eastAsia="Arial" w:hAnsi="Arial"/>
          <w:sz w:val="17"/>
          <w:szCs w:val="17"/>
          <w:u w:val="single" w:color="auto"/>
          <w:color w:val="auto"/>
        </w:rPr>
        <w:t>Company</w:t>
      </w:r>
      <w:r>
        <w:rPr>
          <w:rFonts w:ascii="Arial" w:cs="Arial" w:eastAsia="Arial" w:hAnsi="Arial"/>
          <w:sz w:val="17"/>
          <w:szCs w:val="17"/>
          <w:color w:val="auto"/>
        </w:rPr>
        <w:t>”), and</w:t>
      </w:r>
      <w:r>
        <w:rPr>
          <w:rFonts w:ascii="Arial" w:cs="Arial" w:eastAsia="Arial" w:hAnsi="Arial"/>
          <w:sz w:val="17"/>
          <w:szCs w:val="17"/>
          <w:b w:val="1"/>
          <w:bCs w:val="1"/>
          <w:color w:val="auto"/>
        </w:rPr>
        <w:t xml:space="preserve"> The Brigham and Women’s Hospital, Inc.</w:t>
      </w:r>
      <w:r>
        <w:rPr>
          <w:rFonts w:ascii="Arial" w:cs="Arial" w:eastAsia="Arial" w:hAnsi="Arial"/>
          <w:sz w:val="17"/>
          <w:szCs w:val="17"/>
          <w:color w:val="auto"/>
        </w:rPr>
        <w:t>, a not-for-profit Massachusetts corporation, located at 75 Francis Street, Boston, MA 02115 (“</w:t>
      </w:r>
      <w:r>
        <w:rPr>
          <w:rFonts w:ascii="Arial" w:cs="Arial" w:eastAsia="Arial" w:hAnsi="Arial"/>
          <w:sz w:val="17"/>
          <w:szCs w:val="17"/>
          <w:u w:val="single" w:color="auto"/>
          <w:color w:val="auto"/>
        </w:rPr>
        <w:t>Hospital</w:t>
      </w:r>
      <w:r>
        <w:rPr>
          <w:rFonts w:ascii="Arial" w:cs="Arial" w:eastAsia="Arial" w:hAnsi="Arial"/>
          <w:sz w:val="17"/>
          <w:szCs w:val="17"/>
          <w:color w:val="auto"/>
        </w:rPr>
        <w:t>”), each referred to</w:t>
      </w:r>
      <w:r>
        <w:rPr>
          <w:rFonts w:ascii="Arial" w:cs="Arial" w:eastAsia="Arial" w:hAnsi="Arial"/>
          <w:sz w:val="17"/>
          <w:szCs w:val="17"/>
          <w:b w:val="1"/>
          <w:bCs w:val="1"/>
          <w:color w:val="auto"/>
        </w:rPr>
        <w:t xml:space="preserve"> </w:t>
      </w:r>
      <w:r>
        <w:rPr>
          <w:rFonts w:ascii="Arial" w:cs="Arial" w:eastAsia="Arial" w:hAnsi="Arial"/>
          <w:sz w:val="17"/>
          <w:szCs w:val="17"/>
          <w:color w:val="auto"/>
        </w:rPr>
        <w:t>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7"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left="2" w:firstLine="426"/>
        <w:spacing w:after="0" w:line="320" w:lineRule="auto"/>
        <w:rPr>
          <w:sz w:val="20"/>
          <w:szCs w:val="20"/>
          <w:color w:val="auto"/>
        </w:rPr>
      </w:pPr>
      <w:r>
        <w:rPr>
          <w:rFonts w:ascii="Arial" w:cs="Arial" w:eastAsia="Arial" w:hAnsi="Arial"/>
          <w:sz w:val="16"/>
          <w:szCs w:val="16"/>
          <w:color w:val="auto"/>
        </w:rPr>
        <w:t>WHEREAS, Company and Hospital are parties to that certain Amended and Restated Exclusive Patent License Agreement, effective as of April 6, 2016, as amended by that Consent and Amendment entered into as of May 12, 2017 (such agreement as so amended, the “</w:t>
      </w:r>
      <w:r>
        <w:rPr>
          <w:rFonts w:ascii="Arial" w:cs="Arial" w:eastAsia="Arial" w:hAnsi="Arial"/>
          <w:sz w:val="16"/>
          <w:szCs w:val="16"/>
          <w:u w:val="single" w:color="auto"/>
          <w:color w:val="auto"/>
        </w:rPr>
        <w:t>Agreement #1</w:t>
      </w:r>
      <w:r>
        <w:rPr>
          <w:rFonts w:ascii="Arial" w:cs="Arial" w:eastAsia="Arial" w:hAnsi="Arial"/>
          <w:sz w:val="16"/>
          <w:szCs w:val="16"/>
          <w:color w:val="auto"/>
        </w:rPr>
        <w:t>”);</w:t>
      </w:r>
    </w:p>
    <w:p>
      <w:pPr>
        <w:spacing w:after="0" w:line="136" w:lineRule="exact"/>
        <w:rPr>
          <w:sz w:val="20"/>
          <w:szCs w:val="20"/>
          <w:color w:val="auto"/>
        </w:rPr>
      </w:pPr>
    </w:p>
    <w:p>
      <w:pPr>
        <w:ind w:left="422"/>
        <w:spacing w:after="0"/>
        <w:rPr>
          <w:sz w:val="20"/>
          <w:szCs w:val="20"/>
          <w:color w:val="auto"/>
        </w:rPr>
      </w:pPr>
      <w:r>
        <w:rPr>
          <w:rFonts w:ascii="Arial" w:cs="Arial" w:eastAsia="Arial" w:hAnsi="Arial"/>
          <w:sz w:val="17"/>
          <w:szCs w:val="17"/>
          <w:color w:val="auto"/>
        </w:rPr>
        <w:t>WHEREAS, in accordance with Section 12.3 of the Agreement, the Parties with to clarify the list of Patent Rights;</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NOW THEREFORE, in consideration of the mutual covenants and agreements contained herein, the Parties agree as follows:</w:t>
      </w:r>
    </w:p>
    <w:p>
      <w:pPr>
        <w:spacing w:after="0" w:line="200" w:lineRule="exact"/>
        <w:rPr>
          <w:sz w:val="20"/>
          <w:szCs w:val="20"/>
          <w:color w:val="auto"/>
        </w:rPr>
      </w:pP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AGREEMENT</w:t>
      </w:r>
    </w:p>
    <w:p>
      <w:pPr>
        <w:spacing w:after="0" w:line="137" w:lineRule="exact"/>
        <w:rPr>
          <w:sz w:val="20"/>
          <w:szCs w:val="20"/>
          <w:color w:val="auto"/>
        </w:rPr>
      </w:pPr>
    </w:p>
    <w:p>
      <w:pPr>
        <w:ind w:left="422" w:hanging="422"/>
        <w:spacing w:after="0"/>
        <w:tabs>
          <w:tab w:leader="none" w:pos="422"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All capitalized terms used, but not defined, in this Amendment shall have the meaning set forth in the Agreement.</w:t>
      </w:r>
    </w:p>
    <w:p>
      <w:pPr>
        <w:spacing w:after="0" w:line="130" w:lineRule="exact"/>
        <w:rPr>
          <w:rFonts w:ascii="Arial" w:cs="Arial" w:eastAsia="Arial" w:hAnsi="Arial"/>
          <w:sz w:val="17"/>
          <w:szCs w:val="17"/>
          <w:b w:val="1"/>
          <w:bCs w:val="1"/>
          <w:color w:val="auto"/>
        </w:rPr>
      </w:pPr>
    </w:p>
    <w:p>
      <w:pPr>
        <w:ind w:left="422" w:hanging="422"/>
        <w:spacing w:after="0"/>
        <w:tabs>
          <w:tab w:leader="none" w:pos="422"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Appendix A to the Agreement is hereby replaced with Appendix A attached to this Amendment.</w:t>
      </w:r>
    </w:p>
    <w:p>
      <w:pPr>
        <w:spacing w:after="0" w:line="130" w:lineRule="exact"/>
        <w:rPr>
          <w:rFonts w:ascii="Arial" w:cs="Arial" w:eastAsia="Arial" w:hAnsi="Arial"/>
          <w:sz w:val="17"/>
          <w:szCs w:val="17"/>
          <w:b w:val="1"/>
          <w:bCs w:val="1"/>
          <w:color w:val="auto"/>
        </w:rPr>
      </w:pPr>
    </w:p>
    <w:p>
      <w:pPr>
        <w:ind w:left="422" w:right="40" w:hanging="422"/>
        <w:spacing w:after="0" w:line="287" w:lineRule="auto"/>
        <w:tabs>
          <w:tab w:leader="none" w:pos="422"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Except as amended by this Amendment, the Agreement shall remain in full force and effect. After the Amendment Effective Date, every reference in the Agreement to the “</w:t>
      </w:r>
      <w:r>
        <w:rPr>
          <w:rFonts w:ascii="Arial" w:cs="Arial" w:eastAsia="Arial" w:hAnsi="Arial"/>
          <w:sz w:val="17"/>
          <w:szCs w:val="17"/>
          <w:u w:val="single" w:color="auto"/>
          <w:color w:val="auto"/>
        </w:rPr>
        <w:t>Agreement #1</w:t>
      </w:r>
      <w:r>
        <w:rPr>
          <w:rFonts w:ascii="Arial" w:cs="Arial" w:eastAsia="Arial" w:hAnsi="Arial"/>
          <w:sz w:val="17"/>
          <w:szCs w:val="17"/>
          <w:color w:val="auto"/>
        </w:rPr>
        <w:t>” shall mean the Agreement as amended by this Amendment.</w:t>
      </w:r>
    </w:p>
    <w:p>
      <w:pPr>
        <w:spacing w:after="0" w:line="67" w:lineRule="exact"/>
        <w:rPr>
          <w:rFonts w:ascii="Arial" w:cs="Arial" w:eastAsia="Arial" w:hAnsi="Arial"/>
          <w:sz w:val="17"/>
          <w:szCs w:val="17"/>
          <w:b w:val="1"/>
          <w:bCs w:val="1"/>
          <w:color w:val="auto"/>
        </w:rPr>
      </w:pPr>
    </w:p>
    <w:p>
      <w:pPr>
        <w:ind w:left="422" w:right="160" w:hanging="422"/>
        <w:spacing w:after="0" w:line="272" w:lineRule="auto"/>
        <w:tabs>
          <w:tab w:leader="none" w:pos="422"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one or more counterparts, each of which shall be deemed an original, but all of which together shall constitute one and the same instrument. Signatures provided by facsimile transmission or in Adobe</w:t>
      </w:r>
      <w:r>
        <w:rPr>
          <w:rFonts w:ascii="Arial" w:cs="Arial" w:eastAsia="Arial" w:hAnsi="Arial"/>
          <w:sz w:val="14"/>
          <w:szCs w:val="14"/>
          <w:color w:val="auto"/>
        </w:rPr>
        <w:t>TM</w:t>
      </w:r>
      <w:r>
        <w:rPr>
          <w:rFonts w:ascii="Arial" w:cs="Arial" w:eastAsia="Arial" w:hAnsi="Arial"/>
          <w:sz w:val="17"/>
          <w:szCs w:val="17"/>
          <w:color w:val="auto"/>
        </w:rPr>
        <w:t xml:space="preserve"> Portable Document Format (PDF) sent by electronic mail shall be deemed to be original signatures.</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[SIGNATURE PAGE FOLLOWS]</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2"/>
          </w:cols>
          <w:pgMar w:left="618" w:top="264" w:right="639" w:bottom="1440" w:gutter="0" w:footer="0" w:header="0"/>
        </w:sectPr>
      </w:pPr>
    </w:p>
    <w:bookmarkStart w:id="335" w:name="page336"/>
    <w:bookmarkEnd w:id="335"/>
    <w:p>
      <w:pPr>
        <w:ind w:right="100" w:firstLine="426"/>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Parties have caused this Amendment to be executed by their duly authorized representatives as of the Amendment Effective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HE</w:t>
            </w:r>
            <w:r>
              <w:rPr>
                <w:rFonts w:ascii="Arial" w:cs="Arial" w:eastAsia="Arial" w:hAnsi="Arial"/>
                <w:sz w:val="17"/>
                <w:szCs w:val="17"/>
                <w:color w:val="auto"/>
              </w:rPr>
              <w:t xml:space="preserve"> B</w:t>
            </w:r>
            <w:r>
              <w:rPr>
                <w:rFonts w:ascii="Arial" w:cs="Arial" w:eastAsia="Arial" w:hAnsi="Arial"/>
                <w:sz w:val="14"/>
                <w:szCs w:val="14"/>
                <w:color w:val="auto"/>
              </w:rPr>
              <w:t>RIGHAM AND</w:t>
            </w:r>
            <w:r>
              <w:rPr>
                <w:rFonts w:ascii="Arial" w:cs="Arial" w:eastAsia="Arial" w:hAnsi="Arial"/>
                <w:sz w:val="17"/>
                <w:szCs w:val="17"/>
                <w:color w:val="auto"/>
              </w:rPr>
              <w:t xml:space="preserve"> W</w:t>
            </w:r>
            <w:r>
              <w:rPr>
                <w:rFonts w:ascii="Arial" w:cs="Arial" w:eastAsia="Arial" w:hAnsi="Arial"/>
                <w:sz w:val="14"/>
                <w:szCs w:val="14"/>
                <w:color w:val="auto"/>
              </w:rPr>
              <w:t>OMEN</w:t>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xml:space="preserve"> H</w:t>
            </w:r>
            <w:r>
              <w:rPr>
                <w:rFonts w:ascii="Arial" w:cs="Arial" w:eastAsia="Arial" w:hAnsi="Arial"/>
                <w:sz w:val="14"/>
                <w:szCs w:val="14"/>
                <w:color w:val="auto"/>
              </w:rPr>
              <w:t>OSPITAL</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tc>
        <w:tc>
          <w:tcPr>
            <w:tcW w:w="5240" w:type="dxa"/>
            <w:vAlign w:val="bottom"/>
            <w:gridSpan w:val="2"/>
          </w:tcPr>
          <w:p>
            <w:pPr>
              <w:ind w:left="200"/>
              <w:spacing w:after="0"/>
              <w:rPr>
                <w:sz w:val="20"/>
                <w:szCs w:val="20"/>
                <w:color w:val="auto"/>
              </w:rPr>
            </w:pPr>
            <w:r>
              <w:rPr>
                <w:rFonts w:ascii="Arial" w:cs="Arial" w:eastAsia="Arial" w:hAnsi="Arial"/>
                <w:sz w:val="17"/>
                <w:szCs w:val="17"/>
                <w:color w:val="auto"/>
              </w:rPr>
              <w:t>K</w:t>
            </w:r>
            <w:r>
              <w:rPr>
                <w:rFonts w:ascii="Arial" w:cs="Arial" w:eastAsia="Arial" w:hAnsi="Arial"/>
                <w:sz w:val="14"/>
                <w:szCs w:val="14"/>
                <w:color w:val="auto"/>
              </w:rPr>
              <w:t>EROS</w:t>
            </w:r>
            <w:r>
              <w:rPr>
                <w:rFonts w:ascii="Arial" w:cs="Arial" w:eastAsia="Arial" w:hAnsi="Arial"/>
                <w:sz w:val="17"/>
                <w:szCs w:val="17"/>
                <w:color w:val="auto"/>
              </w:rPr>
              <w:t xml:space="preserve"> T</w:t>
            </w:r>
            <w:r>
              <w:rPr>
                <w:rFonts w:ascii="Arial" w:cs="Arial" w:eastAsia="Arial" w:hAnsi="Arial"/>
                <w:sz w:val="14"/>
                <w:szCs w:val="14"/>
                <w:color w:val="auto"/>
              </w:rPr>
              <w:t>HERAPEUTICS</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tc>
      </w:tr>
      <w:tr>
        <w:trPr>
          <w:trHeight w:val="418"/>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680" w:type="dxa"/>
            <w:vAlign w:val="bottom"/>
          </w:tcPr>
          <w:p>
            <w:pPr>
              <w:ind w:left="20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Jasbir. S. Seehra</w:t>
            </w:r>
          </w:p>
        </w:tc>
      </w:tr>
      <w:tr>
        <w:trPr>
          <w:trHeight w:val="190"/>
        </w:trPr>
        <w:tc>
          <w:tcPr>
            <w:tcW w:w="48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4940" w:type="dxa"/>
            <w:vAlign w:val="bottom"/>
          </w:tcPr>
          <w:p>
            <w:pPr>
              <w:ind w:left="180"/>
              <w:spacing w:after="0" w:line="189" w:lineRule="exact"/>
              <w:rPr>
                <w:sz w:val="20"/>
                <w:szCs w:val="20"/>
                <w:color w:val="auto"/>
              </w:rPr>
            </w:pPr>
            <w:r>
              <w:rPr>
                <w:rFonts w:ascii="Arial" w:cs="Arial" w:eastAsia="Arial" w:hAnsi="Arial"/>
                <w:sz w:val="17"/>
                <w:szCs w:val="17"/>
                <w:color w:val="auto"/>
              </w:rPr>
              <w:t>Associate Director</w:t>
            </w:r>
          </w:p>
        </w:tc>
        <w:tc>
          <w:tcPr>
            <w:tcW w:w="680" w:type="dxa"/>
            <w:vAlign w:val="bottom"/>
          </w:tcPr>
          <w:p>
            <w:pPr>
              <w:ind w:left="200"/>
              <w:spacing w:after="0" w:line="189" w:lineRule="exact"/>
              <w:rPr>
                <w:sz w:val="20"/>
                <w:szCs w:val="20"/>
                <w:color w:val="auto"/>
              </w:rPr>
            </w:pPr>
            <w:r>
              <w:rPr>
                <w:rFonts w:ascii="Arial" w:cs="Arial" w:eastAsia="Arial" w:hAnsi="Arial"/>
                <w:sz w:val="17"/>
                <w:szCs w:val="17"/>
                <w:color w:val="auto"/>
              </w:rPr>
              <w:t>Title:</w:t>
            </w:r>
          </w:p>
        </w:tc>
        <w:tc>
          <w:tcPr>
            <w:tcW w:w="4560" w:type="dxa"/>
            <w:vAlign w:val="bottom"/>
          </w:tcPr>
          <w:p>
            <w:pPr>
              <w:ind w:left="80"/>
              <w:spacing w:after="0" w:line="189" w:lineRule="exact"/>
              <w:rPr>
                <w:sz w:val="20"/>
                <w:szCs w:val="20"/>
                <w:color w:val="auto"/>
              </w:rPr>
            </w:pPr>
            <w:r>
              <w:rPr>
                <w:rFonts w:ascii="Arial" w:cs="Arial" w:eastAsia="Arial" w:hAnsi="Arial"/>
                <w:sz w:val="17"/>
                <w:szCs w:val="17"/>
                <w:color w:val="auto"/>
              </w:rPr>
              <w:t>CEO</w:t>
            </w: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1"/>
              </w:rPr>
              <w:t>Name:</w:t>
            </w:r>
          </w:p>
        </w:tc>
        <w:tc>
          <w:tcPr>
            <w:tcW w:w="4940" w:type="dxa"/>
            <w:vAlign w:val="bottom"/>
          </w:tcPr>
          <w:p>
            <w:pPr>
              <w:ind w:left="180"/>
              <w:spacing w:after="0"/>
              <w:rPr>
                <w:sz w:val="20"/>
                <w:szCs w:val="20"/>
                <w:color w:val="auto"/>
              </w:rPr>
            </w:pPr>
            <w:r>
              <w:rPr>
                <w:rFonts w:ascii="Arial" w:cs="Arial" w:eastAsia="Arial" w:hAnsi="Arial"/>
                <w:sz w:val="17"/>
                <w:szCs w:val="17"/>
                <w:color w:val="auto"/>
              </w:rPr>
              <w:t>[***]</w:t>
            </w:r>
          </w:p>
        </w:tc>
        <w:tc>
          <w:tcPr>
            <w:tcW w:w="680" w:type="dxa"/>
            <w:vAlign w:val="bottom"/>
          </w:tcPr>
          <w:p>
            <w:pPr>
              <w:ind w:left="200"/>
              <w:spacing w:after="0"/>
              <w:rPr>
                <w:sz w:val="20"/>
                <w:szCs w:val="20"/>
                <w:color w:val="auto"/>
              </w:rPr>
            </w:pPr>
            <w:r>
              <w:rPr>
                <w:rFonts w:ascii="Arial" w:cs="Arial" w:eastAsia="Arial" w:hAnsi="Arial"/>
                <w:sz w:val="17"/>
                <w:szCs w:val="17"/>
                <w:color w:val="auto"/>
                <w:w w:val="91"/>
              </w:rPr>
              <w:t>Name:</w:t>
            </w:r>
          </w:p>
        </w:tc>
        <w:tc>
          <w:tcPr>
            <w:tcW w:w="4560" w:type="dxa"/>
            <w:vAlign w:val="bottom"/>
          </w:tcPr>
          <w:p>
            <w:pPr>
              <w:ind w:left="80"/>
              <w:spacing w:after="0"/>
              <w:rPr>
                <w:sz w:val="20"/>
                <w:szCs w:val="20"/>
                <w:color w:val="auto"/>
              </w:rPr>
            </w:pPr>
            <w:r>
              <w:rPr>
                <w:rFonts w:ascii="Arial" w:cs="Arial" w:eastAsia="Arial" w:hAnsi="Arial"/>
                <w:sz w:val="17"/>
                <w:szCs w:val="17"/>
                <w:color w:val="auto"/>
              </w:rPr>
              <w:t>Jasbir S. Seehra</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the Consent and Amendment</w:t>
      </w:r>
    </w:p>
    <w:p>
      <w:pPr>
        <w:sectPr>
          <w:pgSz w:w="11900" w:h="16838" w:orient="portrait"/>
          <w:cols w:equalWidth="0" w:num="1">
            <w:col w:w="10660"/>
          </w:cols>
          <w:pgMar w:left="620" w:top="270" w:right="619" w:bottom="1440" w:gutter="0" w:footer="0" w:header="0"/>
        </w:sectPr>
      </w:pPr>
    </w:p>
    <w:bookmarkStart w:id="336" w:name="page337"/>
    <w:bookmarkEnd w:id="336"/>
    <w:p>
      <w:pPr>
        <w:jc w:val="center"/>
        <w:ind w:right="-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A</w:t>
      </w:r>
    </w:p>
    <w:p>
      <w:pPr>
        <w:spacing w:after="0" w:line="222" w:lineRule="exact"/>
        <w:rPr>
          <w:sz w:val="20"/>
          <w:szCs w:val="20"/>
          <w:color w:val="auto"/>
        </w:rPr>
      </w:pPr>
    </w:p>
    <w:p>
      <w:pPr>
        <w:jc w:val="right"/>
        <w:ind w:right="3139"/>
        <w:spacing w:after="0"/>
        <w:rPr>
          <w:sz w:val="20"/>
          <w:szCs w:val="20"/>
          <w:color w:val="auto"/>
        </w:rPr>
      </w:pPr>
      <w:r>
        <w:rPr>
          <w:rFonts w:ascii="Arial" w:cs="Arial" w:eastAsia="Arial" w:hAnsi="Arial"/>
          <w:sz w:val="17"/>
          <w:szCs w:val="17"/>
          <w:color w:val="auto"/>
        </w:rPr>
        <w:t>DESCRIPTION OF PATENT RIGHTS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839"/>
          </w:cols>
          <w:pgMar w:left="620" w:top="271" w:right="1440" w:bottom="1440" w:gutter="0" w:footer="0" w:header="0"/>
        </w:sectPr>
      </w:pPr>
    </w:p>
    <w:bookmarkStart w:id="337" w:name="page338"/>
    <w:bookmarkEnd w:id="337"/>
    <w:p>
      <w:pPr>
        <w:ind w:right="520"/>
        <w:spacing w:after="0" w:line="27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AMENDMENT #2</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MGH Agreement No: [***]</w:t>
      </w:r>
    </w:p>
    <w:p>
      <w:pPr>
        <w:spacing w:after="0" w:line="20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Amendment (“</w:t>
      </w:r>
      <w:r>
        <w:rPr>
          <w:rFonts w:ascii="Arial" w:cs="Arial" w:eastAsia="Arial" w:hAnsi="Arial"/>
          <w:sz w:val="17"/>
          <w:szCs w:val="17"/>
          <w:u w:val="single" w:color="auto"/>
          <w:color w:val="auto"/>
        </w:rPr>
        <w:t>Amendment #2</w:t>
      </w:r>
      <w:r>
        <w:rPr>
          <w:rFonts w:ascii="Arial" w:cs="Arial" w:eastAsia="Arial" w:hAnsi="Arial"/>
          <w:sz w:val="17"/>
          <w:szCs w:val="17"/>
          <w:color w:val="auto"/>
        </w:rPr>
        <w:t>”) is entered into as of February 23, 2018 (the “</w:t>
      </w:r>
      <w:r>
        <w:rPr>
          <w:rFonts w:ascii="Arial" w:cs="Arial" w:eastAsia="Arial" w:hAnsi="Arial"/>
          <w:sz w:val="17"/>
          <w:szCs w:val="17"/>
          <w:u w:val="single" w:color="auto"/>
          <w:color w:val="auto"/>
        </w:rPr>
        <w:t>Amendment #2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Keros</w:t>
      </w:r>
      <w:r>
        <w:rPr>
          <w:rFonts w:ascii="Arial" w:cs="Arial" w:eastAsia="Arial" w:hAnsi="Arial"/>
          <w:sz w:val="17"/>
          <w:szCs w:val="17"/>
          <w:color w:val="auto"/>
        </w:rPr>
        <w:t xml:space="preserve"> </w:t>
      </w:r>
      <w:r>
        <w:rPr>
          <w:rFonts w:ascii="Arial" w:cs="Arial" w:eastAsia="Arial" w:hAnsi="Arial"/>
          <w:sz w:val="17"/>
          <w:szCs w:val="17"/>
          <w:b w:val="1"/>
          <w:bCs w:val="1"/>
          <w:color w:val="auto"/>
        </w:rPr>
        <w:t>Therapeutics, Inc.</w:t>
      </w:r>
      <w:r>
        <w:rPr>
          <w:rFonts w:ascii="Arial" w:cs="Arial" w:eastAsia="Arial" w:hAnsi="Arial"/>
          <w:sz w:val="17"/>
          <w:szCs w:val="17"/>
          <w:color w:val="auto"/>
        </w:rPr>
        <w:t>, a Delaware corporation, having a principal place of business at 99 Hayden Avenue, Suite 120, Building E,. Lexington, MA 02421</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The General Hospital Corporation, d/b/a Massachusetts General Hospital</w:t>
      </w:r>
      <w:r>
        <w:rPr>
          <w:rFonts w:ascii="Arial" w:cs="Arial" w:eastAsia="Arial" w:hAnsi="Arial"/>
          <w:sz w:val="17"/>
          <w:szCs w:val="17"/>
          <w:color w:val="auto"/>
        </w:rPr>
        <w:t>, a not-for-profit Massachusetts corporation, having a principal place of business at 55 Fruit St., Boston, MA 02114 (“</w:t>
      </w:r>
      <w:r>
        <w:rPr>
          <w:rFonts w:ascii="Arial" w:cs="Arial" w:eastAsia="Arial" w:hAnsi="Arial"/>
          <w:sz w:val="17"/>
          <w:szCs w:val="17"/>
          <w:u w:val="single" w:color="auto"/>
          <w:color w:val="auto"/>
        </w:rPr>
        <w:t>Hospital</w:t>
      </w:r>
      <w:r>
        <w:rPr>
          <w:rFonts w:ascii="Arial" w:cs="Arial" w:eastAsia="Arial" w:hAnsi="Arial"/>
          <w:sz w:val="17"/>
          <w:szCs w:val="17"/>
          <w:color w:val="auto"/>
        </w:rPr>
        <w:t>”), each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WHEREAS, Company and Hospital are Parties to that certain Amended and Restated Exclusive Patent License Agreement, .effective as of April 6, 2016, as amended by that Consent and Amendment (Amendment #1) entered into as of May 12, 2017 (such agreement as so amended,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WHEREAS, in accordance with Section 12.3 of the Agreement, the Parties wish to clarify the list of Patent Rights;</w:t>
      </w:r>
    </w:p>
    <w:p>
      <w:pPr>
        <w:spacing w:after="0" w:line="22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WHEREAS, in accordance with Section 6.3 of the Agreement, Company elected to surrender a subset of patent applications or patents (“Abandoned Patent Rights” in Appendix B) and such patent applications or patents shall no longer be included as part of the Patent Rights under Amendment #2 effective as of February 23, 2018, provided, that, Company shall continue to have the obligation to reimburse Hospital for patent expenses incurred in connection with Abandoned Patent Rights prior to the expiration of the sixty (60) day notice, effective up to April 24, 2018.</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and agreements contained herein, the Parties agree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31" w:lineRule="exact"/>
        <w:rPr>
          <w:sz w:val="20"/>
          <w:szCs w:val="20"/>
          <w:color w:val="auto"/>
        </w:rPr>
      </w:pPr>
    </w:p>
    <w:p>
      <w:pPr>
        <w:ind w:left="940" w:hanging="524"/>
        <w:spacing w:after="0"/>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All capitalized terms used, but not defined, in this Amendment #2 shall have the meaning set forth in the Agreement.</w:t>
      </w:r>
    </w:p>
    <w:p>
      <w:pPr>
        <w:spacing w:after="0" w:line="130" w:lineRule="exact"/>
        <w:rPr>
          <w:rFonts w:ascii="Arial" w:cs="Arial" w:eastAsia="Arial" w:hAnsi="Arial"/>
          <w:sz w:val="17"/>
          <w:szCs w:val="17"/>
          <w:color w:val="auto"/>
        </w:rPr>
      </w:pPr>
    </w:p>
    <w:p>
      <w:pPr>
        <w:ind w:left="940" w:hanging="524"/>
        <w:spacing w:after="0"/>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Appendix A to the Agreement is hereby replaced with Appendix A attached to this Amendment #2.</w:t>
      </w:r>
    </w:p>
    <w:p>
      <w:pPr>
        <w:spacing w:after="0" w:line="130" w:lineRule="exact"/>
        <w:rPr>
          <w:rFonts w:ascii="Arial" w:cs="Arial" w:eastAsia="Arial" w:hAnsi="Arial"/>
          <w:sz w:val="17"/>
          <w:szCs w:val="17"/>
          <w:color w:val="auto"/>
        </w:rPr>
      </w:pPr>
    </w:p>
    <w:p>
      <w:pPr>
        <w:ind w:left="940" w:right="120" w:hanging="524"/>
        <w:spacing w:after="0" w:line="287" w:lineRule="auto"/>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Except as amended by this Amendment #2, the Agreement shall remain in full force and effect. After the Amendment #2 Effective date, every reference in the Agreement shall mean the Agreement as amended by this Amendment.</w:t>
      </w:r>
    </w:p>
    <w:p>
      <w:pPr>
        <w:spacing w:after="0" w:line="67" w:lineRule="exact"/>
        <w:rPr>
          <w:rFonts w:ascii="Arial" w:cs="Arial" w:eastAsia="Arial" w:hAnsi="Arial"/>
          <w:sz w:val="17"/>
          <w:szCs w:val="17"/>
          <w:color w:val="auto"/>
        </w:rPr>
      </w:pPr>
    </w:p>
    <w:p>
      <w:pPr>
        <w:jc w:val="both"/>
        <w:ind w:left="940" w:hanging="524"/>
        <w:spacing w:after="0" w:line="272" w:lineRule="auto"/>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This Amendment may be executed in one or more counterparts, each of which shall be deemed an original, but all of which together shall constitute one and the same instrument. Signatures provided by facsimile transmission or in Adobe</w:t>
      </w:r>
      <w:r>
        <w:rPr>
          <w:rFonts w:ascii="Arial" w:cs="Arial" w:eastAsia="Arial" w:hAnsi="Arial"/>
          <w:sz w:val="14"/>
          <w:szCs w:val="14"/>
          <w:color w:val="auto"/>
        </w:rPr>
        <w:t>TM</w:t>
      </w:r>
      <w:r>
        <w:rPr>
          <w:rFonts w:ascii="Arial" w:cs="Arial" w:eastAsia="Arial" w:hAnsi="Arial"/>
          <w:sz w:val="17"/>
          <w:szCs w:val="17"/>
          <w:color w:val="auto"/>
        </w:rPr>
        <w:t xml:space="preserve"> Portable Document Format (PDF) sent by electronic mail shall be deemed to be original signatures.</w:t>
      </w:r>
    </w:p>
    <w:p>
      <w:pPr>
        <w:spacing w:after="0" w:line="79" w:lineRule="exact"/>
        <w:rPr>
          <w:rFonts w:ascii="Arial" w:cs="Arial" w:eastAsia="Arial" w:hAnsi="Arial"/>
          <w:sz w:val="17"/>
          <w:szCs w:val="17"/>
          <w:color w:val="auto"/>
        </w:rPr>
      </w:pPr>
    </w:p>
    <w:p>
      <w:pPr>
        <w:ind w:left="940" w:right="140" w:hanging="524"/>
        <w:spacing w:after="0" w:line="287" w:lineRule="auto"/>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WITNESS WHEREOF, the Parties have caused this Amendment #2 to be executed by their duly authorized representatives as of the Amendment #2 Effective Date.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20"/>
          </w:cols>
          <w:pgMar w:left="620" w:top="264" w:right="75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21"/>
        </w:trPr>
        <w:tc>
          <w:tcPr>
            <w:tcW w:w="4280" w:type="dxa"/>
            <w:vAlign w:val="bottom"/>
            <w:gridSpan w:val="2"/>
          </w:tcPr>
          <w:p>
            <w:pPr>
              <w:spacing w:after="0"/>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HE</w:t>
            </w:r>
            <w:r>
              <w:rPr>
                <w:rFonts w:ascii="Arial" w:cs="Arial" w:eastAsia="Arial" w:hAnsi="Arial"/>
                <w:sz w:val="17"/>
                <w:szCs w:val="17"/>
                <w:color w:val="auto"/>
              </w:rPr>
              <w:t xml:space="preserve"> G</w:t>
            </w:r>
            <w:r>
              <w:rPr>
                <w:rFonts w:ascii="Arial" w:cs="Arial" w:eastAsia="Arial" w:hAnsi="Arial"/>
                <w:sz w:val="14"/>
                <w:szCs w:val="14"/>
                <w:color w:val="auto"/>
              </w:rPr>
              <w:t>ENERAL</w:t>
            </w:r>
            <w:r>
              <w:rPr>
                <w:rFonts w:ascii="Arial" w:cs="Arial" w:eastAsia="Arial" w:hAnsi="Arial"/>
                <w:sz w:val="17"/>
                <w:szCs w:val="17"/>
                <w:color w:val="auto"/>
              </w:rPr>
              <w:t xml:space="preserve"> H</w:t>
            </w:r>
            <w:r>
              <w:rPr>
                <w:rFonts w:ascii="Arial" w:cs="Arial" w:eastAsia="Arial" w:hAnsi="Arial"/>
                <w:sz w:val="14"/>
                <w:szCs w:val="14"/>
                <w:color w:val="auto"/>
              </w:rPr>
              <w:t>OSPITAL</w:t>
            </w:r>
            <w:r>
              <w:rPr>
                <w:rFonts w:ascii="Arial" w:cs="Arial" w:eastAsia="Arial" w:hAnsi="Arial"/>
                <w:sz w:val="17"/>
                <w:szCs w:val="17"/>
                <w:color w:val="auto"/>
              </w:rPr>
              <w:t xml:space="preserve"> C</w:t>
            </w:r>
            <w:r>
              <w:rPr>
                <w:rFonts w:ascii="Arial" w:cs="Arial" w:eastAsia="Arial" w:hAnsi="Arial"/>
                <w:sz w:val="14"/>
                <w:szCs w:val="14"/>
                <w:color w:val="auto"/>
              </w:rPr>
              <w:t>ORPORATION</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color w:val="auto"/>
              </w:rPr>
              <w:t>K</w:t>
            </w:r>
            <w:r>
              <w:rPr>
                <w:rFonts w:ascii="Arial" w:cs="Arial" w:eastAsia="Arial" w:hAnsi="Arial"/>
                <w:sz w:val="14"/>
                <w:szCs w:val="14"/>
                <w:color w:val="auto"/>
              </w:rPr>
              <w:t>EROS</w:t>
            </w:r>
            <w:r>
              <w:rPr>
                <w:rFonts w:ascii="Arial" w:cs="Arial" w:eastAsia="Arial" w:hAnsi="Arial"/>
                <w:sz w:val="17"/>
                <w:szCs w:val="17"/>
                <w:color w:val="auto"/>
              </w:rPr>
              <w:t xml:space="preserve"> T</w:t>
            </w:r>
            <w:r>
              <w:rPr>
                <w:rFonts w:ascii="Arial" w:cs="Arial" w:eastAsia="Arial" w:hAnsi="Arial"/>
                <w:sz w:val="14"/>
                <w:szCs w:val="14"/>
                <w:color w:val="auto"/>
              </w:rPr>
              <w:t>HERAPEUTICS</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tc>
      </w:tr>
      <w:tr>
        <w:trPr>
          <w:trHeight w:val="418"/>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w:t>
            </w:r>
          </w:p>
        </w:tc>
        <w:tc>
          <w:tcPr>
            <w:tcW w:w="1040" w:type="dxa"/>
            <w:vAlign w:val="bottom"/>
            <w:tcBorders>
              <w:bottom w:val="single" w:sz="8" w:color="auto"/>
            </w:tcBorders>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7"/>
                <w:szCs w:val="17"/>
                <w:color w:val="auto"/>
              </w:rPr>
              <w:t>By:</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Jasbir. S. Seehra</w:t>
            </w:r>
          </w:p>
        </w:tc>
      </w:tr>
      <w:tr>
        <w:trPr>
          <w:trHeight w:val="190"/>
        </w:trPr>
        <w:tc>
          <w:tcPr>
            <w:tcW w:w="480" w:type="dxa"/>
            <w:vAlign w:val="bottom"/>
          </w:tcPr>
          <w:p>
            <w:pPr>
              <w:spacing w:after="0" w:line="189" w:lineRule="exact"/>
              <w:rPr>
                <w:sz w:val="20"/>
                <w:szCs w:val="20"/>
                <w:color w:val="auto"/>
              </w:rPr>
            </w:pPr>
            <w:r>
              <w:rPr>
                <w:rFonts w:ascii="Arial" w:cs="Arial" w:eastAsia="Arial" w:hAnsi="Arial"/>
                <w:sz w:val="17"/>
                <w:szCs w:val="17"/>
                <w:color w:val="auto"/>
                <w:w w:val="91"/>
              </w:rPr>
              <w:t>Name:</w:t>
            </w:r>
          </w:p>
        </w:tc>
        <w:tc>
          <w:tcPr>
            <w:tcW w:w="3800" w:type="dxa"/>
            <w:vAlign w:val="bottom"/>
          </w:tcPr>
          <w:p>
            <w:pPr>
              <w:ind w:left="80"/>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c>
          <w:tcPr>
            <w:tcW w:w="580" w:type="dxa"/>
            <w:vAlign w:val="bottom"/>
          </w:tcPr>
          <w:p>
            <w:pPr>
              <w:ind w:left="100"/>
              <w:spacing w:after="0" w:line="189" w:lineRule="exact"/>
              <w:rPr>
                <w:sz w:val="20"/>
                <w:szCs w:val="20"/>
                <w:color w:val="auto"/>
              </w:rPr>
            </w:pPr>
            <w:r>
              <w:rPr>
                <w:rFonts w:ascii="Arial" w:cs="Arial" w:eastAsia="Arial" w:hAnsi="Arial"/>
                <w:sz w:val="17"/>
                <w:szCs w:val="17"/>
                <w:color w:val="auto"/>
                <w:w w:val="91"/>
              </w:rPr>
              <w:t>Name:</w:t>
            </w:r>
          </w:p>
        </w:tc>
        <w:tc>
          <w:tcPr>
            <w:tcW w:w="4760" w:type="dxa"/>
            <w:vAlign w:val="bottom"/>
          </w:tcPr>
          <w:p>
            <w:pPr>
              <w:ind w:left="80"/>
              <w:spacing w:after="0" w:line="189" w:lineRule="exact"/>
              <w:rPr>
                <w:sz w:val="20"/>
                <w:szCs w:val="20"/>
                <w:color w:val="auto"/>
              </w:rPr>
            </w:pPr>
            <w:r>
              <w:rPr>
                <w:rFonts w:ascii="Arial" w:cs="Arial" w:eastAsia="Arial" w:hAnsi="Arial"/>
                <w:sz w:val="17"/>
                <w:szCs w:val="17"/>
                <w:color w:val="auto"/>
              </w:rPr>
              <w:t>Jasbir S. Seehra, Ph.D.</w:t>
            </w:r>
          </w:p>
        </w:tc>
      </w:tr>
      <w:tr>
        <w:trPr>
          <w:trHeight w:val="209"/>
        </w:trPr>
        <w:tc>
          <w:tcPr>
            <w:tcW w:w="480" w:type="dxa"/>
            <w:vAlign w:val="bottom"/>
          </w:tcPr>
          <w:p>
            <w:pPr>
              <w:spacing w:after="0"/>
              <w:rPr>
                <w:sz w:val="20"/>
                <w:szCs w:val="20"/>
                <w:color w:val="auto"/>
              </w:rPr>
            </w:pPr>
            <w:r>
              <w:rPr>
                <w:rFonts w:ascii="Arial" w:cs="Arial" w:eastAsia="Arial" w:hAnsi="Arial"/>
                <w:sz w:val="17"/>
                <w:szCs w:val="17"/>
                <w:color w:val="auto"/>
              </w:rPr>
              <w:t>Title:</w:t>
            </w:r>
          </w:p>
        </w:tc>
        <w:tc>
          <w:tcPr>
            <w:tcW w:w="3800" w:type="dxa"/>
            <w:vAlign w:val="bottom"/>
          </w:tcPr>
          <w:p>
            <w:pPr>
              <w:ind w:left="80"/>
              <w:spacing w:after="0"/>
              <w:rPr>
                <w:sz w:val="20"/>
                <w:szCs w:val="20"/>
                <w:color w:val="auto"/>
              </w:rPr>
            </w:pPr>
            <w:r>
              <w:rPr>
                <w:rFonts w:ascii="Arial" w:cs="Arial" w:eastAsia="Arial" w:hAnsi="Arial"/>
                <w:sz w:val="17"/>
                <w:szCs w:val="17"/>
                <w:color w:val="auto"/>
              </w:rPr>
              <w:t>Director</w:t>
            </w:r>
          </w:p>
        </w:tc>
        <w:tc>
          <w:tcPr>
            <w:tcW w:w="10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7"/>
                <w:szCs w:val="17"/>
                <w:color w:val="auto"/>
              </w:rPr>
              <w:t>Title:</w:t>
            </w:r>
          </w:p>
        </w:tc>
        <w:tc>
          <w:tcPr>
            <w:tcW w:w="4760" w:type="dxa"/>
            <w:vAlign w:val="bottom"/>
          </w:tcPr>
          <w:p>
            <w:pPr>
              <w:ind w:left="80"/>
              <w:spacing w:after="0"/>
              <w:rPr>
                <w:sz w:val="20"/>
                <w:szCs w:val="20"/>
                <w:color w:val="auto"/>
              </w:rPr>
            </w:pPr>
            <w:r>
              <w:rPr>
                <w:rFonts w:ascii="Arial" w:cs="Arial" w:eastAsia="Arial" w:hAnsi="Arial"/>
                <w:sz w:val="17"/>
                <w:szCs w:val="17"/>
                <w:color w:val="auto"/>
              </w:rPr>
              <w:t>President and CEO</w:t>
            </w: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800" w:type="dxa"/>
            <w:vAlign w:val="bottom"/>
          </w:tcPr>
          <w:p>
            <w:pPr>
              <w:ind w:left="80"/>
              <w:spacing w:after="0"/>
              <w:rPr>
                <w:sz w:val="20"/>
                <w:szCs w:val="20"/>
                <w:color w:val="auto"/>
              </w:rPr>
            </w:pPr>
            <w:r>
              <w:rPr>
                <w:rFonts w:ascii="Arial" w:cs="Arial" w:eastAsia="Arial" w:hAnsi="Arial"/>
                <w:sz w:val="17"/>
                <w:szCs w:val="17"/>
                <w:color w:val="auto"/>
              </w:rPr>
              <w:t>June 13, 2018</w:t>
            </w:r>
          </w:p>
        </w:tc>
        <w:tc>
          <w:tcPr>
            <w:tcW w:w="104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7"/>
                <w:szCs w:val="17"/>
                <w:color w:val="auto"/>
              </w:rPr>
              <w:t>Date:</w:t>
            </w:r>
          </w:p>
        </w:tc>
        <w:tc>
          <w:tcPr>
            <w:tcW w:w="4760" w:type="dxa"/>
            <w:vAlign w:val="bottom"/>
          </w:tcPr>
          <w:p>
            <w:pPr>
              <w:ind w:left="80"/>
              <w:spacing w:after="0"/>
              <w:rPr>
                <w:sz w:val="20"/>
                <w:szCs w:val="20"/>
                <w:color w:val="auto"/>
              </w:rPr>
            </w:pPr>
            <w:r>
              <w:rPr>
                <w:rFonts w:ascii="Arial" w:cs="Arial" w:eastAsia="Arial" w:hAnsi="Arial"/>
                <w:sz w:val="17"/>
                <w:szCs w:val="17"/>
                <w:color w:val="auto"/>
              </w:rPr>
              <w:t>June 6, 2018</w:t>
            </w:r>
          </w:p>
        </w:tc>
      </w:tr>
      <w:tr>
        <w:trPr>
          <w:trHeight w:val="352"/>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gridSpan w:val="2"/>
          </w:tcPr>
          <w:p>
            <w:pPr>
              <w:jc w:val="right"/>
              <w:ind w:right="453"/>
              <w:spacing w:after="0"/>
              <w:rPr>
                <w:sz w:val="20"/>
                <w:szCs w:val="20"/>
                <w:color w:val="auto"/>
              </w:rPr>
            </w:pPr>
            <w:r>
              <w:rPr>
                <w:rFonts w:ascii="Arial" w:cs="Arial" w:eastAsia="Arial" w:hAnsi="Arial"/>
                <w:sz w:val="17"/>
                <w:szCs w:val="17"/>
                <w:color w:val="auto"/>
              </w:rPr>
              <w:t>2</w:t>
            </w:r>
          </w:p>
        </w:tc>
        <w:tc>
          <w:tcPr>
            <w:tcW w:w="4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620" w:top="270" w:right="61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339" w:name="page340"/>
    <w:bookmarkEnd w:id="339"/>
    <w:p>
      <w:pPr>
        <w:jc w:val="center"/>
        <w:ind w:right="-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Appendix A</w:t>
      </w:r>
    </w:p>
    <w:p>
      <w:pPr>
        <w:spacing w:after="0" w:line="32" w:lineRule="exact"/>
        <w:rPr>
          <w:sz w:val="20"/>
          <w:szCs w:val="20"/>
          <w:color w:val="auto"/>
        </w:rPr>
      </w:pPr>
    </w:p>
    <w:p>
      <w:pPr>
        <w:jc w:val="center"/>
        <w:ind w:right="-820"/>
        <w:spacing w:after="0"/>
        <w:rPr>
          <w:sz w:val="20"/>
          <w:szCs w:val="20"/>
          <w:color w:val="auto"/>
        </w:rPr>
      </w:pPr>
      <w:r>
        <w:rPr>
          <w:rFonts w:ascii="Arial" w:cs="Arial" w:eastAsia="Arial" w:hAnsi="Arial"/>
          <w:sz w:val="15"/>
          <w:szCs w:val="15"/>
          <w:b w:val="1"/>
          <w:bCs w:val="1"/>
          <w:color w:val="auto"/>
        </w:rPr>
        <w:t>Description of Patent Rights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839"/>
          </w:cols>
          <w:pgMar w:left="620" w:top="264" w:right="1440" w:bottom="1440" w:gutter="0" w:footer="0" w:header="0"/>
        </w:sectPr>
      </w:pPr>
    </w:p>
    <w:bookmarkStart w:id="340" w:name="page341"/>
    <w:bookmarkEnd w:id="340"/>
    <w:p>
      <w:pPr>
        <w:jc w:val="center"/>
        <w:ind w:right="-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 A (Continued)</w:t>
      </w:r>
    </w:p>
    <w:p>
      <w:pPr>
        <w:spacing w:after="0" w:line="32" w:lineRule="exact"/>
        <w:rPr>
          <w:sz w:val="20"/>
          <w:szCs w:val="20"/>
          <w:color w:val="auto"/>
        </w:rPr>
      </w:pPr>
    </w:p>
    <w:p>
      <w:pPr>
        <w:jc w:val="center"/>
        <w:ind w:right="-820"/>
        <w:spacing w:after="0"/>
        <w:rPr>
          <w:sz w:val="20"/>
          <w:szCs w:val="20"/>
          <w:color w:val="auto"/>
        </w:rPr>
      </w:pPr>
      <w:r>
        <w:rPr>
          <w:rFonts w:ascii="Arial" w:cs="Arial" w:eastAsia="Arial" w:hAnsi="Arial"/>
          <w:sz w:val="15"/>
          <w:szCs w:val="15"/>
          <w:b w:val="1"/>
          <w:bCs w:val="1"/>
          <w:color w:val="auto"/>
        </w:rPr>
        <w:t>Description of Patent Rights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39"/>
          </w:cols>
          <w:pgMar w:left="620" w:top="264" w:right="1440" w:bottom="1440" w:gutter="0" w:footer="0" w:header="0"/>
        </w:sectPr>
      </w:pPr>
    </w:p>
    <w:bookmarkStart w:id="341" w:name="page342"/>
    <w:bookmarkEnd w:id="341"/>
    <w:p>
      <w:pPr>
        <w:jc w:val="center"/>
        <w:ind w:right="-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Appendix B</w:t>
      </w:r>
    </w:p>
    <w:p>
      <w:pPr>
        <w:spacing w:after="0" w:line="32" w:lineRule="exact"/>
        <w:rPr>
          <w:sz w:val="20"/>
          <w:szCs w:val="20"/>
          <w:color w:val="auto"/>
        </w:rPr>
      </w:pPr>
    </w:p>
    <w:p>
      <w:pPr>
        <w:jc w:val="center"/>
        <w:ind w:right="-800"/>
        <w:spacing w:after="0"/>
        <w:rPr>
          <w:sz w:val="20"/>
          <w:szCs w:val="20"/>
          <w:color w:val="auto"/>
        </w:rPr>
      </w:pPr>
      <w:r>
        <w:rPr>
          <w:rFonts w:ascii="Arial" w:cs="Arial" w:eastAsia="Arial" w:hAnsi="Arial"/>
          <w:sz w:val="15"/>
          <w:szCs w:val="15"/>
          <w:b w:val="1"/>
          <w:bCs w:val="1"/>
          <w:color w:val="auto"/>
        </w:rPr>
        <w:t>Description of Abandoned Patent Rights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39"/>
          </w:cols>
          <w:pgMar w:left="620" w:top="264" w:right="1440" w:bottom="1440" w:gutter="0" w:footer="0" w:header="0"/>
        </w:sectPr>
      </w:pPr>
    </w:p>
    <w:bookmarkStart w:id="342" w:name="page343"/>
    <w:bookmarkEnd w:id="342"/>
    <w:p>
      <w:pPr>
        <w:ind w:left="9680"/>
        <w:spacing w:after="0"/>
        <w:rPr>
          <w:sz w:val="20"/>
          <w:szCs w:val="20"/>
          <w:color w:val="auto"/>
        </w:rPr>
      </w:pPr>
      <w:r>
        <w:rPr>
          <w:rFonts w:ascii="Arial" w:cs="Arial" w:eastAsia="Arial" w:hAnsi="Arial"/>
          <w:sz w:val="16"/>
          <w:szCs w:val="16"/>
          <w:b w:val="1"/>
          <w:bCs w:val="1"/>
          <w:color w:val="auto"/>
        </w:rPr>
        <w:t>Exhibit 10.11</w:t>
      </w:r>
    </w:p>
    <w:p>
      <w:pPr>
        <w:spacing w:after="0" w:line="234"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ESEARCH</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OLLABORATION AND</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XCLUSIVE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ICENSE</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GREEMENT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ETWEEN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K</w:t>
      </w:r>
      <w:r>
        <w:rPr>
          <w:rFonts w:ascii="Arial" w:cs="Arial" w:eastAsia="Arial" w:hAnsi="Arial"/>
          <w:sz w:val="14"/>
          <w:szCs w:val="14"/>
          <w:b w:val="1"/>
          <w:bCs w:val="1"/>
          <w:color w:val="auto"/>
        </w:rPr>
        <w:t>EROS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OVO</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ORDISK</w:t>
      </w:r>
      <w:r>
        <w:rPr>
          <w:rFonts w:ascii="Arial" w:cs="Arial" w:eastAsia="Arial" w:hAnsi="Arial"/>
          <w:sz w:val="17"/>
          <w:szCs w:val="17"/>
          <w:b w:val="1"/>
          <w:bCs w:val="1"/>
          <w:color w:val="auto"/>
        </w:rPr>
        <w:t xml:space="preserve"> A/S</w:t>
      </w:r>
    </w:p>
    <w:p>
      <w:pPr>
        <w:sectPr>
          <w:pgSz w:w="11900" w:h="16838" w:orient="portrait"/>
          <w:cols w:equalWidth="0" w:num="1">
            <w:col w:w="10660"/>
          </w:cols>
          <w:pgMar w:left="620" w:top="120" w:right="619" w:bottom="1440" w:gutter="0" w:footer="0" w:header="0"/>
        </w:sectPr>
      </w:pPr>
    </w:p>
    <w:bookmarkStart w:id="343" w:name="page344"/>
    <w:bookmarkEnd w:id="34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12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6"/>
          <w:szCs w:val="16"/>
          <w:color w:val="auto"/>
        </w:rPr>
        <w:t>Existing Ligand Traps</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5"/>
          <w:szCs w:val="15"/>
          <w:color w:val="auto"/>
        </w:rPr>
        <w:t>Keros Background Patents</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Research Plan</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5"/>
          <w:szCs w:val="15"/>
          <w:color w:val="auto"/>
        </w:rPr>
        <w:t>New Ligand Traps Information Package</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E</w:t>
      </w:r>
      <w:r>
        <w:rPr>
          <w:sz w:val="20"/>
          <w:szCs w:val="20"/>
          <w:color w:val="auto"/>
        </w:rPr>
        <w:tab/>
      </w:r>
      <w:r>
        <w:rPr>
          <w:rFonts w:ascii="Arial" w:cs="Arial" w:eastAsia="Arial" w:hAnsi="Arial"/>
          <w:sz w:val="16"/>
          <w:szCs w:val="16"/>
          <w:color w:val="auto"/>
        </w:rPr>
        <w:t>Novo Nordisk Policy for Use of Animals</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F</w:t>
      </w:r>
      <w:r>
        <w:rPr>
          <w:sz w:val="20"/>
          <w:szCs w:val="20"/>
          <w:color w:val="auto"/>
        </w:rPr>
        <w:tab/>
      </w:r>
      <w:r>
        <w:rPr>
          <w:rFonts w:ascii="Arial" w:cs="Arial" w:eastAsia="Arial" w:hAnsi="Arial"/>
          <w:sz w:val="16"/>
          <w:szCs w:val="16"/>
          <w:color w:val="auto"/>
        </w:rPr>
        <w:t>Novo Nordisk A/S’ Invoicing Instructions</w:t>
      </w:r>
    </w:p>
    <w:p>
      <w:pPr>
        <w:sectPr>
          <w:pgSz w:w="11900" w:h="16838" w:orient="portrait"/>
          <w:cols w:equalWidth="0" w:num="1">
            <w:col w:w="10660"/>
          </w:cols>
          <w:pgMar w:left="620" w:top="264" w:right="6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RESEARCH COLLABORATION AND EXCLUSIVE LICENSE AGREEMENT</w:t>
      </w:r>
    </w:p>
    <w:p>
      <w:pPr>
        <w:spacing w:after="0" w:line="222" w:lineRule="exact"/>
        <w:rPr>
          <w:sz w:val="20"/>
          <w:szCs w:val="20"/>
          <w:color w:val="auto"/>
        </w:rPr>
      </w:pPr>
    </w:p>
    <w:p>
      <w:pPr>
        <w:ind w:right="120" w:firstLine="426"/>
        <w:spacing w:after="0" w:line="266" w:lineRule="auto"/>
        <w:rPr>
          <w:sz w:val="20"/>
          <w:szCs w:val="20"/>
          <w:color w:val="auto"/>
        </w:rPr>
      </w:pPr>
      <w:r>
        <w:rPr>
          <w:rFonts w:ascii="Arial" w:cs="Arial" w:eastAsia="Arial" w:hAnsi="Arial"/>
          <w:sz w:val="17"/>
          <w:szCs w:val="17"/>
          <w:b w:val="1"/>
          <w:bCs w:val="1"/>
          <w:color w:val="auto"/>
        </w:rPr>
        <w:t xml:space="preserve">This Research Collaboration and Exclusive License Agreement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effective as of December 14, 2017</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Keros Therapeutics, Inc., a Delaware corporation, having a principal place of business at Suite 120, Building E, 99 Hayden Avenue, Lexington, MA 02421, USA (“</w:t>
      </w:r>
      <w:r>
        <w:rPr>
          <w:rFonts w:ascii="Arial" w:cs="Arial" w:eastAsia="Arial" w:hAnsi="Arial"/>
          <w:sz w:val="17"/>
          <w:szCs w:val="17"/>
          <w:b w:val="1"/>
          <w:bCs w:val="1"/>
          <w:color w:val="auto"/>
        </w:rPr>
        <w:t>Keros</w:t>
      </w:r>
      <w:r>
        <w:rPr>
          <w:rFonts w:ascii="Arial" w:cs="Arial" w:eastAsia="Arial" w:hAnsi="Arial"/>
          <w:sz w:val="17"/>
          <w:szCs w:val="17"/>
          <w:color w:val="auto"/>
        </w:rPr>
        <w:t>”) and Novo Nordisk A/S, a company organized and existing under the laws of Denmark, having a principal place of business at Novo Allé, DK-2880 Bagsværd, Denmark (“</w:t>
      </w:r>
      <w:r>
        <w:rPr>
          <w:rFonts w:ascii="Arial" w:cs="Arial" w:eastAsia="Arial" w:hAnsi="Arial"/>
          <w:sz w:val="17"/>
          <w:szCs w:val="17"/>
          <w:b w:val="1"/>
          <w:bCs w:val="1"/>
          <w:color w:val="auto"/>
        </w:rPr>
        <w:t>Novo Nordisk</w:t>
      </w:r>
      <w:r>
        <w:rPr>
          <w:rFonts w:ascii="Arial" w:cs="Arial" w:eastAsia="Arial" w:hAnsi="Arial"/>
          <w:sz w:val="17"/>
          <w:szCs w:val="17"/>
          <w:color w:val="auto"/>
        </w:rPr>
        <w:t>”). Keros and Novo Nordisk are each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28" w:lineRule="exact"/>
        <w:rPr>
          <w:sz w:val="20"/>
          <w:szCs w:val="20"/>
          <w:color w:val="auto"/>
        </w:rPr>
      </w:pPr>
    </w:p>
    <w:p>
      <w:pPr>
        <w:ind w:right="260" w:firstLine="426"/>
        <w:spacing w:after="0" w:line="287" w:lineRule="auto"/>
        <w:rPr>
          <w:sz w:val="20"/>
          <w:szCs w:val="20"/>
          <w:color w:val="auto"/>
        </w:rPr>
      </w:pPr>
      <w:r>
        <w:rPr>
          <w:rFonts w:ascii="Arial" w:cs="Arial" w:eastAsia="Arial" w:hAnsi="Arial"/>
          <w:sz w:val="17"/>
          <w:szCs w:val="17"/>
          <w:color w:val="auto"/>
        </w:rPr>
        <w:t>A. Keros is a biotechnology company founded in 2016 employing its proprietary Ligand Trap platform, a discovery platform which enables the identification of Ligand Traps.</w:t>
      </w:r>
    </w:p>
    <w:p>
      <w:pPr>
        <w:spacing w:after="0" w:line="55" w:lineRule="exact"/>
        <w:rPr>
          <w:sz w:val="20"/>
          <w:szCs w:val="20"/>
          <w:color w:val="auto"/>
        </w:rPr>
      </w:pPr>
    </w:p>
    <w:p>
      <w:pPr>
        <w:ind w:right="60" w:firstLine="426"/>
        <w:spacing w:after="0" w:line="287" w:lineRule="auto"/>
        <w:rPr>
          <w:sz w:val="20"/>
          <w:szCs w:val="20"/>
          <w:color w:val="auto"/>
        </w:rPr>
      </w:pPr>
      <w:r>
        <w:rPr>
          <w:rFonts w:ascii="Arial" w:cs="Arial" w:eastAsia="Arial" w:hAnsi="Arial"/>
          <w:sz w:val="17"/>
          <w:szCs w:val="17"/>
          <w:color w:val="auto"/>
        </w:rPr>
        <w:t>B. Novo Nordisk is a leading global healthcare company engaged in the research, development and commercialization of pharmaceutical products within diabetes and obesity and possesses extensive know-how within these fields.</w:t>
      </w:r>
    </w:p>
    <w:p>
      <w:pPr>
        <w:spacing w:after="0" w:line="55" w:lineRule="exact"/>
        <w:rPr>
          <w:sz w:val="20"/>
          <w:szCs w:val="20"/>
          <w:color w:val="auto"/>
        </w:rPr>
      </w:pPr>
    </w:p>
    <w:p>
      <w:pPr>
        <w:ind w:right="120" w:firstLine="426"/>
        <w:spacing w:after="0" w:line="266" w:lineRule="auto"/>
        <w:rPr>
          <w:sz w:val="20"/>
          <w:szCs w:val="20"/>
          <w:color w:val="auto"/>
        </w:rPr>
      </w:pPr>
      <w:r>
        <w:rPr>
          <w:rFonts w:ascii="Arial" w:cs="Arial" w:eastAsia="Arial" w:hAnsi="Arial"/>
          <w:sz w:val="17"/>
          <w:szCs w:val="17"/>
          <w:color w:val="auto"/>
        </w:rPr>
        <w:t>C. The Parties desire to establish a Research Collaboration which shall generally cover development of Ligand Traps in order to facilitate that Novo Nordisk can exploit and commercialize certain Ligand Traps within the Novo Nordisk Field in pharmaceutical products on the terms and conditions set forth in this Agreement. The Research Collaboration will include (i) an Existing Ligand Trap of Keros and (ii) certain New Ligand Traps which Keros will use its Ligand Trap platform to identify.</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222" w:lineRule="exact"/>
        <w:rPr>
          <w:sz w:val="20"/>
          <w:szCs w:val="20"/>
          <w:color w:val="auto"/>
        </w:rPr>
      </w:pPr>
    </w:p>
    <w:p>
      <w:pPr>
        <w:ind w:right="420" w:firstLine="426"/>
        <w:spacing w:after="0" w:line="295"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Novo Nordisk and Keros</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355"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Definitions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Capitalized terms used in this Agreement shall have the meanings set forth below.</w:t>
      </w:r>
    </w:p>
    <w:p>
      <w:pPr>
        <w:spacing w:after="0" w:line="112" w:lineRule="exact"/>
        <w:rPr>
          <w:sz w:val="20"/>
          <w:szCs w:val="20"/>
          <w:color w:val="auto"/>
        </w:rPr>
      </w:pPr>
    </w:p>
    <w:p>
      <w:pPr>
        <w:ind w:right="40" w:firstLine="426"/>
        <w:spacing w:after="0" w:line="266"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Person which controls, is controlled by, or is under common control with a Party, as the case may be.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definition, “control” of an entity means the ownership, directly or indirectly, of more than fifty percent (50%) of the outstanding voting securities or capital stock of such entity, or the legal power to direct or cause the direction of the general management and policies of the entity in question. For purposes of this definition, Novo Holdings A/S and its affiliates (other than Novo Nordisk and its subsidiaries) are not considered Affiliates of Novo Nordisk.</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Alliance Managers</w:t>
      </w:r>
      <w:r>
        <w:rPr>
          <w:rFonts w:ascii="Arial" w:cs="Arial" w:eastAsia="Arial" w:hAnsi="Arial"/>
          <w:sz w:val="17"/>
          <w:szCs w:val="17"/>
          <w:color w:val="auto"/>
        </w:rPr>
        <w:t>” is defined in Section 2.9.</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is defined in Section 5.4.</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0"/>
          </w:cols>
          <w:pgMar w:left="620" w:top="264" w:right="619" w:bottom="1440" w:gutter="0" w:footer="0" w:header="0"/>
        </w:sectPr>
      </w:pPr>
    </w:p>
    <w:bookmarkStart w:id="345" w:name="page346"/>
    <w:bookmarkEnd w:id="345"/>
    <w:p>
      <w:pPr>
        <w:ind w:left="8762"/>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2" w:right="760" w:firstLine="426"/>
        <w:spacing w:after="0" w:line="295"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Saturday, Sunday or day on which commercial banks located in Boston, Massachusetts or</w:t>
      </w:r>
      <w:r>
        <w:rPr>
          <w:rFonts w:ascii="Arial" w:cs="Arial" w:eastAsia="Arial" w:hAnsi="Arial"/>
          <w:sz w:val="17"/>
          <w:szCs w:val="17"/>
          <w:b w:val="1"/>
          <w:bCs w:val="1"/>
          <w:color w:val="auto"/>
        </w:rPr>
        <w:t xml:space="preserve"> </w:t>
      </w:r>
      <w:r>
        <w:rPr>
          <w:rFonts w:ascii="Arial" w:cs="Arial" w:eastAsia="Arial" w:hAnsi="Arial"/>
          <w:sz w:val="17"/>
          <w:szCs w:val="17"/>
          <w:color w:val="auto"/>
        </w:rPr>
        <w:t>Copenhagen, Denmark are generally closed.</w:t>
      </w:r>
    </w:p>
    <w:p>
      <w:pPr>
        <w:spacing w:after="0" w:line="42" w:lineRule="exact"/>
        <w:rPr>
          <w:sz w:val="20"/>
          <w:szCs w:val="20"/>
          <w:color w:val="auto"/>
        </w:rPr>
      </w:pPr>
    </w:p>
    <w:p>
      <w:pPr>
        <w:ind w:left="2" w:right="80" w:firstLine="426"/>
        <w:spacing w:after="0" w:line="275"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Cardiovascular Indication</w:t>
      </w:r>
      <w:r>
        <w:rPr>
          <w:rFonts w:ascii="Arial" w:cs="Arial" w:eastAsia="Arial" w:hAnsi="Arial"/>
          <w:sz w:val="17"/>
          <w:szCs w:val="17"/>
          <w:color w:val="auto"/>
        </w:rPr>
        <w:t>” or “</w:t>
      </w:r>
      <w:r>
        <w:rPr>
          <w:rFonts w:ascii="Arial" w:cs="Arial" w:eastAsia="Arial" w:hAnsi="Arial"/>
          <w:sz w:val="17"/>
          <w:szCs w:val="17"/>
          <w:b w:val="1"/>
          <w:bCs w:val="1"/>
          <w:color w:val="auto"/>
        </w:rPr>
        <w:t>CVD Indication</w:t>
      </w:r>
      <w:r>
        <w:rPr>
          <w:rFonts w:ascii="Arial" w:cs="Arial" w:eastAsia="Arial" w:hAnsi="Arial"/>
          <w:sz w:val="17"/>
          <w:szCs w:val="17"/>
          <w:color w:val="auto"/>
        </w:rPr>
        <w:t>” means, with respect to any pharmaceutical product, an indication for which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has been granted, or is intended to be sought, for the treatment or prevention of any cardiovascular disease or condition that are not associated with diabetes or obesity.</w:t>
      </w:r>
    </w:p>
    <w:p>
      <w:pPr>
        <w:spacing w:after="0" w:line="59" w:lineRule="exact"/>
        <w:rPr>
          <w:sz w:val="20"/>
          <w:szCs w:val="20"/>
          <w:color w:val="auto"/>
        </w:rPr>
      </w:pPr>
    </w:p>
    <w:p>
      <w:pPr>
        <w:ind w:left="2" w:right="160" w:firstLine="426"/>
        <w:spacing w:after="0" w:line="269"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Chronic Kidney Disease Indication</w:t>
      </w:r>
      <w:r>
        <w:rPr>
          <w:rFonts w:ascii="Arial" w:cs="Arial" w:eastAsia="Arial" w:hAnsi="Arial"/>
          <w:sz w:val="17"/>
          <w:szCs w:val="17"/>
          <w:color w:val="auto"/>
        </w:rPr>
        <w:t>” or “</w:t>
      </w:r>
      <w:r>
        <w:rPr>
          <w:rFonts w:ascii="Arial" w:cs="Arial" w:eastAsia="Arial" w:hAnsi="Arial"/>
          <w:sz w:val="17"/>
          <w:szCs w:val="17"/>
          <w:b w:val="1"/>
          <w:bCs w:val="1"/>
          <w:color w:val="auto"/>
        </w:rPr>
        <w:t>CKD Indication</w:t>
      </w:r>
      <w:r>
        <w:rPr>
          <w:rFonts w:ascii="Arial" w:cs="Arial" w:eastAsia="Arial" w:hAnsi="Arial"/>
          <w:sz w:val="17"/>
          <w:szCs w:val="17"/>
          <w:color w:val="auto"/>
        </w:rPr>
        <w:t>” means, with respect to any pharmaceutical product, an indication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Approval has been granted, or is intended to be sought, for the treatment or prevention of any disease, condition or complication (including anemia and bone loss) arising from or associated with chronic kidney disease or the gradual loss or deterioration of kidney function, other than CKD associated with diabetes or obesity.</w:t>
      </w:r>
    </w:p>
    <w:p>
      <w:pPr>
        <w:spacing w:after="0" w:line="63" w:lineRule="exact"/>
        <w:rPr>
          <w:sz w:val="20"/>
          <w:szCs w:val="20"/>
          <w:color w:val="auto"/>
        </w:rPr>
      </w:pPr>
    </w:p>
    <w:p>
      <w:pPr>
        <w:ind w:left="2" w:right="220" w:firstLine="426"/>
        <w:spacing w:after="0" w:line="291"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Collaboration Invention</w:t>
      </w:r>
      <w:r>
        <w:rPr>
          <w:rFonts w:ascii="Arial" w:cs="Arial" w:eastAsia="Arial" w:hAnsi="Arial"/>
          <w:sz w:val="16"/>
          <w:szCs w:val="16"/>
          <w:color w:val="auto"/>
        </w:rPr>
        <w:t>” means any invention, discovery, creation, materials, Know-How or other intellectual property,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patentable, that (a) is first generated or developed by a Party or its Affiliates or Third Party contractors, (b) is not either Keros New Ligand Trap Inventions or Novo Nordisk Inventions, and (c) is directly related to and arising from the Research Collaboration during the Collaboration Term, whether generated or developed solely or jointly by employees of Keros and/or Novo Nordisk or their respective Affiliates or Third Party contractors.</w:t>
      </w:r>
    </w:p>
    <w:p>
      <w:pPr>
        <w:spacing w:after="0" w:line="48"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Collaboration IP</w:t>
      </w:r>
      <w:r>
        <w:rPr>
          <w:rFonts w:ascii="Arial" w:cs="Arial" w:eastAsia="Arial" w:hAnsi="Arial"/>
          <w:sz w:val="17"/>
          <w:szCs w:val="17"/>
          <w:color w:val="auto"/>
        </w:rPr>
        <w:t>” means Collaboration Inventions and Collaboration Patents.</w:t>
      </w:r>
    </w:p>
    <w:p>
      <w:pPr>
        <w:spacing w:after="0" w:line="118"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b w:val="1"/>
          <w:bCs w:val="1"/>
          <w:color w:val="auto"/>
        </w:rPr>
        <w:t>Collaboration Patent</w:t>
      </w:r>
      <w:r>
        <w:rPr>
          <w:rFonts w:ascii="Arial" w:cs="Arial" w:eastAsia="Arial" w:hAnsi="Arial"/>
          <w:sz w:val="17"/>
          <w:szCs w:val="17"/>
          <w:color w:val="auto"/>
        </w:rPr>
        <w:t>” means a Patent that Covers a Collaboration Invention.</w:t>
      </w:r>
    </w:p>
    <w:p>
      <w:pPr>
        <w:spacing w:after="0" w:line="118"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Collaboration Term</w:t>
      </w:r>
      <w:r>
        <w:rPr>
          <w:rFonts w:ascii="Arial" w:cs="Arial" w:eastAsia="Arial" w:hAnsi="Arial"/>
          <w:sz w:val="17"/>
          <w:szCs w:val="17"/>
          <w:color w:val="auto"/>
        </w:rPr>
        <w:t>” is defined in Section 2.5.</w:t>
      </w:r>
    </w:p>
    <w:p>
      <w:pPr>
        <w:spacing w:after="0" w:line="118" w:lineRule="exact"/>
        <w:rPr>
          <w:sz w:val="20"/>
          <w:szCs w:val="20"/>
          <w:color w:val="auto"/>
        </w:rPr>
      </w:pPr>
    </w:p>
    <w:p>
      <w:pPr>
        <w:ind w:left="2" w:right="240" w:firstLine="426"/>
        <w:spacing w:after="0" w:line="328"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b w:val="1"/>
          <w:bCs w:val="1"/>
          <w:color w:val="auto"/>
        </w:rPr>
        <w:t>Collaboration Year</w:t>
      </w:r>
      <w:r>
        <w:rPr>
          <w:rFonts w:ascii="Arial" w:cs="Arial" w:eastAsia="Arial" w:hAnsi="Arial"/>
          <w:sz w:val="16"/>
          <w:szCs w:val="16"/>
          <w:color w:val="auto"/>
        </w:rPr>
        <w:t>” means a one-year period during the Collaboration Term commencing on the Effective Date or an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and continuing thereafter until the next anniversary of the Effective Date or the end of the Collaboration Term.</w:t>
      </w:r>
    </w:p>
    <w:p>
      <w:pPr>
        <w:spacing w:after="0" w:line="19" w:lineRule="exact"/>
        <w:rPr>
          <w:sz w:val="20"/>
          <w:szCs w:val="20"/>
          <w:color w:val="auto"/>
        </w:rPr>
      </w:pPr>
    </w:p>
    <w:p>
      <w:pPr>
        <w:ind w:left="2" w:right="40" w:firstLine="426"/>
        <w:spacing w:after="0" w:line="295"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Commercialization</w:t>
      </w:r>
      <w:r>
        <w:rPr>
          <w:rFonts w:ascii="Arial" w:cs="Arial" w:eastAsia="Arial" w:hAnsi="Arial"/>
          <w:sz w:val="17"/>
          <w:szCs w:val="17"/>
          <w:color w:val="auto"/>
        </w:rPr>
        <w:t>” or “</w:t>
      </w:r>
      <w:r>
        <w:rPr>
          <w:rFonts w:ascii="Arial" w:cs="Arial" w:eastAsia="Arial" w:hAnsi="Arial"/>
          <w:sz w:val="17"/>
          <w:szCs w:val="17"/>
          <w:b w:val="1"/>
          <w:bCs w:val="1"/>
          <w:color w:val="auto"/>
        </w:rPr>
        <w:t>Commercialize</w:t>
      </w:r>
      <w:r>
        <w:rPr>
          <w:rFonts w:ascii="Arial" w:cs="Arial" w:eastAsia="Arial" w:hAnsi="Arial"/>
          <w:sz w:val="17"/>
          <w:szCs w:val="17"/>
          <w:color w:val="auto"/>
        </w:rPr>
        <w:t>” means any activities directed to manufacturing, marketing, distributing, offering for sale,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using, importing or exporting a product.</w:t>
      </w:r>
    </w:p>
    <w:p>
      <w:pPr>
        <w:spacing w:after="0" w:line="42" w:lineRule="exact"/>
        <w:rPr>
          <w:sz w:val="20"/>
          <w:szCs w:val="20"/>
          <w:color w:val="auto"/>
        </w:rPr>
      </w:pPr>
    </w:p>
    <w:p>
      <w:pPr>
        <w:ind w:left="422"/>
        <w:spacing w:after="0"/>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such application of effort and resources by the applicable Party as would be consistent with</w:t>
      </w:r>
    </w:p>
    <w:p>
      <w:pPr>
        <w:spacing w:after="0" w:line="43" w:lineRule="exact"/>
        <w:rPr>
          <w:sz w:val="20"/>
          <w:szCs w:val="20"/>
          <w:color w:val="auto"/>
        </w:rPr>
      </w:pPr>
    </w:p>
    <w:p>
      <w:pPr>
        <w:ind w:left="2" w:right="20" w:hanging="2"/>
        <w:spacing w:after="0" w:line="261" w:lineRule="auto"/>
        <w:tabs>
          <w:tab w:leader="none" w:pos="42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respect of a molecule controlled by such Party, which is at a similar stage in its development, taking into account, without limitation, with respect to a product, issues of safety and efficacy, product profile, the proprietary position of the product, the then current competitive environment for the product and the likely timing of the product’s entry into the market, the regulatory environment of the product, and other relevant scientific, technical and commercial factors, [***]. [***].</w:t>
      </w:r>
    </w:p>
    <w:p>
      <w:pPr>
        <w:spacing w:after="0" w:line="11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2"/>
          </w:cols>
          <w:pgMar w:left="618" w:top="265" w:right="619" w:bottom="1440" w:gutter="0" w:footer="0" w:header="0"/>
        </w:sectPr>
      </w:pPr>
    </w:p>
    <w:bookmarkStart w:id="346" w:name="page347"/>
    <w:bookmarkEnd w:id="346"/>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120" w:firstLine="426"/>
        <w:spacing w:after="0" w:line="280"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with respect to a Party, any and all confidential or proprietary information disclosed or otherwise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by such Party to the other Party in any form under this Agreement or the Existing CDA, including but not limited to, technical processes, specifications, instrumentation, formulae, assays, manufacturing techniques, biological, chemical or physical samples and materials, research and development plans and efforts, business plans, finances, and competitive position. The terms and conditions of this Agreement shall be Confidential Information of both Parties. Subject to Article 6, Confidential or proprietary information arising from the Research Collaboration or the Research Plan shall be treated as Confidential Information of both Parties for so long as both Parties retain rights to the applicable Ligand Trap pursuant to this Agreement or such Ligand Trap remains subject to the exclusivity provisions set forth in Section 2.7 (i.e., excluding Declined Ligand Traps), and thereafter such information shall be the Confidential Information of only the Disclosing Party.</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Conserved Carrier</w:t>
      </w:r>
      <w:r>
        <w:rPr>
          <w:rFonts w:ascii="Arial" w:cs="Arial" w:eastAsia="Arial" w:hAnsi="Arial"/>
          <w:sz w:val="17"/>
          <w:szCs w:val="17"/>
          <w:color w:val="auto"/>
        </w:rPr>
        <w:t>” means any part of the Ligand Trap excluding the Ligand Binder and/or Novo Nordisk Proprietary Molecule.</w:t>
      </w:r>
    </w:p>
    <w:p>
      <w:pPr>
        <w:spacing w:after="0" w:line="118" w:lineRule="exact"/>
        <w:rPr>
          <w:sz w:val="20"/>
          <w:szCs w:val="20"/>
          <w:color w:val="auto"/>
        </w:rPr>
      </w:pPr>
    </w:p>
    <w:p>
      <w:pPr>
        <w:ind w:right="80" w:firstLine="426"/>
        <w:spacing w:after="0" w:line="286"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w:t>
      </w:r>
      <w:r>
        <w:rPr>
          <w:rFonts w:ascii="Arial" w:cs="Arial" w:eastAsia="Arial" w:hAnsi="Arial"/>
          <w:sz w:val="16"/>
          <w:szCs w:val="16"/>
          <w:b w:val="1"/>
          <w:b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color w:val="auto"/>
        </w:rPr>
        <w:t>Control,</w:t>
      </w:r>
      <w:r>
        <w:rPr>
          <w:rFonts w:ascii="Arial" w:cs="Arial" w:eastAsia="Arial" w:hAnsi="Arial"/>
          <w:sz w:val="16"/>
          <w:szCs w:val="16"/>
          <w:color w:val="auto"/>
        </w:rPr>
        <w:t>” or the like, means the possession by a Party of, (a) with respect to any particular item, materials or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the right (other than solely pursuant to a license granted under this Agreement) to physical possession of those items, with the right to provide them to the other Party as provided for in this Agreement, or (b) with respect to intellectual property rights, the right (other than solely pursuant to a license granted under this Agreement) to grant the other Party a license, sublicense or other right to exploit as provided for in this Agreement, in the case of either (a) or (b), without violating the terms of any agreement or other arrangement with a Third Party.</w:t>
      </w:r>
    </w:p>
    <w:p>
      <w:pPr>
        <w:spacing w:after="0" w:line="52" w:lineRule="exact"/>
        <w:rPr>
          <w:sz w:val="20"/>
          <w:szCs w:val="20"/>
          <w:color w:val="auto"/>
        </w:rPr>
      </w:pPr>
    </w:p>
    <w:p>
      <w:pPr>
        <w:ind w:right="420" w:firstLine="426"/>
        <w:spacing w:after="0" w:line="269"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Covered by</w:t>
      </w:r>
      <w:r>
        <w:rPr>
          <w:rFonts w:ascii="Arial" w:cs="Arial" w:eastAsia="Arial" w:hAnsi="Arial"/>
          <w:sz w:val="17"/>
          <w:szCs w:val="17"/>
          <w:color w:val="auto"/>
        </w:rPr>
        <w:t>” or “</w:t>
      </w:r>
      <w:r>
        <w:rPr>
          <w:rFonts w:ascii="Arial" w:cs="Arial" w:eastAsia="Arial" w:hAnsi="Arial"/>
          <w:sz w:val="17"/>
          <w:szCs w:val="17"/>
          <w:b w:val="1"/>
          <w:bCs w:val="1"/>
          <w:color w:val="auto"/>
        </w:rPr>
        <w:t>Covers</w:t>
      </w:r>
      <w:r>
        <w:rPr>
          <w:rFonts w:ascii="Arial" w:cs="Arial" w:eastAsia="Arial" w:hAnsi="Arial"/>
          <w:sz w:val="17"/>
          <w:szCs w:val="17"/>
          <w:color w:val="auto"/>
        </w:rPr>
        <w:t>” means, with respect to a Patent, that the research, development, sale, offer for sale, manufacture, having</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manufactured, use, export, or import of a composition of matter or other material or practice of a claimed method would, but for ownership of, or a license granted in this Agreement under, the relevant Patent, infringe an issued Valid Claim, or a pending Valid Claim if a Patent containing such pending Valid Claim were to issue, of such Patent.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CVD/CKD License</w:t>
      </w:r>
      <w:r>
        <w:rPr>
          <w:rFonts w:ascii="Arial" w:cs="Arial" w:eastAsia="Arial" w:hAnsi="Arial"/>
          <w:sz w:val="17"/>
          <w:szCs w:val="17"/>
          <w:color w:val="auto"/>
        </w:rPr>
        <w:t>” is defined in Section 2.7(c).</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Declined Ligand Trap</w:t>
      </w:r>
      <w:r>
        <w:rPr>
          <w:rFonts w:ascii="Arial" w:cs="Arial" w:eastAsia="Arial" w:hAnsi="Arial"/>
          <w:sz w:val="17"/>
          <w:szCs w:val="17"/>
          <w:color w:val="auto"/>
        </w:rPr>
        <w:t>” means any Ligand Trap which is not a Selected Ligand Trap and is further defined in Section 2.3(a).</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Declined Ligand Traps-Specific Patents</w:t>
      </w:r>
      <w:r>
        <w:rPr>
          <w:rFonts w:ascii="Arial" w:cs="Arial" w:eastAsia="Arial" w:hAnsi="Arial"/>
          <w:sz w:val="17"/>
          <w:szCs w:val="17"/>
          <w:color w:val="auto"/>
        </w:rPr>
        <w:t>” is defined in Section 6.2(a)(i).</w:t>
      </w:r>
    </w:p>
    <w:p>
      <w:pPr>
        <w:spacing w:after="0" w:line="118" w:lineRule="exact"/>
        <w:rPr>
          <w:sz w:val="20"/>
          <w:szCs w:val="20"/>
          <w:color w:val="auto"/>
        </w:rPr>
      </w:pPr>
    </w:p>
    <w:p>
      <w:pPr>
        <w:ind w:right="360" w:firstLine="426"/>
        <w:spacing w:after="0" w:line="275"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w:t>
      </w:r>
      <w:r>
        <w:rPr>
          <w:rFonts w:ascii="Arial" w:cs="Arial" w:eastAsia="Arial" w:hAnsi="Arial"/>
          <w:sz w:val="17"/>
          <w:szCs w:val="17"/>
          <w:b w:val="1"/>
          <w:bCs w:val="1"/>
          <w:color w:val="auto"/>
        </w:rPr>
        <w:t>Development</w:t>
      </w:r>
      <w:r>
        <w:rPr>
          <w:rFonts w:ascii="Arial" w:cs="Arial" w:eastAsia="Arial" w:hAnsi="Arial"/>
          <w:sz w:val="17"/>
          <w:szCs w:val="17"/>
          <w:color w:val="auto"/>
        </w:rPr>
        <w:t>” or “</w:t>
      </w:r>
      <w:r>
        <w:rPr>
          <w:rFonts w:ascii="Arial" w:cs="Arial" w:eastAsia="Arial" w:hAnsi="Arial"/>
          <w:sz w:val="17"/>
          <w:szCs w:val="17"/>
          <w:b w:val="1"/>
          <w:bCs w:val="1"/>
          <w:color w:val="auto"/>
        </w:rPr>
        <w:t>Develop</w:t>
      </w:r>
      <w:r>
        <w:rPr>
          <w:rFonts w:ascii="Arial" w:cs="Arial" w:eastAsia="Arial" w:hAnsi="Arial"/>
          <w:sz w:val="17"/>
          <w:szCs w:val="17"/>
          <w:color w:val="auto"/>
        </w:rPr>
        <w:t>” means research, discovery and preclinical and clinical drug development activities,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test method development and stability testing, toxicology, formulation, quality assurance/quality control development, statistical analysis, clinical studies, regulatory affairs, product approval and registration.</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Disclosing Party</w:t>
      </w:r>
      <w:r>
        <w:rPr>
          <w:rFonts w:ascii="Arial" w:cs="Arial" w:eastAsia="Arial" w:hAnsi="Arial"/>
          <w:sz w:val="17"/>
          <w:szCs w:val="17"/>
          <w:color w:val="auto"/>
        </w:rPr>
        <w:t>” is defined in Section 8.1.</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620" w:top="264" w:right="619" w:bottom="1440" w:gutter="0" w:footer="0" w:header="0"/>
        </w:sectPr>
      </w:pPr>
    </w:p>
    <w:bookmarkStart w:id="347" w:name="page348"/>
    <w:bookmarkEnd w:id="347"/>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820" w:firstLine="426"/>
        <w:spacing w:after="0" w:line="295"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color w:val="auto"/>
        </w:rPr>
        <w:t>Dispute</w:t>
      </w:r>
      <w:r>
        <w:rPr>
          <w:rFonts w:ascii="Arial" w:cs="Arial" w:eastAsia="Arial" w:hAnsi="Arial"/>
          <w:sz w:val="17"/>
          <w:szCs w:val="17"/>
          <w:color w:val="auto"/>
        </w:rPr>
        <w:t>” or the like, means any controversy, claim or legal proceeding arising out of or relating to this Agreement, or the breach,</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or invalidity thereof.</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w:t>
      </w:r>
      <w:r>
        <w:rPr>
          <w:rFonts w:ascii="Arial" w:cs="Arial" w:eastAsia="Arial" w:hAnsi="Arial"/>
          <w:sz w:val="17"/>
          <w:szCs w:val="17"/>
          <w:b w:val="1"/>
          <w:bCs w:val="1"/>
          <w:color w:val="auto"/>
        </w:rPr>
        <w:t>EMA</w:t>
      </w:r>
      <w:r>
        <w:rPr>
          <w:rFonts w:ascii="Arial" w:cs="Arial" w:eastAsia="Arial" w:hAnsi="Arial"/>
          <w:sz w:val="17"/>
          <w:szCs w:val="17"/>
          <w:color w:val="auto"/>
        </w:rPr>
        <w:t>” means the European Medicines Authority, or any successor entity thereto performing similar functions.</w:t>
      </w:r>
    </w:p>
    <w:p>
      <w:pPr>
        <w:spacing w:after="0" w:line="118" w:lineRule="exact"/>
        <w:rPr>
          <w:sz w:val="20"/>
          <w:szCs w:val="20"/>
          <w:color w:val="auto"/>
        </w:rPr>
      </w:pPr>
    </w:p>
    <w:p>
      <w:pPr>
        <w:ind w:right="20" w:firstLine="426"/>
        <w:spacing w:after="0" w:line="291"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color w:val="auto"/>
        </w:rPr>
        <w:t>“</w:t>
      </w:r>
      <w:r>
        <w:rPr>
          <w:rFonts w:ascii="Arial" w:cs="Arial" w:eastAsia="Arial" w:hAnsi="Arial"/>
          <w:sz w:val="16"/>
          <w:szCs w:val="16"/>
          <w:b w:val="1"/>
          <w:bCs w:val="1"/>
          <w:color w:val="auto"/>
        </w:rPr>
        <w:t>Executive</w:t>
      </w:r>
      <w:r>
        <w:rPr>
          <w:rFonts w:ascii="Arial" w:cs="Arial" w:eastAsia="Arial" w:hAnsi="Arial"/>
          <w:sz w:val="16"/>
          <w:szCs w:val="16"/>
          <w:color w:val="auto"/>
        </w:rPr>
        <w:t>” means, with respect to a Party, an executive officer of such Party having greater seniority than such Party’s JSC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executive officer such Party designates for the escalation of deadlocked JSC decisions pursuant to Section 2.8(e) and Disputes pursuant to Section 13.1. For the avoidance of doubt, the Chief Executive Officer of Keros (or his or her designee) may serve both as a JSC representative and as the designated Executive for Keros, provided the Chief Executive Officer of Keros was not part of the deadlocked JSC decision.</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color w:val="auto"/>
        </w:rPr>
        <w:t>Existing CDA</w:t>
      </w:r>
      <w:r>
        <w:rPr>
          <w:rFonts w:ascii="Arial" w:cs="Arial" w:eastAsia="Arial" w:hAnsi="Arial"/>
          <w:sz w:val="17"/>
          <w:szCs w:val="17"/>
          <w:color w:val="auto"/>
        </w:rPr>
        <w:t>” means the Confidentiality Agreement effective as of April 20, 2017 by and between Novo Nordisk and Keros.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color w:val="auto"/>
        </w:rPr>
        <w:t>“</w:t>
      </w:r>
      <w:r>
        <w:rPr>
          <w:rFonts w:ascii="Arial" w:cs="Arial" w:eastAsia="Arial" w:hAnsi="Arial"/>
          <w:sz w:val="17"/>
          <w:szCs w:val="17"/>
          <w:b w:val="1"/>
          <w:bCs w:val="1"/>
          <w:color w:val="auto"/>
        </w:rPr>
        <w:t>Existing Ligand Traps</w:t>
      </w:r>
      <w:r>
        <w:rPr>
          <w:rFonts w:ascii="Arial" w:cs="Arial" w:eastAsia="Arial" w:hAnsi="Arial"/>
          <w:sz w:val="17"/>
          <w:szCs w:val="17"/>
          <w:color w:val="auto"/>
        </w:rPr>
        <w:t>” means Ligand Traps set forth in Exhibit A.</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means the United States Food and Drug Administration, or any successor entity thereto performing similar functions.</w:t>
      </w:r>
    </w:p>
    <w:p>
      <w:pPr>
        <w:spacing w:after="0" w:line="118" w:lineRule="exact"/>
        <w:rPr>
          <w:sz w:val="20"/>
          <w:szCs w:val="20"/>
          <w:color w:val="auto"/>
        </w:rPr>
      </w:pPr>
    </w:p>
    <w:p>
      <w:pPr>
        <w:ind w:right="200" w:firstLine="426"/>
        <w:spacing w:after="0" w:line="264" w:lineRule="auto"/>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Licensed Product in any country, on a Licensed Product-by-Licensed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the first commercial transfer or disposition for value of such Licensed Product for end use in such country to a Third Party (not being a sublicensee for the relevant Licensed Product) by Novo Nordisk or any of its Affiliates or sublicensees after such Licensed Product has been granted Regulatory Approval by a Regulatory Authority having jurisdiction for such country. The following sales shall not constitute a “First Commercial Sale”: (i) sales for clinical studies, [***] as well as (ii) sales between Novo Nordisk and/or its Affiliates and/or sublicensees which do not constitute a commercial launch of a Licensed Product in the market.</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shall mean the equivalent of a full-time employee or consultant at Keros.</w:t>
      </w:r>
    </w:p>
    <w:p>
      <w:pPr>
        <w:spacing w:after="0" w:line="118" w:lineRule="exact"/>
        <w:rPr>
          <w:sz w:val="20"/>
          <w:szCs w:val="20"/>
          <w:color w:val="auto"/>
        </w:rPr>
      </w:pPr>
    </w:p>
    <w:p>
      <w:pPr>
        <w:jc w:val="both"/>
        <w:ind w:right="40" w:firstLine="426"/>
        <w:spacing w:after="0" w:line="275"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w:t>
      </w:r>
      <w:r>
        <w:rPr>
          <w:rFonts w:ascii="Arial" w:cs="Arial" w:eastAsia="Arial" w:hAnsi="Arial"/>
          <w:sz w:val="17"/>
          <w:szCs w:val="17"/>
          <w:b w:val="1"/>
          <w:bCs w:val="1"/>
          <w:color w:val="auto"/>
        </w:rPr>
        <w:t>Indication</w:t>
      </w:r>
      <w:r>
        <w:rPr>
          <w:rFonts w:ascii="Arial" w:cs="Arial" w:eastAsia="Arial" w:hAnsi="Arial"/>
          <w:sz w:val="17"/>
          <w:szCs w:val="17"/>
          <w:color w:val="auto"/>
        </w:rPr>
        <w:t>” means a separate and distinct disease, disorder or medical condition, in humans, including the diagnosis and symptoms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that a Licensed Product is intended to treat, prevent and/or ameliorate. For the avoidance of doubt, the treatment of [***] shall be deemed to be the same Indication.</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color w:val="auto"/>
        </w:rPr>
        <w:t>“</w:t>
      </w:r>
      <w:r>
        <w:rPr>
          <w:rFonts w:ascii="Arial" w:cs="Arial" w:eastAsia="Arial" w:hAnsi="Arial"/>
          <w:sz w:val="17"/>
          <w:szCs w:val="17"/>
          <w:b w:val="1"/>
          <w:bCs w:val="1"/>
          <w:color w:val="auto"/>
        </w:rPr>
        <w:t>Infringement</w:t>
      </w:r>
      <w:r>
        <w:rPr>
          <w:rFonts w:ascii="Arial" w:cs="Arial" w:eastAsia="Arial" w:hAnsi="Arial"/>
          <w:sz w:val="17"/>
          <w:szCs w:val="17"/>
          <w:color w:val="auto"/>
        </w:rPr>
        <w:t>” is defined in Section 7.1.</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color w:val="auto"/>
        </w:rPr>
        <w:t>“</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is defined in Section 2.8(a).</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JSC Co-Chair</w:t>
      </w:r>
      <w:r>
        <w:rPr>
          <w:rFonts w:ascii="Arial" w:cs="Arial" w:eastAsia="Arial" w:hAnsi="Arial"/>
          <w:sz w:val="17"/>
          <w:szCs w:val="17"/>
          <w:color w:val="auto"/>
        </w:rPr>
        <w:t>” is defined in Section 2.8(b).</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60"/>
          </w:cols>
          <w:pgMar w:left="620" w:top="264" w:right="6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Keros Background IP</w:t>
      </w:r>
      <w:r>
        <w:rPr>
          <w:rFonts w:ascii="Arial" w:cs="Arial" w:eastAsia="Arial" w:hAnsi="Arial"/>
          <w:sz w:val="17"/>
          <w:szCs w:val="17"/>
          <w:color w:val="auto"/>
        </w:rPr>
        <w:t>” means Keros Background Patents and Keros Background Know-How.</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color w:val="auto"/>
        </w:rPr>
        <w:t>“</w:t>
      </w:r>
      <w:r>
        <w:rPr>
          <w:rFonts w:ascii="Arial" w:cs="Arial" w:eastAsia="Arial" w:hAnsi="Arial"/>
          <w:sz w:val="16"/>
          <w:szCs w:val="16"/>
          <w:b w:val="1"/>
          <w:bCs w:val="1"/>
          <w:color w:val="auto"/>
        </w:rPr>
        <w:t>Keros Background Know-How</w:t>
      </w:r>
      <w:r>
        <w:rPr>
          <w:rFonts w:ascii="Arial" w:cs="Arial" w:eastAsia="Arial" w:hAnsi="Arial"/>
          <w:sz w:val="16"/>
          <w:szCs w:val="16"/>
          <w:color w:val="auto"/>
        </w:rPr>
        <w:t>” means Know-How Controlled by Keros as of the Effective Date specifically relating to Ligand Traps.</w:t>
      </w:r>
    </w:p>
    <w:p>
      <w:pPr>
        <w:spacing w:after="0" w:line="129" w:lineRule="exact"/>
        <w:rPr>
          <w:sz w:val="20"/>
          <w:szCs w:val="20"/>
          <w:color w:val="auto"/>
        </w:rPr>
      </w:pPr>
    </w:p>
    <w:p>
      <w:pPr>
        <w:ind w:right="100" w:firstLine="426"/>
        <w:spacing w:after="0" w:line="295"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7"/>
          <w:szCs w:val="17"/>
          <w:color w:val="auto"/>
        </w:rPr>
        <w:t>“</w:t>
      </w:r>
      <w:r>
        <w:rPr>
          <w:rFonts w:ascii="Arial" w:cs="Arial" w:eastAsia="Arial" w:hAnsi="Arial"/>
          <w:sz w:val="17"/>
          <w:szCs w:val="17"/>
          <w:b w:val="1"/>
          <w:bCs w:val="1"/>
          <w:color w:val="auto"/>
        </w:rPr>
        <w:t>Keros Background Patents</w:t>
      </w:r>
      <w:r>
        <w:rPr>
          <w:rFonts w:ascii="Arial" w:cs="Arial" w:eastAsia="Arial" w:hAnsi="Arial"/>
          <w:sz w:val="17"/>
          <w:szCs w:val="17"/>
          <w:color w:val="auto"/>
        </w:rPr>
        <w:t>” means Patents Controlled by Keros as of the Effective Date that Cover Ligand Traps. The Keros Background</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in existence as of the Effective Date are set forth on Exhibit B.</w:t>
      </w:r>
    </w:p>
    <w:p>
      <w:pPr>
        <w:spacing w:after="0" w:line="42" w:lineRule="exact"/>
        <w:rPr>
          <w:sz w:val="20"/>
          <w:szCs w:val="20"/>
          <w:color w:val="auto"/>
        </w:rPr>
      </w:pPr>
    </w:p>
    <w:p>
      <w:pPr>
        <w:ind w:right="100" w:firstLine="426"/>
        <w:spacing w:after="0" w:line="266"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7"/>
          <w:szCs w:val="17"/>
          <w:color w:val="auto"/>
        </w:rPr>
        <w:t>“</w:t>
      </w:r>
      <w:r>
        <w:rPr>
          <w:rFonts w:ascii="Arial" w:cs="Arial" w:eastAsia="Arial" w:hAnsi="Arial"/>
          <w:sz w:val="17"/>
          <w:szCs w:val="17"/>
          <w:b w:val="1"/>
          <w:bCs w:val="1"/>
          <w:color w:val="auto"/>
        </w:rPr>
        <w:t>Keros New Ligand Trap Invention</w:t>
      </w:r>
      <w:r>
        <w:rPr>
          <w:rFonts w:ascii="Arial" w:cs="Arial" w:eastAsia="Arial" w:hAnsi="Arial"/>
          <w:sz w:val="17"/>
          <w:szCs w:val="17"/>
          <w:color w:val="auto"/>
        </w:rPr>
        <w:t>” means any invention, discovery, creation, materials, Know-How or other intellectual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or not patentable, that is first generated or developed by a Party or its Affiliates or Third Party contractors, which is specifically related to Ligand Traps and directly related to and arising from the Research Collaboration during the Collaboration Term, whether generated or developed solely or jointly by employees of Keros and/or Novo Nordisk or their respective Affiliates or Third Party contractors. For the avoidance of doubt, no Conserved Carrier will be included in the Keros New Ligand Trap Invention.</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7"/>
          <w:szCs w:val="17"/>
          <w:color w:val="auto"/>
        </w:rPr>
        <w:t>“</w:t>
      </w:r>
      <w:r>
        <w:rPr>
          <w:rFonts w:ascii="Arial" w:cs="Arial" w:eastAsia="Arial" w:hAnsi="Arial"/>
          <w:sz w:val="17"/>
          <w:szCs w:val="17"/>
          <w:b w:val="1"/>
          <w:bCs w:val="1"/>
          <w:color w:val="auto"/>
        </w:rPr>
        <w:t>Keros New Ligand Trap IP</w:t>
      </w:r>
      <w:r>
        <w:rPr>
          <w:rFonts w:ascii="Arial" w:cs="Arial" w:eastAsia="Arial" w:hAnsi="Arial"/>
          <w:sz w:val="17"/>
          <w:szCs w:val="17"/>
          <w:color w:val="auto"/>
        </w:rPr>
        <w:t>” means Keros New Ligand Trap Inventions and Keros New Ligand Trap Patents.</w:t>
      </w:r>
    </w:p>
    <w:p>
      <w:pPr>
        <w:spacing w:after="0" w:line="118" w:lineRule="exact"/>
        <w:rPr>
          <w:sz w:val="20"/>
          <w:szCs w:val="20"/>
          <w:color w:val="auto"/>
        </w:rPr>
      </w:pPr>
    </w:p>
    <w:p>
      <w:pPr>
        <w:ind w:right="100" w:firstLine="426"/>
        <w:spacing w:after="0" w:line="328" w:lineRule="auto"/>
        <w:rPr>
          <w:sz w:val="20"/>
          <w:szCs w:val="20"/>
          <w:color w:val="auto"/>
        </w:rPr>
      </w:pPr>
      <w:r>
        <w:rPr>
          <w:rFonts w:ascii="Arial" w:cs="Arial" w:eastAsia="Arial" w:hAnsi="Arial"/>
          <w:sz w:val="15"/>
          <w:szCs w:val="15"/>
          <w:b w:val="1"/>
          <w:bCs w:val="1"/>
          <w:color w:val="auto"/>
        </w:rPr>
        <w:t xml:space="preserve">1.41 </w:t>
      </w:r>
      <w:r>
        <w:rPr>
          <w:rFonts w:ascii="Arial" w:cs="Arial" w:eastAsia="Arial" w:hAnsi="Arial"/>
          <w:sz w:val="15"/>
          <w:szCs w:val="15"/>
          <w:color w:val="auto"/>
        </w:rPr>
        <w:t>“</w:t>
      </w:r>
      <w:r>
        <w:rPr>
          <w:rFonts w:ascii="Arial" w:cs="Arial" w:eastAsia="Arial" w:hAnsi="Arial"/>
          <w:sz w:val="15"/>
          <w:szCs w:val="15"/>
          <w:b w:val="1"/>
          <w:bCs w:val="1"/>
          <w:color w:val="auto"/>
        </w:rPr>
        <w:t>Keros New Ligand Trap Patent</w:t>
      </w:r>
      <w:r>
        <w:rPr>
          <w:rFonts w:ascii="Arial" w:cs="Arial" w:eastAsia="Arial" w:hAnsi="Arial"/>
          <w:sz w:val="15"/>
          <w:szCs w:val="15"/>
          <w:color w:val="auto"/>
        </w:rPr>
        <w:t>” means a Patent that Covers Keros New Ligand Trap Inventions, whether such Patent names, as</w:t>
      </w:r>
      <w:r>
        <w:rPr>
          <w:rFonts w:ascii="Arial" w:cs="Arial" w:eastAsia="Arial" w:hAnsi="Arial"/>
          <w:sz w:val="15"/>
          <w:szCs w:val="15"/>
          <w:b w:val="1"/>
          <w:bCs w:val="1"/>
          <w:color w:val="auto"/>
        </w:rPr>
        <w:t xml:space="preserve"> </w:t>
      </w:r>
      <w:r>
        <w:rPr>
          <w:rFonts w:ascii="Arial" w:cs="Arial" w:eastAsia="Arial" w:hAnsi="Arial"/>
          <w:sz w:val="15"/>
          <w:szCs w:val="15"/>
          <w:color w:val="auto"/>
        </w:rPr>
        <w:t>inventor(s), employee(s) of Keros and/or Novo Nordisk or their respective Affiliates or Third Party contractor. For the avoidance of doubt, no Conserved Carrier other than those Conserved Carriers as set forth in Keros Background Patents will be included in the Keros New Ligand Trap Patent.</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w:t>
      </w:r>
      <w:r>
        <w:rPr>
          <w:rFonts w:ascii="Arial" w:cs="Arial" w:eastAsia="Arial" w:hAnsi="Arial"/>
          <w:sz w:val="17"/>
          <w:szCs w:val="17"/>
          <w:b w:val="1"/>
          <w:bCs w:val="1"/>
          <w:color w:val="auto"/>
        </w:rPr>
        <w:t>Keros Patents</w:t>
      </w:r>
      <w:r>
        <w:rPr>
          <w:rFonts w:ascii="Arial" w:cs="Arial" w:eastAsia="Arial" w:hAnsi="Arial"/>
          <w:sz w:val="17"/>
          <w:szCs w:val="17"/>
          <w:color w:val="auto"/>
        </w:rPr>
        <w:t>” means Keros Background Patents and Keros New Ligand Trap Patents.</w:t>
      </w:r>
    </w:p>
    <w:p>
      <w:pPr>
        <w:spacing w:after="0" w:line="118" w:lineRule="exact"/>
        <w:rPr>
          <w:sz w:val="20"/>
          <w:szCs w:val="20"/>
          <w:color w:val="auto"/>
        </w:rPr>
      </w:pPr>
    </w:p>
    <w:p>
      <w:pPr>
        <w:ind w:right="120" w:firstLine="426"/>
        <w:spacing w:after="0" w:line="264"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information, ideas, concepts, discoveries, technology, inventions, improvements, practices, formula,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techniques, methods, procedures, knowledge, results, test data (including pharmacological, toxicological, pharmacokinetic and pre-clinical and clinical information and test data, related reports, structure-activity relationship data and statistical analysis), analytical and quality control data, protocols, processes, specifications, models, designs, and other information regarding discovery, development, regulatory approval, marketing, pricing, distribution, cost, sales and manufacturing and other similar information, in any tangible or intangible form whatsoever, that is not in the public domain or otherwise publicly known. Know-How shall not include any Patents.</w:t>
      </w:r>
    </w:p>
    <w:p>
      <w:pPr>
        <w:spacing w:after="0" w:line="67" w:lineRule="exact"/>
        <w:rPr>
          <w:sz w:val="20"/>
          <w:szCs w:val="20"/>
          <w:color w:val="auto"/>
        </w:rPr>
      </w:pPr>
    </w:p>
    <w:p>
      <w:pPr>
        <w:ind w:right="180" w:firstLine="426"/>
        <w:spacing w:after="0" w:line="275"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color w:val="auto"/>
        </w:rPr>
        <w:t>“</w:t>
      </w:r>
      <w:r>
        <w:rPr>
          <w:rFonts w:ascii="Arial" w:cs="Arial" w:eastAsia="Arial" w:hAnsi="Arial"/>
          <w:sz w:val="17"/>
          <w:szCs w:val="17"/>
          <w:b w:val="1"/>
          <w:bCs w:val="1"/>
          <w:color w:val="auto"/>
        </w:rPr>
        <w:t>Licensed Combination Product</w:t>
      </w:r>
      <w:r>
        <w:rPr>
          <w:rFonts w:ascii="Arial" w:cs="Arial" w:eastAsia="Arial" w:hAnsi="Arial"/>
          <w:sz w:val="17"/>
          <w:szCs w:val="17"/>
          <w:color w:val="auto"/>
        </w:rPr>
        <w:t>” means any pharmaceutical product for human use in the Territory within the Novo Nordisk Field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 Novo Nordisk Proprietary Molecule fused to a Selected Ligand Trap into a single molecule or a co-formulation of a Novo Nordisk Proprietary Molecule and a Selected Ligand Trap.</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60"/>
          </w:cols>
          <w:pgMar w:left="620" w:top="264" w:right="619" w:bottom="1440" w:gutter="0" w:footer="0" w:header="0"/>
        </w:sectPr>
      </w:pPr>
    </w:p>
    <w:bookmarkStart w:id="349" w:name="page350"/>
    <w:bookmarkEnd w:id="349"/>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440" w:firstLine="426"/>
        <w:spacing w:after="0" w:line="295" w:lineRule="auto"/>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means any pharmaceutical product for human use in the Territory within the Novo Nordisk Field which contains a</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Ligand Trap whether alone or as a Licensed Combination Product.</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7"/>
          <w:szCs w:val="17"/>
          <w:color w:val="auto"/>
        </w:rPr>
        <w:t>“</w:t>
      </w:r>
      <w:r>
        <w:rPr>
          <w:rFonts w:ascii="Arial" w:cs="Arial" w:eastAsia="Arial" w:hAnsi="Arial"/>
          <w:sz w:val="17"/>
          <w:szCs w:val="17"/>
          <w:b w:val="1"/>
          <w:bCs w:val="1"/>
          <w:color w:val="auto"/>
        </w:rPr>
        <w:t>Ligand Binder</w:t>
      </w:r>
      <w:r>
        <w:rPr>
          <w:rFonts w:ascii="Arial" w:cs="Arial" w:eastAsia="Arial" w:hAnsi="Arial"/>
          <w:sz w:val="17"/>
          <w:szCs w:val="17"/>
          <w:color w:val="auto"/>
        </w:rPr>
        <w:t>” means the extracellular portion of the [***].</w:t>
      </w:r>
    </w:p>
    <w:p>
      <w:pPr>
        <w:spacing w:after="0" w:line="118" w:lineRule="exact"/>
        <w:rPr>
          <w:sz w:val="20"/>
          <w:szCs w:val="20"/>
          <w:color w:val="auto"/>
        </w:rPr>
      </w:pPr>
    </w:p>
    <w:p>
      <w:pPr>
        <w:ind w:right="160" w:firstLine="426"/>
        <w:spacing w:after="0" w:line="363" w:lineRule="auto"/>
        <w:rPr>
          <w:sz w:val="20"/>
          <w:szCs w:val="20"/>
          <w:color w:val="auto"/>
        </w:rPr>
      </w:pPr>
      <w:r>
        <w:rPr>
          <w:rFonts w:ascii="Arial" w:cs="Arial" w:eastAsia="Arial" w:hAnsi="Arial"/>
          <w:sz w:val="15"/>
          <w:szCs w:val="15"/>
          <w:b w:val="1"/>
          <w:bCs w:val="1"/>
          <w:color w:val="auto"/>
        </w:rPr>
        <w:t xml:space="preserve">1.47 </w:t>
      </w:r>
      <w:r>
        <w:rPr>
          <w:rFonts w:ascii="Arial" w:cs="Arial" w:eastAsia="Arial" w:hAnsi="Arial"/>
          <w:sz w:val="15"/>
          <w:szCs w:val="15"/>
          <w:color w:val="auto"/>
        </w:rPr>
        <w:t>“</w:t>
      </w:r>
      <w:r>
        <w:rPr>
          <w:rFonts w:ascii="Arial" w:cs="Arial" w:eastAsia="Arial" w:hAnsi="Arial"/>
          <w:sz w:val="15"/>
          <w:szCs w:val="15"/>
          <w:b w:val="1"/>
          <w:bCs w:val="1"/>
          <w:color w:val="auto"/>
        </w:rPr>
        <w:t>Ligand Trap</w:t>
      </w:r>
      <w:r>
        <w:rPr>
          <w:rFonts w:ascii="Arial" w:cs="Arial" w:eastAsia="Arial" w:hAnsi="Arial"/>
          <w:sz w:val="15"/>
          <w:szCs w:val="15"/>
          <w:color w:val="auto"/>
        </w:rPr>
        <w:t>” means a fusion molecule consisting of a Ligand Binder present as part of a larger molecule having additional domains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as Conserved Carrier) excluding a Licensed Combination Product. The Ligand Trap consists of a Ligand Binder fused to a Conserved Carrier.</w:t>
      </w:r>
    </w:p>
    <w:p>
      <w:pPr>
        <w:ind w:left="420"/>
        <w:spacing w:after="0"/>
        <w:rPr>
          <w:sz w:val="20"/>
          <w:szCs w:val="20"/>
          <w:color w:val="auto"/>
        </w:rPr>
      </w:pPr>
      <w:r>
        <w:rPr>
          <w:rFonts w:ascii="Arial" w:cs="Arial" w:eastAsia="Arial" w:hAnsi="Arial"/>
          <w:sz w:val="17"/>
          <w:szCs w:val="17"/>
          <w:b w:val="1"/>
          <w:bCs w:val="1"/>
          <w:color w:val="auto"/>
        </w:rPr>
        <w:t xml:space="preserve">1.48 </w:t>
      </w:r>
      <w:r>
        <w:rPr>
          <w:rFonts w:ascii="Arial" w:cs="Arial" w:eastAsia="Arial" w:hAnsi="Arial"/>
          <w:sz w:val="17"/>
          <w:szCs w:val="17"/>
          <w:color w:val="auto"/>
        </w:rPr>
        <w:t>“[***]</w:t>
      </w:r>
      <w:r>
        <w:rPr>
          <w:rFonts w:ascii="Arial" w:cs="Arial" w:eastAsia="Arial" w:hAnsi="Arial"/>
          <w:sz w:val="17"/>
          <w:szCs w:val="17"/>
          <w:b w:val="1"/>
          <w:bCs w:val="1"/>
          <w:color w:val="auto"/>
        </w:rPr>
        <w:t xml:space="preserve"> Approval</w:t>
      </w:r>
      <w:r>
        <w:rPr>
          <w:rFonts w:ascii="Arial" w:cs="Arial" w:eastAsia="Arial" w:hAnsi="Arial"/>
          <w:sz w:val="17"/>
          <w:szCs w:val="17"/>
          <w:color w:val="auto"/>
        </w:rPr>
        <w:t>” means the development stage in Novo Nordisk’s [***].</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1.49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shall [***]:</w:t>
      </w:r>
    </w:p>
    <w:p>
      <w:pPr>
        <w:spacing w:after="0" w:line="124" w:lineRule="exact"/>
        <w:rPr>
          <w:sz w:val="20"/>
          <w:szCs w:val="20"/>
          <w:color w:val="auto"/>
        </w:rPr>
      </w:pPr>
    </w:p>
    <w:p>
      <w:pPr>
        <w:ind w:left="660" w:hanging="2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680" w:hanging="256"/>
        <w:spacing w:after="0"/>
        <w:tabs>
          <w:tab w:leader="none" w:pos="6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660" w:hanging="2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680" w:hanging="256"/>
        <w:spacing w:after="0"/>
        <w:tabs>
          <w:tab w:leader="none" w:pos="6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and</w:t>
      </w:r>
    </w:p>
    <w:p>
      <w:pPr>
        <w:spacing w:after="0" w:line="117" w:lineRule="exact"/>
        <w:rPr>
          <w:rFonts w:ascii="Arial" w:cs="Arial" w:eastAsia="Arial" w:hAnsi="Arial"/>
          <w:sz w:val="17"/>
          <w:szCs w:val="17"/>
          <w:color w:val="auto"/>
        </w:rPr>
      </w:pPr>
    </w:p>
    <w:p>
      <w:pPr>
        <w:ind w:left="660" w:hanging="2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New Ligand Traps Information Package</w:t>
      </w:r>
      <w:r>
        <w:rPr>
          <w:rFonts w:ascii="Arial" w:cs="Arial" w:eastAsia="Arial" w:hAnsi="Arial"/>
          <w:sz w:val="17"/>
          <w:szCs w:val="17"/>
          <w:color w:val="auto"/>
        </w:rPr>
        <w:t>” is defined in Section 2.2(a).</w:t>
      </w:r>
    </w:p>
    <w:p>
      <w:pPr>
        <w:spacing w:after="0" w:line="118" w:lineRule="exact"/>
        <w:rPr>
          <w:sz w:val="20"/>
          <w:szCs w:val="20"/>
          <w:color w:val="auto"/>
        </w:rPr>
      </w:pPr>
    </w:p>
    <w:p>
      <w:pPr>
        <w:ind w:right="480" w:firstLine="426"/>
        <w:spacing w:after="0" w:line="295"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color w:val="auto"/>
        </w:rPr>
        <w:t>“</w:t>
      </w:r>
      <w:r>
        <w:rPr>
          <w:rFonts w:ascii="Arial" w:cs="Arial" w:eastAsia="Arial" w:hAnsi="Arial"/>
          <w:sz w:val="17"/>
          <w:szCs w:val="17"/>
          <w:b w:val="1"/>
          <w:bCs w:val="1"/>
          <w:color w:val="auto"/>
        </w:rPr>
        <w:t>New Ligand Traps</w:t>
      </w:r>
      <w:r>
        <w:rPr>
          <w:rFonts w:ascii="Arial" w:cs="Arial" w:eastAsia="Arial" w:hAnsi="Arial"/>
          <w:sz w:val="17"/>
          <w:szCs w:val="17"/>
          <w:color w:val="auto"/>
        </w:rPr>
        <w:t>” means the Ligand Traps having Ligand Binder [***] which differ from Existing Ligand Traps and are developed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Collaboration Term.</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color w:val="auto"/>
        </w:rPr>
        <w:t>“</w:t>
      </w:r>
      <w:r>
        <w:rPr>
          <w:rFonts w:ascii="Arial" w:cs="Arial" w:eastAsia="Arial" w:hAnsi="Arial"/>
          <w:sz w:val="17"/>
          <w:szCs w:val="17"/>
          <w:b w:val="1"/>
          <w:bCs w:val="1"/>
          <w:color w:val="auto"/>
        </w:rPr>
        <w:t>No-Shop Period</w:t>
      </w:r>
      <w:r>
        <w:rPr>
          <w:rFonts w:ascii="Arial" w:cs="Arial" w:eastAsia="Arial" w:hAnsi="Arial"/>
          <w:sz w:val="17"/>
          <w:szCs w:val="17"/>
          <w:color w:val="auto"/>
        </w:rPr>
        <w:t>” is defined in Section 2.7(c).</w:t>
      </w:r>
    </w:p>
    <w:p>
      <w:pPr>
        <w:spacing w:after="0" w:line="118" w:lineRule="exact"/>
        <w:rPr>
          <w:sz w:val="20"/>
          <w:szCs w:val="20"/>
          <w:color w:val="auto"/>
        </w:rPr>
      </w:pPr>
    </w:p>
    <w:p>
      <w:pPr>
        <w:ind w:right="20" w:firstLine="426"/>
        <w:spacing w:after="0" w:line="309" w:lineRule="auto"/>
        <w:rPr>
          <w:sz w:val="20"/>
          <w:szCs w:val="20"/>
          <w:color w:val="auto"/>
        </w:rPr>
      </w:pPr>
      <w:r>
        <w:rPr>
          <w:rFonts w:ascii="Arial" w:cs="Arial" w:eastAsia="Arial" w:hAnsi="Arial"/>
          <w:sz w:val="15"/>
          <w:szCs w:val="15"/>
          <w:b w:val="1"/>
          <w:bCs w:val="1"/>
          <w:color w:val="auto"/>
        </w:rPr>
        <w:t xml:space="preserve">1.53 </w:t>
      </w:r>
      <w:r>
        <w:rPr>
          <w:rFonts w:ascii="Arial" w:cs="Arial" w:eastAsia="Arial" w:hAnsi="Arial"/>
          <w:sz w:val="15"/>
          <w:szCs w:val="15"/>
          <w:color w:val="auto"/>
        </w:rPr>
        <w:t>“</w:t>
      </w:r>
      <w:r>
        <w:rPr>
          <w:rFonts w:ascii="Arial" w:cs="Arial" w:eastAsia="Arial" w:hAnsi="Arial"/>
          <w:sz w:val="15"/>
          <w:szCs w:val="15"/>
          <w:b w:val="1"/>
          <w:bCs w:val="1"/>
          <w:color w:val="auto"/>
        </w:rPr>
        <w:t>Novo Nordisk Field</w:t>
      </w:r>
      <w:r>
        <w:rPr>
          <w:rFonts w:ascii="Arial" w:cs="Arial" w:eastAsia="Arial" w:hAnsi="Arial"/>
          <w:sz w:val="15"/>
          <w:szCs w:val="15"/>
          <w:color w:val="auto"/>
        </w:rPr>
        <w:t>” means: (a) any and all uses of any Licensed Product for the treatment of diabetes (including diabetes-related</w:t>
      </w:r>
      <w:r>
        <w:rPr>
          <w:rFonts w:ascii="Arial" w:cs="Arial" w:eastAsia="Arial" w:hAnsi="Arial"/>
          <w:sz w:val="15"/>
          <w:szCs w:val="15"/>
          <w:b w:val="1"/>
          <w:bCs w:val="1"/>
          <w:color w:val="auto"/>
        </w:rPr>
        <w:t xml:space="preserve"> </w:t>
      </w:r>
      <w:r>
        <w:rPr>
          <w:rFonts w:ascii="Arial" w:cs="Arial" w:eastAsia="Arial" w:hAnsi="Arial"/>
          <w:sz w:val="15"/>
          <w:szCs w:val="15"/>
          <w:color w:val="auto"/>
        </w:rPr>
        <w:t>complications of cardiovascular disease (CVD) and chronic kidney disease (CKD)), obesity (including obesity-related complications of cardiovascular disease (CVD), chronic kidney disease (CKD) and sarcopenic obesity), nonalcoholic steatohepatitis (NASH) and cachexia; and (b) solely with respect to Licensed Combination Products, any and all uses in Cardiovascular Indications or CKD Indications. For clarity, the Novo Nordisk Field does not include use of a Licensed Product that is not a Licensed Combination Product for use in the treatment of Cardiovascular Indications or CKD Indications.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60"/>
          </w:cols>
          <w:pgMar w:left="620" w:top="264" w:right="619" w:bottom="1440" w:gutter="0" w:footer="0" w:header="0"/>
        </w:sectPr>
      </w:pPr>
    </w:p>
    <w:bookmarkStart w:id="350" w:name="page351"/>
    <w:bookmarkEnd w:id="350"/>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ind w:right="20" w:firstLine="426"/>
        <w:spacing w:after="0" w:line="280"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6"/>
          <w:szCs w:val="16"/>
          <w:color w:val="auto"/>
        </w:rPr>
        <w:t>“</w:t>
      </w:r>
      <w:r>
        <w:rPr>
          <w:rFonts w:ascii="Arial" w:cs="Arial" w:eastAsia="Arial" w:hAnsi="Arial"/>
          <w:sz w:val="16"/>
          <w:szCs w:val="16"/>
          <w:b w:val="1"/>
          <w:bCs w:val="1"/>
          <w:color w:val="auto"/>
        </w:rPr>
        <w:t>Novo Nordisk Invention</w:t>
      </w:r>
      <w:r>
        <w:rPr>
          <w:rFonts w:ascii="Arial" w:cs="Arial" w:eastAsia="Arial" w:hAnsi="Arial"/>
          <w:sz w:val="16"/>
          <w:szCs w:val="16"/>
          <w:color w:val="auto"/>
        </w:rPr>
        <w:t>” means any invention, discovery, creation, materials, Know-How or other intellectual property,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patentable, that (a) is first generated or developed by a Party or its Affiliates or Third Party contractors directly related to and arising from the Research Collaboration during the term of this Agreement, and (b) which is specifically related to (i) a Novo Nordisk Proprietary Molecule, (ii) a Conserved Carrier and/or (iii) a Licensed Product to the extent not solely a Keros New Ligand Trap Invention, whether generated or developed solely or jointly by employees of Keros and/or Novo Nordisk or their respective Affiliates or Third Party contractors. For the avoidance of doubt, any formulation intellectual property, including any Know-How related to methods or processes for making formulations or for optimizing pharmacokinetic properties of Ligand Traps (by optimizing Conserved Carrier), Conserved Carriers or a Licensed Combination Product, as well as all data and results from clinical trials related to the Selected Ligand Traps or a Licensed Combination Product shall be deemed to be Novo Nordisk Inventions.</w:t>
      </w:r>
    </w:p>
    <w:p>
      <w:pPr>
        <w:spacing w:after="0" w:line="58" w:lineRule="exact"/>
        <w:rPr>
          <w:sz w:val="20"/>
          <w:szCs w:val="20"/>
          <w:color w:val="auto"/>
        </w:rPr>
      </w:pPr>
    </w:p>
    <w:p>
      <w:pPr>
        <w:ind w:right="600" w:firstLine="426"/>
        <w:spacing w:after="0" w:line="363" w:lineRule="auto"/>
        <w:rPr>
          <w:sz w:val="20"/>
          <w:szCs w:val="20"/>
          <w:color w:val="auto"/>
        </w:rPr>
      </w:pPr>
      <w:r>
        <w:rPr>
          <w:rFonts w:ascii="Arial" w:cs="Arial" w:eastAsia="Arial" w:hAnsi="Arial"/>
          <w:sz w:val="15"/>
          <w:szCs w:val="15"/>
          <w:b w:val="1"/>
          <w:bCs w:val="1"/>
          <w:color w:val="auto"/>
        </w:rPr>
        <w:t xml:space="preserve">1.55 </w:t>
      </w:r>
      <w:r>
        <w:rPr>
          <w:rFonts w:ascii="Arial" w:cs="Arial" w:eastAsia="Arial" w:hAnsi="Arial"/>
          <w:sz w:val="15"/>
          <w:szCs w:val="15"/>
          <w:color w:val="auto"/>
        </w:rPr>
        <w:t>“</w:t>
      </w:r>
      <w:r>
        <w:rPr>
          <w:rFonts w:ascii="Arial" w:cs="Arial" w:eastAsia="Arial" w:hAnsi="Arial"/>
          <w:sz w:val="15"/>
          <w:szCs w:val="15"/>
          <w:b w:val="1"/>
          <w:bCs w:val="1"/>
          <w:color w:val="auto"/>
        </w:rPr>
        <w:t>Novo Nordisk Background IP</w:t>
      </w:r>
      <w:r>
        <w:rPr>
          <w:rFonts w:ascii="Arial" w:cs="Arial" w:eastAsia="Arial" w:hAnsi="Arial"/>
          <w:sz w:val="15"/>
          <w:szCs w:val="15"/>
          <w:color w:val="auto"/>
        </w:rPr>
        <w:t>” means those Patents and Know-How (to the extent such Know-How is actually disclosed to Keros)</w:t>
      </w:r>
      <w:r>
        <w:rPr>
          <w:rFonts w:ascii="Arial" w:cs="Arial" w:eastAsia="Arial" w:hAnsi="Arial"/>
          <w:sz w:val="15"/>
          <w:szCs w:val="15"/>
          <w:b w:val="1"/>
          <w:bCs w:val="1"/>
          <w:color w:val="auto"/>
        </w:rPr>
        <w:t xml:space="preserve"> </w:t>
      </w:r>
      <w:r>
        <w:rPr>
          <w:rFonts w:ascii="Arial" w:cs="Arial" w:eastAsia="Arial" w:hAnsi="Arial"/>
          <w:sz w:val="15"/>
          <w:szCs w:val="15"/>
          <w:color w:val="auto"/>
        </w:rPr>
        <w:t>Controlled by Novo Nordisk as of the Effective Date that are necessary for the Development or Commercialization of Licensed Products.</w:t>
      </w:r>
    </w:p>
    <w:p>
      <w:pPr>
        <w:ind w:left="420"/>
        <w:spacing w:after="0"/>
        <w:rPr>
          <w:sz w:val="20"/>
          <w:szCs w:val="20"/>
          <w:color w:val="auto"/>
        </w:rPr>
      </w:pPr>
      <w:r>
        <w:rPr>
          <w:rFonts w:ascii="Arial" w:cs="Arial" w:eastAsia="Arial" w:hAnsi="Arial"/>
          <w:sz w:val="17"/>
          <w:szCs w:val="17"/>
          <w:b w:val="1"/>
          <w:bCs w:val="1"/>
          <w:color w:val="auto"/>
        </w:rPr>
        <w:t xml:space="preserve">1.56 </w:t>
      </w:r>
      <w:r>
        <w:rPr>
          <w:rFonts w:ascii="Arial" w:cs="Arial" w:eastAsia="Arial" w:hAnsi="Arial"/>
          <w:sz w:val="17"/>
          <w:szCs w:val="17"/>
          <w:color w:val="auto"/>
        </w:rPr>
        <w:t>“</w:t>
      </w:r>
      <w:r>
        <w:rPr>
          <w:rFonts w:ascii="Arial" w:cs="Arial" w:eastAsia="Arial" w:hAnsi="Arial"/>
          <w:sz w:val="17"/>
          <w:szCs w:val="17"/>
          <w:b w:val="1"/>
          <w:bCs w:val="1"/>
          <w:color w:val="auto"/>
        </w:rPr>
        <w:t>Novo Nordisk IP</w:t>
      </w:r>
      <w:r>
        <w:rPr>
          <w:rFonts w:ascii="Arial" w:cs="Arial" w:eastAsia="Arial" w:hAnsi="Arial"/>
          <w:sz w:val="17"/>
          <w:szCs w:val="17"/>
          <w:color w:val="auto"/>
        </w:rPr>
        <w:t>” means Novo Nordisk Inventions and Novo Nordisk Patents.</w:t>
      </w:r>
    </w:p>
    <w:p>
      <w:pPr>
        <w:spacing w:after="0" w:line="118" w:lineRule="exact"/>
        <w:rPr>
          <w:sz w:val="20"/>
          <w:szCs w:val="20"/>
          <w:color w:val="auto"/>
        </w:rPr>
      </w:pPr>
    </w:p>
    <w:p>
      <w:pPr>
        <w:ind w:right="220" w:firstLine="426"/>
        <w:spacing w:after="0" w:line="269"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Novo Nordisk Patent</w:t>
      </w:r>
      <w:r>
        <w:rPr>
          <w:rFonts w:ascii="Arial" w:cs="Arial" w:eastAsia="Arial" w:hAnsi="Arial"/>
          <w:sz w:val="17"/>
          <w:szCs w:val="17"/>
          <w:color w:val="auto"/>
        </w:rPr>
        <w:t>” means a Patent that Covers a Novo Nordisk Invention, whether such Patent names, as inventor(s), employee(s) of</w:t>
      </w:r>
      <w:r>
        <w:rPr>
          <w:rFonts w:ascii="Arial" w:cs="Arial" w:eastAsia="Arial" w:hAnsi="Arial"/>
          <w:sz w:val="17"/>
          <w:szCs w:val="17"/>
          <w:b w:val="1"/>
          <w:bCs w:val="1"/>
          <w:color w:val="auto"/>
        </w:rPr>
        <w:t xml:space="preserve"> </w:t>
      </w:r>
      <w:r>
        <w:rPr>
          <w:rFonts w:ascii="Arial" w:cs="Arial" w:eastAsia="Arial" w:hAnsi="Arial"/>
          <w:sz w:val="17"/>
          <w:szCs w:val="17"/>
          <w:color w:val="auto"/>
        </w:rPr>
        <w:t>Keros and/or Novo Nordisk or their respective Affiliates or Third Party contractors. For the avoidance of doubt, subject to Keros’ ownership of Keros New Ligand Trap Patents, a Patent that Covers the combination of (i) Selected Ligand Traps(s) and (ii) Novo Nordisk Invention(s) shall be a Novo Nordisk Patent and not a Keros New Ligand Trap Patent.</w:t>
      </w:r>
    </w:p>
    <w:p>
      <w:pPr>
        <w:spacing w:after="0" w:line="63" w:lineRule="exact"/>
        <w:rPr>
          <w:sz w:val="20"/>
          <w:szCs w:val="20"/>
          <w:color w:val="auto"/>
        </w:rPr>
      </w:pPr>
    </w:p>
    <w:p>
      <w:pPr>
        <w:ind w:right="300" w:firstLine="426"/>
        <w:spacing w:after="0" w:line="295" w:lineRule="auto"/>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7"/>
          <w:szCs w:val="17"/>
          <w:color w:val="auto"/>
        </w:rPr>
        <w:t>“</w:t>
      </w:r>
      <w:r>
        <w:rPr>
          <w:rFonts w:ascii="Arial" w:cs="Arial" w:eastAsia="Arial" w:hAnsi="Arial"/>
          <w:sz w:val="17"/>
          <w:szCs w:val="17"/>
          <w:b w:val="1"/>
          <w:bCs w:val="1"/>
          <w:color w:val="auto"/>
        </w:rPr>
        <w:t>Novo Nordisk Proprietary Molecule</w:t>
      </w:r>
      <w:r>
        <w:rPr>
          <w:rFonts w:ascii="Arial" w:cs="Arial" w:eastAsia="Arial" w:hAnsi="Arial"/>
          <w:sz w:val="17"/>
          <w:szCs w:val="17"/>
          <w:color w:val="auto"/>
        </w:rPr>
        <w:t>” means a molecule owned or controlled (other than solely pursuant to a license granted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by Novo Nordisk.</w:t>
      </w:r>
    </w:p>
    <w:p>
      <w:pPr>
        <w:spacing w:after="0" w:line="42" w:lineRule="exact"/>
        <w:rPr>
          <w:sz w:val="20"/>
          <w:szCs w:val="20"/>
          <w:color w:val="auto"/>
        </w:rPr>
      </w:pPr>
    </w:p>
    <w:p>
      <w:pPr>
        <w:ind w:right="120" w:firstLine="426"/>
        <w:spacing w:after="0" w:line="328" w:lineRule="auto"/>
        <w:rPr>
          <w:sz w:val="20"/>
          <w:szCs w:val="20"/>
          <w:color w:val="auto"/>
        </w:rPr>
      </w:pPr>
      <w:r>
        <w:rPr>
          <w:rFonts w:ascii="Arial" w:cs="Arial" w:eastAsia="Arial" w:hAnsi="Arial"/>
          <w:sz w:val="15"/>
          <w:szCs w:val="15"/>
          <w:b w:val="1"/>
          <w:bCs w:val="1"/>
          <w:color w:val="auto"/>
        </w:rPr>
        <w:t xml:space="preserve">1.59 </w:t>
      </w:r>
      <w:r>
        <w:rPr>
          <w:rFonts w:ascii="Arial" w:cs="Arial" w:eastAsia="Arial" w:hAnsi="Arial"/>
          <w:sz w:val="15"/>
          <w:szCs w:val="15"/>
          <w:color w:val="auto"/>
        </w:rPr>
        <w:t>“</w:t>
      </w:r>
      <w:r>
        <w:rPr>
          <w:rFonts w:ascii="Arial" w:cs="Arial" w:eastAsia="Arial" w:hAnsi="Arial"/>
          <w:sz w:val="15"/>
          <w:szCs w:val="15"/>
          <w:b w:val="1"/>
          <w:bCs w:val="1"/>
          <w:color w:val="auto"/>
        </w:rPr>
        <w:t>Patents</w:t>
      </w:r>
      <w:r>
        <w:rPr>
          <w:rFonts w:ascii="Arial" w:cs="Arial" w:eastAsia="Arial" w:hAnsi="Arial"/>
          <w:sz w:val="15"/>
          <w:szCs w:val="15"/>
          <w:color w:val="auto"/>
        </w:rPr>
        <w:t>” means all patents, provisional and non-provisional patent applications, invention certificates, in any country, including any</w:t>
      </w:r>
      <w:r>
        <w:rPr>
          <w:rFonts w:ascii="Arial" w:cs="Arial" w:eastAsia="Arial" w:hAnsi="Arial"/>
          <w:sz w:val="15"/>
          <w:szCs w:val="15"/>
          <w:b w:val="1"/>
          <w:bCs w:val="1"/>
          <w:color w:val="auto"/>
        </w:rPr>
        <w:t xml:space="preserve"> </w:t>
      </w:r>
      <w:r>
        <w:rPr>
          <w:rFonts w:ascii="Arial" w:cs="Arial" w:eastAsia="Arial" w:hAnsi="Arial"/>
          <w:sz w:val="15"/>
          <w:szCs w:val="15"/>
          <w:color w:val="auto"/>
        </w:rPr>
        <w:t>reissues, extensions, patent term extensions, supplementary protection certificates, registrations, divisionals, continuations, continuations-in-part, reexaminations, substitutions or renewals thereof including any and all foreign counterparts thereof. The singular term “</w:t>
      </w:r>
      <w:r>
        <w:rPr>
          <w:rFonts w:ascii="Arial" w:cs="Arial" w:eastAsia="Arial" w:hAnsi="Arial"/>
          <w:sz w:val="15"/>
          <w:szCs w:val="15"/>
          <w:b w:val="1"/>
          <w:bCs w:val="1"/>
          <w:color w:val="auto"/>
        </w:rPr>
        <w:t>Patent</w:t>
      </w:r>
      <w:r>
        <w:rPr>
          <w:rFonts w:ascii="Arial" w:cs="Arial" w:eastAsia="Arial" w:hAnsi="Arial"/>
          <w:sz w:val="15"/>
          <w:szCs w:val="15"/>
          <w:color w:val="auto"/>
        </w:rPr>
        <w:t>” has the same meaning.</w:t>
      </w:r>
    </w:p>
    <w:p>
      <w:pPr>
        <w:spacing w:after="0" w:line="24" w:lineRule="exact"/>
        <w:rPr>
          <w:sz w:val="20"/>
          <w:szCs w:val="20"/>
          <w:color w:val="auto"/>
        </w:rPr>
      </w:pPr>
    </w:p>
    <w:p>
      <w:pPr>
        <w:ind w:right="20" w:firstLine="426"/>
        <w:spacing w:after="0" w:line="295" w:lineRule="auto"/>
        <w:rPr>
          <w:sz w:val="20"/>
          <w:szCs w:val="20"/>
          <w:color w:val="auto"/>
        </w:rPr>
      </w:pPr>
      <w:r>
        <w:rPr>
          <w:rFonts w:ascii="Arial" w:cs="Arial" w:eastAsia="Arial" w:hAnsi="Arial"/>
          <w:sz w:val="17"/>
          <w:szCs w:val="17"/>
          <w:b w:val="1"/>
          <w:bCs w:val="1"/>
          <w:color w:val="auto"/>
        </w:rPr>
        <w:t xml:space="preserve">1.60 </w:t>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person or entity, including any individual, trustee, corporation, partnership, trust, unincorporated organization,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association, firm, joint venture or governmental agency or authority.</w:t>
      </w:r>
    </w:p>
    <w:p>
      <w:pPr>
        <w:spacing w:after="0" w:line="42" w:lineRule="exact"/>
        <w:rPr>
          <w:sz w:val="20"/>
          <w:szCs w:val="20"/>
          <w:color w:val="auto"/>
        </w:rPr>
      </w:pPr>
    </w:p>
    <w:p>
      <w:pPr>
        <w:jc w:val="both"/>
        <w:ind w:right="80" w:firstLine="426"/>
        <w:spacing w:after="0" w:line="300"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color w:val="auto"/>
        </w:rPr>
        <w:t>“</w:t>
      </w:r>
      <w:r>
        <w:rPr>
          <w:rFonts w:ascii="Arial" w:cs="Arial" w:eastAsia="Arial" w:hAnsi="Arial"/>
          <w:sz w:val="16"/>
          <w:szCs w:val="16"/>
          <w:b w:val="1"/>
          <w:bCs w:val="1"/>
          <w:color w:val="auto"/>
        </w:rPr>
        <w:t>Phase I Clinical Trial</w:t>
      </w:r>
      <w:r>
        <w:rPr>
          <w:rFonts w:ascii="Arial" w:cs="Arial" w:eastAsia="Arial" w:hAnsi="Arial"/>
          <w:sz w:val="16"/>
          <w:szCs w:val="16"/>
          <w:color w:val="auto"/>
        </w:rPr>
        <w:t>” means a study in humans, conducted by or on behalf of Novo Nordisk or its Affiliates or sublicensees,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which is a preliminary determination of the safety and/or pharmacokinetics of a pharmaceutical product in healthy individuals or patients, as further described in 21 CFR § 312.21(a) (as may be amended), or a similar human clinical study in a country other than the United States.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60"/>
          </w:cols>
          <w:pgMar w:left="620" w:top="264" w:right="619" w:bottom="1440" w:gutter="0" w:footer="0" w:header="0"/>
        </w:sectPr>
      </w:pPr>
    </w:p>
    <w:bookmarkStart w:id="351" w:name="page352"/>
    <w:bookmarkEnd w:id="351"/>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560" w:firstLine="426"/>
        <w:spacing w:after="0" w:line="295"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any human clinical trial of a product that would satisfy the requirements of 21 CFR § 312.21(b) or its</w:t>
      </w:r>
      <w:r>
        <w:rPr>
          <w:rFonts w:ascii="Arial" w:cs="Arial" w:eastAsia="Arial" w:hAnsi="Arial"/>
          <w:sz w:val="17"/>
          <w:szCs w:val="17"/>
          <w:b w:val="1"/>
          <w:bCs w:val="1"/>
          <w:color w:val="auto"/>
        </w:rPr>
        <w:t xml:space="preserve"> </w:t>
      </w:r>
      <w:r>
        <w:rPr>
          <w:rFonts w:ascii="Arial" w:cs="Arial" w:eastAsia="Arial" w:hAnsi="Arial"/>
          <w:sz w:val="17"/>
          <w:szCs w:val="17"/>
          <w:color w:val="auto"/>
        </w:rPr>
        <w:t>non-United States equivalents.</w:t>
      </w:r>
    </w:p>
    <w:p>
      <w:pPr>
        <w:spacing w:after="0" w:line="42" w:lineRule="exact"/>
        <w:rPr>
          <w:sz w:val="20"/>
          <w:szCs w:val="20"/>
          <w:color w:val="auto"/>
        </w:rPr>
      </w:pPr>
    </w:p>
    <w:p>
      <w:pPr>
        <w:ind w:right="560" w:firstLine="426"/>
        <w:spacing w:after="0" w:line="295"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color w:val="auto"/>
        </w:rPr>
        <w:t>“</w:t>
      </w:r>
      <w:r>
        <w:rPr>
          <w:rFonts w:ascii="Arial" w:cs="Arial" w:eastAsia="Arial" w:hAnsi="Arial"/>
          <w:sz w:val="17"/>
          <w:szCs w:val="17"/>
          <w:b w:val="1"/>
          <w:bCs w:val="1"/>
          <w:color w:val="auto"/>
        </w:rPr>
        <w:t>Phase 3 Clinical Trial</w:t>
      </w:r>
      <w:r>
        <w:rPr>
          <w:rFonts w:ascii="Arial" w:cs="Arial" w:eastAsia="Arial" w:hAnsi="Arial"/>
          <w:sz w:val="17"/>
          <w:szCs w:val="17"/>
          <w:color w:val="auto"/>
        </w:rPr>
        <w:t>” means any human clinical trial of a product that would satisfy the requirements of 21 CFR § 312.21(c) or its</w:t>
      </w:r>
      <w:r>
        <w:rPr>
          <w:rFonts w:ascii="Arial" w:cs="Arial" w:eastAsia="Arial" w:hAnsi="Arial"/>
          <w:sz w:val="17"/>
          <w:szCs w:val="17"/>
          <w:b w:val="1"/>
          <w:bCs w:val="1"/>
          <w:color w:val="auto"/>
        </w:rPr>
        <w:t xml:space="preserve"> </w:t>
      </w:r>
      <w:r>
        <w:rPr>
          <w:rFonts w:ascii="Arial" w:cs="Arial" w:eastAsia="Arial" w:hAnsi="Arial"/>
          <w:sz w:val="17"/>
          <w:szCs w:val="17"/>
          <w:color w:val="auto"/>
        </w:rPr>
        <w:t>non-United States equivalents.</w:t>
      </w:r>
    </w:p>
    <w:p>
      <w:pPr>
        <w:spacing w:after="0" w:line="42" w:lineRule="exact"/>
        <w:rPr>
          <w:sz w:val="20"/>
          <w:szCs w:val="20"/>
          <w:color w:val="auto"/>
        </w:rPr>
      </w:pPr>
    </w:p>
    <w:p>
      <w:pPr>
        <w:ind w:right="280" w:firstLine="426"/>
        <w:spacing w:after="0" w:line="269"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color w:val="auto"/>
        </w:rPr>
        <w:t>“</w:t>
      </w:r>
      <w:r>
        <w:rPr>
          <w:rFonts w:ascii="Arial" w:cs="Arial" w:eastAsia="Arial" w:hAnsi="Arial"/>
          <w:sz w:val="17"/>
          <w:szCs w:val="17"/>
          <w:b w:val="1"/>
          <w:bCs w:val="1"/>
          <w:color w:val="auto"/>
        </w:rPr>
        <w:t>Prosecution and Maintenance</w:t>
      </w:r>
      <w:r>
        <w:rPr>
          <w:rFonts w:ascii="Arial" w:cs="Arial" w:eastAsia="Arial" w:hAnsi="Arial"/>
          <w:sz w:val="17"/>
          <w:szCs w:val="17"/>
          <w:color w:val="auto"/>
        </w:rPr>
        <w:t>” or “</w:t>
      </w:r>
      <w:r>
        <w:rPr>
          <w:rFonts w:ascii="Arial" w:cs="Arial" w:eastAsia="Arial" w:hAnsi="Arial"/>
          <w:sz w:val="17"/>
          <w:szCs w:val="17"/>
          <w:b w:val="1"/>
          <w:bCs w:val="1"/>
          <w:color w:val="auto"/>
        </w:rPr>
        <w:t>Prosecute and Maintain</w:t>
      </w:r>
      <w:r>
        <w:rPr>
          <w:rFonts w:ascii="Arial" w:cs="Arial" w:eastAsia="Arial" w:hAnsi="Arial"/>
          <w:sz w:val="17"/>
          <w:szCs w:val="17"/>
          <w:color w:val="auto"/>
        </w:rPr>
        <w:t>” means, with regard to a given Patent, the preparation, filing, prosecution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maintenance of such Patent, as well as re-examinations, post grant reviews, reissues, inter partes reviews, applications for patent term extensions and the like with respect to such Patent, together with the conduct of interferences and derivation proceedings, the defense of oppositions and other similar proceedings with respect to such Patent.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color w:val="auto"/>
        </w:rPr>
        <w:t>“</w:t>
      </w:r>
      <w:r>
        <w:rPr>
          <w:rFonts w:ascii="Arial" w:cs="Arial" w:eastAsia="Arial" w:hAnsi="Arial"/>
          <w:sz w:val="17"/>
          <w:szCs w:val="17"/>
          <w:b w:val="1"/>
          <w:bCs w:val="1"/>
          <w:color w:val="auto"/>
        </w:rPr>
        <w:t>R&amp;D Collaboration Budget Funding</w:t>
      </w:r>
      <w:r>
        <w:rPr>
          <w:rFonts w:ascii="Arial" w:cs="Arial" w:eastAsia="Arial" w:hAnsi="Arial"/>
          <w:sz w:val="17"/>
          <w:szCs w:val="17"/>
          <w:color w:val="auto"/>
        </w:rPr>
        <w:t>” is defined in Section 3.2(a).</w:t>
      </w:r>
    </w:p>
    <w:p>
      <w:pPr>
        <w:spacing w:after="0" w:line="118" w:lineRule="exact"/>
        <w:rPr>
          <w:sz w:val="20"/>
          <w:szCs w:val="20"/>
          <w:color w:val="auto"/>
        </w:rPr>
      </w:pPr>
    </w:p>
    <w:p>
      <w:pPr>
        <w:ind w:right="180" w:firstLine="426"/>
        <w:spacing w:after="0" w:line="295" w:lineRule="auto"/>
        <w:rPr>
          <w:sz w:val="20"/>
          <w:szCs w:val="20"/>
          <w:color w:val="auto"/>
        </w:rPr>
      </w:pPr>
      <w:r>
        <w:rPr>
          <w:rFonts w:ascii="Arial" w:cs="Arial" w:eastAsia="Arial" w:hAnsi="Arial"/>
          <w:sz w:val="17"/>
          <w:szCs w:val="17"/>
          <w:b w:val="1"/>
          <w:bCs w:val="1"/>
          <w:color w:val="auto"/>
        </w:rPr>
        <w:t xml:space="preserve">1.66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the approvals, licenses, registrations or authorizations of the applicable Regulatory Authority necessary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Commercialization of a product in a country or territory.</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1.67 </w:t>
      </w:r>
      <w:r>
        <w:rPr>
          <w:rFonts w:ascii="Arial" w:cs="Arial" w:eastAsia="Arial" w:hAnsi="Arial"/>
          <w:sz w:val="17"/>
          <w:szCs w:val="17"/>
          <w:color w:val="auto"/>
        </w:rPr>
        <w:t>“</w:t>
      </w:r>
      <w:r>
        <w:rPr>
          <w:rFonts w:ascii="Arial" w:cs="Arial" w:eastAsia="Arial" w:hAnsi="Arial"/>
          <w:sz w:val="17"/>
          <w:szCs w:val="17"/>
          <w:b w:val="1"/>
          <w:bCs w:val="1"/>
          <w:color w:val="auto"/>
        </w:rPr>
        <w:t>Research Collaboration</w:t>
      </w:r>
      <w:r>
        <w:rPr>
          <w:rFonts w:ascii="Arial" w:cs="Arial" w:eastAsia="Arial" w:hAnsi="Arial"/>
          <w:sz w:val="17"/>
          <w:szCs w:val="17"/>
          <w:color w:val="auto"/>
        </w:rPr>
        <w:t>” is defined in Section 2.1(a).</w:t>
      </w:r>
    </w:p>
    <w:p>
      <w:pPr>
        <w:spacing w:after="0" w:line="118" w:lineRule="exact"/>
        <w:rPr>
          <w:sz w:val="20"/>
          <w:szCs w:val="20"/>
          <w:color w:val="auto"/>
        </w:rPr>
      </w:pPr>
    </w:p>
    <w:p>
      <w:pPr>
        <w:ind w:right="140" w:firstLine="426"/>
        <w:spacing w:after="0" w:line="295" w:lineRule="auto"/>
        <w:rPr>
          <w:sz w:val="20"/>
          <w:szCs w:val="20"/>
          <w:color w:val="auto"/>
        </w:rPr>
      </w:pPr>
      <w:r>
        <w:rPr>
          <w:rFonts w:ascii="Arial" w:cs="Arial" w:eastAsia="Arial" w:hAnsi="Arial"/>
          <w:sz w:val="17"/>
          <w:szCs w:val="17"/>
          <w:b w:val="1"/>
          <w:bCs w:val="1"/>
          <w:color w:val="auto"/>
        </w:rPr>
        <w:t xml:space="preserve">1.68 </w:t>
      </w:r>
      <w:r>
        <w:rPr>
          <w:rFonts w:ascii="Arial" w:cs="Arial" w:eastAsia="Arial" w:hAnsi="Arial"/>
          <w:sz w:val="17"/>
          <w:szCs w:val="17"/>
          <w:color w:val="auto"/>
        </w:rPr>
        <w:t>“</w:t>
      </w:r>
      <w:r>
        <w:rPr>
          <w:rFonts w:ascii="Arial" w:cs="Arial" w:eastAsia="Arial" w:hAnsi="Arial"/>
          <w:sz w:val="17"/>
          <w:szCs w:val="17"/>
          <w:b w:val="1"/>
          <w:bCs w:val="1"/>
          <w:color w:val="auto"/>
        </w:rPr>
        <w:t>Research Plan</w:t>
      </w:r>
      <w:r>
        <w:rPr>
          <w:rFonts w:ascii="Arial" w:cs="Arial" w:eastAsia="Arial" w:hAnsi="Arial"/>
          <w:sz w:val="17"/>
          <w:szCs w:val="17"/>
          <w:color w:val="auto"/>
        </w:rPr>
        <w:t>” means the written research and development plan attached as Exhibit C as may be adopted and updated from time-to-time</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Section 2.6.</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1.69 </w:t>
      </w:r>
      <w:r>
        <w:rPr>
          <w:rFonts w:ascii="Arial" w:cs="Arial" w:eastAsia="Arial" w:hAnsi="Arial"/>
          <w:sz w:val="17"/>
          <w:szCs w:val="17"/>
          <w:color w:val="auto"/>
        </w:rPr>
        <w:t>“</w:t>
      </w:r>
      <w:r>
        <w:rPr>
          <w:rFonts w:ascii="Arial" w:cs="Arial" w:eastAsia="Arial" w:hAnsi="Arial"/>
          <w:sz w:val="17"/>
          <w:szCs w:val="17"/>
          <w:b w:val="1"/>
          <w:bCs w:val="1"/>
          <w:color w:val="auto"/>
        </w:rPr>
        <w:t>Receiving Party</w:t>
      </w:r>
      <w:r>
        <w:rPr>
          <w:rFonts w:ascii="Arial" w:cs="Arial" w:eastAsia="Arial" w:hAnsi="Arial"/>
          <w:sz w:val="17"/>
          <w:szCs w:val="17"/>
          <w:color w:val="auto"/>
        </w:rPr>
        <w:t>” is defined in Section 8.1.</w:t>
      </w:r>
    </w:p>
    <w:p>
      <w:pPr>
        <w:spacing w:after="0" w:line="118" w:lineRule="exact"/>
        <w:rPr>
          <w:sz w:val="20"/>
          <w:szCs w:val="20"/>
          <w:color w:val="auto"/>
        </w:rPr>
      </w:pPr>
    </w:p>
    <w:p>
      <w:pPr>
        <w:ind w:right="100" w:firstLine="426"/>
        <w:spacing w:after="0" w:line="295" w:lineRule="auto"/>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 the FDA; (b) the EMA; or (c) any regulatory body performing similar functions in any jurisdiction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United States and the European Union.</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w:t>
      </w:r>
      <w:r>
        <w:rPr>
          <w:rFonts w:ascii="Arial" w:cs="Arial" w:eastAsia="Arial" w:hAnsi="Arial"/>
          <w:sz w:val="16"/>
          <w:szCs w:val="16"/>
          <w:b w:val="1"/>
          <w:bCs w:val="1"/>
          <w:color w:val="auto"/>
        </w:rPr>
        <w:t>Selected Existing Ligand Trap</w:t>
      </w:r>
      <w:r>
        <w:rPr>
          <w:rFonts w:ascii="Arial" w:cs="Arial" w:eastAsia="Arial" w:hAnsi="Arial"/>
          <w:sz w:val="16"/>
          <w:szCs w:val="16"/>
          <w:color w:val="auto"/>
        </w:rPr>
        <w:t>” means an Existing Ligand Trap which is selected by Novo Nordisk prior to or as of the Effective Date.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color w:val="auto"/>
        </w:rPr>
        <w:t>“</w:t>
      </w:r>
      <w:r>
        <w:rPr>
          <w:rFonts w:ascii="Arial" w:cs="Arial" w:eastAsia="Arial" w:hAnsi="Arial"/>
          <w:sz w:val="17"/>
          <w:szCs w:val="17"/>
          <w:b w:val="1"/>
          <w:bCs w:val="1"/>
          <w:color w:val="auto"/>
        </w:rPr>
        <w:t>Selected Ligand Trap</w:t>
      </w:r>
      <w:r>
        <w:rPr>
          <w:rFonts w:ascii="Arial" w:cs="Arial" w:eastAsia="Arial" w:hAnsi="Arial"/>
          <w:sz w:val="17"/>
          <w:szCs w:val="17"/>
          <w:color w:val="auto"/>
        </w:rPr>
        <w:t>” means a Selected Existing Ligand Trap and/or Selected New Ligand Trap(s). [***].</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1.73 </w:t>
      </w:r>
      <w:r>
        <w:rPr>
          <w:rFonts w:ascii="Arial" w:cs="Arial" w:eastAsia="Arial" w:hAnsi="Arial"/>
          <w:sz w:val="17"/>
          <w:szCs w:val="17"/>
          <w:color w:val="auto"/>
        </w:rPr>
        <w:t>“</w:t>
      </w:r>
      <w:r>
        <w:rPr>
          <w:rFonts w:ascii="Arial" w:cs="Arial" w:eastAsia="Arial" w:hAnsi="Arial"/>
          <w:sz w:val="17"/>
          <w:szCs w:val="17"/>
          <w:b w:val="1"/>
          <w:bCs w:val="1"/>
          <w:color w:val="auto"/>
        </w:rPr>
        <w:t>Selected Ligand Traps-Specific Patents</w:t>
      </w:r>
      <w:r>
        <w:rPr>
          <w:rFonts w:ascii="Arial" w:cs="Arial" w:eastAsia="Arial" w:hAnsi="Arial"/>
          <w:sz w:val="17"/>
          <w:szCs w:val="17"/>
          <w:color w:val="auto"/>
        </w:rPr>
        <w:t>” is defined in Section 6.2(a)(i).</w:t>
      </w:r>
    </w:p>
    <w:p>
      <w:pPr>
        <w:spacing w:after="0" w:line="118" w:lineRule="exact"/>
        <w:rPr>
          <w:sz w:val="20"/>
          <w:szCs w:val="20"/>
          <w:color w:val="auto"/>
        </w:rPr>
      </w:pPr>
    </w:p>
    <w:p>
      <w:pPr>
        <w:jc w:val="both"/>
        <w:ind w:right="80" w:firstLine="426"/>
        <w:spacing w:after="0" w:line="275" w:lineRule="auto"/>
        <w:rPr>
          <w:sz w:val="20"/>
          <w:szCs w:val="20"/>
          <w:color w:val="auto"/>
        </w:rPr>
      </w:pPr>
      <w:r>
        <w:rPr>
          <w:rFonts w:ascii="Arial" w:cs="Arial" w:eastAsia="Arial" w:hAnsi="Arial"/>
          <w:sz w:val="17"/>
          <w:szCs w:val="17"/>
          <w:b w:val="1"/>
          <w:bCs w:val="1"/>
          <w:color w:val="auto"/>
        </w:rPr>
        <w:t xml:space="preserve">1.74 </w:t>
      </w:r>
      <w:r>
        <w:rPr>
          <w:rFonts w:ascii="Arial" w:cs="Arial" w:eastAsia="Arial" w:hAnsi="Arial"/>
          <w:sz w:val="17"/>
          <w:szCs w:val="17"/>
          <w:color w:val="auto"/>
        </w:rPr>
        <w:t>“</w:t>
      </w:r>
      <w:r>
        <w:rPr>
          <w:rFonts w:ascii="Arial" w:cs="Arial" w:eastAsia="Arial" w:hAnsi="Arial"/>
          <w:sz w:val="17"/>
          <w:szCs w:val="17"/>
          <w:b w:val="1"/>
          <w:bCs w:val="1"/>
          <w:color w:val="auto"/>
        </w:rPr>
        <w:t>Selected New Ligand Trap(s)</w:t>
      </w:r>
      <w:r>
        <w:rPr>
          <w:rFonts w:ascii="Arial" w:cs="Arial" w:eastAsia="Arial" w:hAnsi="Arial"/>
          <w:sz w:val="17"/>
          <w:szCs w:val="17"/>
          <w:color w:val="auto"/>
        </w:rPr>
        <w:t>” means one (1) or two (2) New Ligand Traps which are selected by Novo Nordisk during the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Term. For the avoidance of doubt, the unique Ligand Binder of a Selected New Ligand Trap coupled with various Conserved Carriers shall be deemed a “Selected New Ligand Trap”.</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1.75 </w:t>
      </w:r>
      <w:r>
        <w:rPr>
          <w:rFonts w:ascii="Arial" w:cs="Arial" w:eastAsia="Arial" w:hAnsi="Arial"/>
          <w:sz w:val="17"/>
          <w:szCs w:val="17"/>
          <w:color w:val="auto"/>
        </w:rPr>
        <w:t>“</w:t>
      </w:r>
      <w:r>
        <w:rPr>
          <w:rFonts w:ascii="Arial" w:cs="Arial" w:eastAsia="Arial" w:hAnsi="Arial"/>
          <w:sz w:val="17"/>
          <w:szCs w:val="17"/>
          <w:b w:val="1"/>
          <w:bCs w:val="1"/>
          <w:color w:val="auto"/>
        </w:rPr>
        <w:t>Technology Transfer</w:t>
      </w:r>
      <w:r>
        <w:rPr>
          <w:rFonts w:ascii="Arial" w:cs="Arial" w:eastAsia="Arial" w:hAnsi="Arial"/>
          <w:sz w:val="17"/>
          <w:szCs w:val="17"/>
          <w:color w:val="auto"/>
        </w:rPr>
        <w:t>” is defined in Section 2.12.</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1.76 </w:t>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all countries of the world.</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60"/>
          </w:cols>
          <w:pgMar w:left="620" w:top="264" w:right="6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Person other than a Party or an Affiliate of a Party.</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1.78 </w:t>
      </w:r>
      <w:r>
        <w:rPr>
          <w:rFonts w:ascii="Arial" w:cs="Arial" w:eastAsia="Arial" w:hAnsi="Arial"/>
          <w:sz w:val="17"/>
          <w:szCs w:val="17"/>
          <w:color w:val="auto"/>
        </w:rPr>
        <w:t>“</w:t>
      </w:r>
      <w:r>
        <w:rPr>
          <w:rFonts w:ascii="Arial" w:cs="Arial" w:eastAsia="Arial" w:hAnsi="Arial"/>
          <w:sz w:val="17"/>
          <w:szCs w:val="17"/>
          <w:b w:val="1"/>
          <w:bCs w:val="1"/>
          <w:color w:val="auto"/>
        </w:rPr>
        <w:t>Third Party R&amp;D Rights</w:t>
      </w:r>
      <w:r>
        <w:rPr>
          <w:rFonts w:ascii="Arial" w:cs="Arial" w:eastAsia="Arial" w:hAnsi="Arial"/>
          <w:sz w:val="17"/>
          <w:szCs w:val="17"/>
          <w:color w:val="auto"/>
        </w:rPr>
        <w:t>” means intellectual property rights to Selected Ligand Traps that are held by Third Parties.</w:t>
      </w:r>
    </w:p>
    <w:p>
      <w:pPr>
        <w:spacing w:after="0" w:line="118" w:lineRule="exact"/>
        <w:rPr>
          <w:sz w:val="20"/>
          <w:szCs w:val="20"/>
          <w:color w:val="auto"/>
        </w:rPr>
      </w:pPr>
    </w:p>
    <w:p>
      <w:pPr>
        <w:ind w:right="20" w:firstLine="426"/>
        <w:spacing w:after="0" w:line="283" w:lineRule="auto"/>
        <w:rPr>
          <w:sz w:val="20"/>
          <w:szCs w:val="20"/>
          <w:color w:val="auto"/>
        </w:rPr>
      </w:pPr>
      <w:r>
        <w:rPr>
          <w:rFonts w:ascii="Arial" w:cs="Arial" w:eastAsia="Arial" w:hAnsi="Arial"/>
          <w:sz w:val="16"/>
          <w:szCs w:val="16"/>
          <w:b w:val="1"/>
          <w:bCs w:val="1"/>
          <w:color w:val="auto"/>
        </w:rPr>
        <w:t xml:space="preserve">1.79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 Patent that is (a) issued and not expired or lapsed, which claim has not been (i) cancelled, withdrawn,</w:t>
      </w:r>
      <w:r>
        <w:rPr>
          <w:rFonts w:ascii="Arial" w:cs="Arial" w:eastAsia="Arial" w:hAnsi="Arial"/>
          <w:sz w:val="16"/>
          <w:szCs w:val="16"/>
          <w:b w:val="1"/>
          <w:bCs w:val="1"/>
          <w:color w:val="auto"/>
        </w:rPr>
        <w:t xml:space="preserve"> </w:t>
      </w:r>
      <w:r>
        <w:rPr>
          <w:rFonts w:ascii="Arial" w:cs="Arial" w:eastAsia="Arial" w:hAnsi="Arial"/>
          <w:sz w:val="16"/>
          <w:szCs w:val="16"/>
          <w:color w:val="auto"/>
        </w:rPr>
        <w:t>abandoned, dedicated to the public, admitted to be invalid or unenforceable or (ii) formally revoked or held invalid, unpatentable or unenforceable by a patent office, tribunal, court or other governmental agency of competent jurisdiction in a final and non-appealable judgment (or judgment from which no appeal was taken within the allowable time period) or (b) in a pending patent application, which application (i) has not been pending for more than [***] and (ii) has not been (A) rejected, cancelled, withdrawn, or abandoned, without the possibility of continued prosecution or (B) finally determined to be unallowable in a decision from which an appeal has not and can no longer be taken.</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Research Collaboration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2.1 Research Collaboration Overview; Diligence</w:t>
      </w:r>
      <w:r>
        <w:rPr>
          <w:rFonts w:ascii="Arial" w:cs="Arial" w:eastAsia="Arial" w:hAnsi="Arial"/>
          <w:sz w:val="17"/>
          <w:szCs w:val="17"/>
          <w:color w:val="auto"/>
        </w:rPr>
        <w:t>.</w:t>
      </w:r>
    </w:p>
    <w:p>
      <w:pPr>
        <w:spacing w:after="0" w:line="118" w:lineRule="exact"/>
        <w:rPr>
          <w:sz w:val="20"/>
          <w:szCs w:val="20"/>
          <w:color w:val="auto"/>
        </w:rPr>
      </w:pPr>
    </w:p>
    <w:p>
      <w:pPr>
        <w:ind w:right="20" w:firstLine="957"/>
        <w:spacing w:after="0" w:line="283" w:lineRule="auto"/>
        <w:tabs>
          <w:tab w:leader="none" w:pos="1205"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t>The Parties shall conduct a research collaboration (the “</w:t>
      </w:r>
      <w:r>
        <w:rPr>
          <w:rFonts w:ascii="Arial" w:cs="Arial" w:eastAsia="Arial" w:hAnsi="Arial"/>
          <w:sz w:val="16"/>
          <w:szCs w:val="16"/>
          <w:b w:val="1"/>
          <w:bCs w:val="1"/>
          <w:color w:val="auto"/>
        </w:rPr>
        <w:t>Research Collaboration</w:t>
      </w:r>
      <w:r>
        <w:rPr>
          <w:rFonts w:ascii="Arial" w:cs="Arial" w:eastAsia="Arial" w:hAnsi="Arial"/>
          <w:sz w:val="16"/>
          <w:szCs w:val="16"/>
          <w:color w:val="auto"/>
        </w:rPr>
        <w:t>”) under which they will work together during the Collaboration Term for the discovery and development of Ligand Traps pursuant to the Research Plan. The primary goal of the Research Collaboration is for Keros to generate New Ligand Traps and for Novo Nordisk to further develop certain New Ligand Traps that it selects as Selected Ligand Traps. If Keros during this Research Collaboration successfully identifies and optimises one or more New Ligand Trap(s) in accordance with the Research Plan, Novo Nordisk has the right in its discretion to select such New Ligand Trap(s) pursuant to Section 2.2(b) and be responsible for the further development of such Selected New Ligand Trap(s) and Commercialization of Licensed Products.</w:t>
      </w:r>
    </w:p>
    <w:p>
      <w:pPr>
        <w:spacing w:after="0" w:line="61" w:lineRule="exact"/>
        <w:rPr>
          <w:rFonts w:ascii="Arial" w:cs="Arial" w:eastAsia="Arial" w:hAnsi="Arial"/>
          <w:sz w:val="16"/>
          <w:szCs w:val="16"/>
          <w:b w:val="1"/>
          <w:bCs w:val="1"/>
          <w:color w:val="auto"/>
        </w:rPr>
      </w:pPr>
    </w:p>
    <w:p>
      <w:pPr>
        <w:ind w:right="420" w:firstLine="957"/>
        <w:spacing w:after="0" w:line="287" w:lineRule="auto"/>
        <w:tabs>
          <w:tab w:leader="none" w:pos="1215"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On a Ligand Trap-by-Ligand Trap basis, during the Collaboration Term, each Party shall use Commercially Reasonable Efforts to conduct research and development of New Ligand Traps in accordance with the Research Plan.</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2.2 New Ligand Traps</w:t>
      </w:r>
      <w:r>
        <w:rPr>
          <w:rFonts w:ascii="Arial" w:cs="Arial" w:eastAsia="Arial" w:hAnsi="Arial"/>
          <w:sz w:val="17"/>
          <w:szCs w:val="17"/>
          <w:color w:val="auto"/>
        </w:rPr>
        <w:t>.</w:t>
      </w:r>
    </w:p>
    <w:p>
      <w:pPr>
        <w:spacing w:after="0" w:line="124" w:lineRule="exact"/>
        <w:rPr>
          <w:sz w:val="20"/>
          <w:szCs w:val="20"/>
          <w:color w:val="auto"/>
        </w:rPr>
      </w:pPr>
    </w:p>
    <w:p>
      <w:pPr>
        <w:ind w:right="120" w:firstLine="957"/>
        <w:spacing w:after="0" w:line="320" w:lineRule="auto"/>
        <w:tabs>
          <w:tab w:leader="none" w:pos="1205" w:val="left"/>
        </w:tabs>
        <w:numPr>
          <w:ilvl w:val="0"/>
          <w:numId w:val="287"/>
        </w:numPr>
        <w:rPr>
          <w:rFonts w:ascii="Arial" w:cs="Arial" w:eastAsia="Arial" w:hAnsi="Arial"/>
          <w:sz w:val="16"/>
          <w:szCs w:val="16"/>
          <w:b w:val="1"/>
          <w:bCs w:val="1"/>
          <w:color w:val="auto"/>
        </w:rPr>
      </w:pPr>
      <w:r>
        <w:rPr>
          <w:rFonts w:ascii="Arial" w:cs="Arial" w:eastAsia="Arial" w:hAnsi="Arial"/>
          <w:sz w:val="16"/>
          <w:szCs w:val="16"/>
          <w:color w:val="auto"/>
        </w:rPr>
        <w:t>During the Collaboration Term, Keros shall present to the JSC New Ligand Traps and all scientific data supporting New Ligand Traps as set forth in Exhibit D prior to Keros’ commencement of validation activities (each, a “</w:t>
      </w:r>
      <w:r>
        <w:rPr>
          <w:rFonts w:ascii="Arial" w:cs="Arial" w:eastAsia="Arial" w:hAnsi="Arial"/>
          <w:sz w:val="16"/>
          <w:szCs w:val="16"/>
          <w:b w:val="1"/>
          <w:bCs w:val="1"/>
          <w:color w:val="auto"/>
        </w:rPr>
        <w:t>New Ligand Traps Information Package</w:t>
      </w:r>
      <w:r>
        <w:rPr>
          <w:rFonts w:ascii="Arial" w:cs="Arial" w:eastAsia="Arial" w:hAnsi="Arial"/>
          <w:sz w:val="16"/>
          <w:szCs w:val="16"/>
          <w:color w:val="auto"/>
        </w:rPr>
        <w:t>”).</w:t>
      </w:r>
    </w:p>
    <w:p>
      <w:pPr>
        <w:spacing w:after="0" w:line="31" w:lineRule="exact"/>
        <w:rPr>
          <w:rFonts w:ascii="Arial" w:cs="Arial" w:eastAsia="Arial" w:hAnsi="Arial"/>
          <w:sz w:val="16"/>
          <w:szCs w:val="16"/>
          <w:b w:val="1"/>
          <w:bCs w:val="1"/>
          <w:color w:val="auto"/>
        </w:rPr>
      </w:pPr>
    </w:p>
    <w:p>
      <w:pPr>
        <w:ind w:right="80" w:firstLine="957"/>
        <w:spacing w:after="0" w:line="324" w:lineRule="auto"/>
        <w:tabs>
          <w:tab w:leader="none" w:pos="1215" w:val="left"/>
        </w:tabs>
        <w:numPr>
          <w:ilvl w:val="0"/>
          <w:numId w:val="287"/>
        </w:numPr>
        <w:rPr>
          <w:rFonts w:ascii="Arial" w:cs="Arial" w:eastAsia="Arial" w:hAnsi="Arial"/>
          <w:sz w:val="15"/>
          <w:szCs w:val="15"/>
          <w:b w:val="1"/>
          <w:bCs w:val="1"/>
          <w:color w:val="auto"/>
        </w:rPr>
      </w:pPr>
      <w:r>
        <w:rPr>
          <w:rFonts w:ascii="Arial" w:cs="Arial" w:eastAsia="Arial" w:hAnsi="Arial"/>
          <w:sz w:val="15"/>
          <w:szCs w:val="15"/>
          <w:color w:val="auto"/>
        </w:rPr>
        <w:t>Novo Nordisk shall have the right to select [***] New Ligand Traps (based on the applicable New Ligand Traps Information Package) proposed by Keros to the JSC and include the Selected New Ligand Traps under the license set forth in Section 5.1 by notifying Keros of such election within [***] after (i) Keros provides the applicable New Ligand Traps Information Package to the JSC; or (ii) the end of the Collaboration Term. [***].</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60"/>
          </w:cols>
          <w:pgMar w:left="620" w:top="264" w:right="619" w:bottom="1440" w:gutter="0" w:footer="0" w:header="0"/>
        </w:sectPr>
      </w:pPr>
    </w:p>
    <w:bookmarkStart w:id="353" w:name="page354"/>
    <w:bookmarkEnd w:id="35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560" w:firstLine="957"/>
        <w:spacing w:after="0" w:line="287" w:lineRule="auto"/>
        <w:tabs>
          <w:tab w:leader="none" w:pos="1195"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Novo Nordisk shall have the right to modify any part of the Conserved Carrier of any Selected New Ligand Trap(s) but may not modify the Ligand Binder of the Selected New Ligand Trap(s).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2.3 Declined Ligand Traps</w:t>
      </w:r>
      <w:r>
        <w:rPr>
          <w:rFonts w:ascii="Arial" w:cs="Arial" w:eastAsia="Arial" w:hAnsi="Arial"/>
          <w:sz w:val="17"/>
          <w:szCs w:val="17"/>
          <w:color w:val="auto"/>
        </w:rPr>
        <w:t>.</w:t>
      </w:r>
    </w:p>
    <w:p>
      <w:pPr>
        <w:spacing w:after="0" w:line="118" w:lineRule="exact"/>
        <w:rPr>
          <w:sz w:val="20"/>
          <w:szCs w:val="20"/>
          <w:color w:val="auto"/>
        </w:rPr>
      </w:pPr>
    </w:p>
    <w:p>
      <w:pPr>
        <w:ind w:right="80" w:firstLine="957"/>
        <w:spacing w:after="0" w:line="275" w:lineRule="auto"/>
        <w:tabs>
          <w:tab w:leader="none" w:pos="1205"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As of the Effective Date, the Existing Ligand Trap not selected by Novo Nordisk, is deemed a “</w:t>
      </w:r>
      <w:r>
        <w:rPr>
          <w:rFonts w:ascii="Arial" w:cs="Arial" w:eastAsia="Arial" w:hAnsi="Arial"/>
          <w:sz w:val="17"/>
          <w:szCs w:val="17"/>
          <w:b w:val="1"/>
          <w:bCs w:val="1"/>
          <w:color w:val="auto"/>
        </w:rPr>
        <w:t>Declined Ligand Trap</w:t>
      </w:r>
      <w:r>
        <w:rPr>
          <w:rFonts w:ascii="Arial" w:cs="Arial" w:eastAsia="Arial" w:hAnsi="Arial"/>
          <w:sz w:val="17"/>
          <w:szCs w:val="17"/>
          <w:color w:val="auto"/>
        </w:rPr>
        <w:t>”. Furthermore, any New Ligand Trap(s) proposed by Keros to the JSC which are not selected by Novo Nordisk under Section 2.2(b) as Selected New Ligand Trap(s) are also deemed a “</w:t>
      </w:r>
      <w:r>
        <w:rPr>
          <w:rFonts w:ascii="Arial" w:cs="Arial" w:eastAsia="Arial" w:hAnsi="Arial"/>
          <w:sz w:val="17"/>
          <w:szCs w:val="17"/>
          <w:b w:val="1"/>
          <w:bCs w:val="1"/>
          <w:color w:val="auto"/>
        </w:rPr>
        <w:t>Declined Ligand Trap</w:t>
      </w:r>
      <w:r>
        <w:rPr>
          <w:rFonts w:ascii="Arial" w:cs="Arial" w:eastAsia="Arial" w:hAnsi="Arial"/>
          <w:sz w:val="17"/>
          <w:szCs w:val="17"/>
          <w:color w:val="auto"/>
        </w:rPr>
        <w:t>”.</w:t>
      </w:r>
    </w:p>
    <w:p>
      <w:pPr>
        <w:spacing w:after="0" w:line="65" w:lineRule="exact"/>
        <w:rPr>
          <w:rFonts w:ascii="Arial" w:cs="Arial" w:eastAsia="Arial" w:hAnsi="Arial"/>
          <w:sz w:val="17"/>
          <w:szCs w:val="17"/>
          <w:b w:val="1"/>
          <w:bCs w:val="1"/>
          <w:color w:val="auto"/>
        </w:rPr>
      </w:pPr>
    </w:p>
    <w:p>
      <w:pPr>
        <w:ind w:right="40" w:firstLine="957"/>
        <w:spacing w:after="0" w:line="264" w:lineRule="auto"/>
        <w:tabs>
          <w:tab w:leader="none" w:pos="1215"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For the avoidance of doubt, Novo Nordisk shall have the right to propose to the JSC that any New Ligand Traps for which a New Ligand Traps Information Package has not been completed and/or which have not been already been presented to the JSC per 2.2(b) be given a low priority with regard to ongoing Research Collaboration research efforts (e.g., FTE allocation and utilization of funds), and such priority proposal shall not be construed as Novo Nordisk declining such New Ligand Traps (i.e., such Ligand Trap shall not as a consequence of such prioritization proposal be designated a Declined Ligand Trap).</w:t>
      </w:r>
    </w:p>
    <w:p>
      <w:pPr>
        <w:spacing w:after="0" w:line="73" w:lineRule="exact"/>
        <w:rPr>
          <w:rFonts w:ascii="Arial" w:cs="Arial" w:eastAsia="Arial" w:hAnsi="Arial"/>
          <w:sz w:val="17"/>
          <w:szCs w:val="17"/>
          <w:b w:val="1"/>
          <w:bCs w:val="1"/>
          <w:color w:val="auto"/>
        </w:rPr>
      </w:pPr>
    </w:p>
    <w:p>
      <w:pPr>
        <w:ind w:right="20" w:firstLine="957"/>
        <w:spacing w:after="0" w:line="262" w:lineRule="auto"/>
        <w:tabs>
          <w:tab w:leader="none" w:pos="1195"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Declined Ligand Traps shall be excluded from the Research Collaboration and, subject to Keros’ exclusivity obligations as described in Section 2.7 with respect to any Declined Ligand Traps, Keros shall have the right to license to a Third Party or otherwise transfer the rights to Declined Ligand Traps. If Keros licenses or otherwise transfers any such Declined Ligand Traps to a Third Party, then such Third Party terms may not conflict with or limit Novo Nordisk’s rights under this Agreement. Any license granted to a Third Party in connection with such license or transfer to a Third Party of a Declined Ligand Trap may not include a license or access to Keros Background IP and Keros New Ligand Trap IP beyond that reasonably related to the applicable Declined Ligand Traps.</w:t>
      </w:r>
    </w:p>
    <w:p>
      <w:pPr>
        <w:spacing w:after="0" w:line="77" w:lineRule="exact"/>
        <w:rPr>
          <w:rFonts w:ascii="Arial" w:cs="Arial" w:eastAsia="Arial" w:hAnsi="Arial"/>
          <w:sz w:val="17"/>
          <w:szCs w:val="17"/>
          <w:b w:val="1"/>
          <w:bCs w:val="1"/>
          <w:color w:val="auto"/>
        </w:rPr>
      </w:pPr>
    </w:p>
    <w:p>
      <w:pPr>
        <w:ind w:right="40" w:firstLine="957"/>
        <w:spacing w:after="0" w:line="262" w:lineRule="auto"/>
        <w:tabs>
          <w:tab w:leader="none" w:pos="1215"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If Keros expends Keros resources to research and/or develop a Declined Ligand Trap after the date on which such Ligand Trap became a Declined Ligand Trap pursuant to Section 2.3(a), Keros’ fully burdened costs, including overhead costs and Third Party license payments, expended to research and/or develop such Declined Ligand Traps after such time shall be borne by Keros. For the avoidance of doubt, after the designation of a Ligand Trap as a Declined Ligand Trap, payments made by Novo Nordisk as set forth in Section 3.2 shall only be used for the Research Collaboration and not for work on Declined Ligand Traps and the personnel costs attributable to efforts spent by Keros personnel on Declined Ligand Traps shall not be allocated against the R&amp;D Collaboration Budget Funding.</w:t>
      </w:r>
    </w:p>
    <w:p>
      <w:pPr>
        <w:spacing w:after="0" w:line="71" w:lineRule="exact"/>
        <w:rPr>
          <w:sz w:val="20"/>
          <w:szCs w:val="20"/>
          <w:color w:val="auto"/>
        </w:rPr>
      </w:pPr>
    </w:p>
    <w:p>
      <w:pPr>
        <w:jc w:val="both"/>
        <w:ind w:right="360" w:firstLine="426"/>
        <w:spacing w:after="0" w:line="275" w:lineRule="auto"/>
        <w:rPr>
          <w:sz w:val="20"/>
          <w:szCs w:val="20"/>
          <w:color w:val="auto"/>
        </w:rPr>
      </w:pPr>
      <w:r>
        <w:rPr>
          <w:rFonts w:ascii="Arial" w:cs="Arial" w:eastAsia="Arial" w:hAnsi="Arial"/>
          <w:sz w:val="17"/>
          <w:szCs w:val="17"/>
          <w:b w:val="1"/>
          <w:bCs w:val="1"/>
          <w:color w:val="auto"/>
        </w:rPr>
        <w:t>2.4 Third Party R&amp;D Rights</w:t>
      </w:r>
      <w:r>
        <w:rPr>
          <w:rFonts w:ascii="Arial" w:cs="Arial" w:eastAsia="Arial" w:hAnsi="Arial"/>
          <w:sz w:val="17"/>
          <w:szCs w:val="17"/>
          <w:color w:val="auto"/>
        </w:rPr>
        <w:t>. During the Collaboration Term, Keros shall notify the JSC if Keros believes a license to any Third Party R&amp;D</w:t>
      </w:r>
      <w:r>
        <w:rPr>
          <w:rFonts w:ascii="Arial" w:cs="Arial" w:eastAsia="Arial" w:hAnsi="Arial"/>
          <w:sz w:val="17"/>
          <w:szCs w:val="17"/>
          <w:b w:val="1"/>
          <w:bCs w:val="1"/>
          <w:color w:val="auto"/>
        </w:rPr>
        <w:t xml:space="preserve"> </w:t>
      </w:r>
      <w:r>
        <w:rPr>
          <w:rFonts w:ascii="Arial" w:cs="Arial" w:eastAsia="Arial" w:hAnsi="Arial"/>
          <w:sz w:val="17"/>
          <w:szCs w:val="17"/>
          <w:color w:val="auto"/>
        </w:rPr>
        <w:t>Rights would be useful to advance research and development activities under this Agreement, and Keros shall submit to the JSC a written proposal detailing the value and potential license terms for such Third Party R&amp;D Rights.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60"/>
          </w:cols>
          <w:pgMar w:left="620" w:top="264" w:right="619" w:bottom="1440" w:gutter="0" w:footer="0" w:header="0"/>
        </w:sectPr>
      </w:pPr>
    </w:p>
    <w:bookmarkStart w:id="354" w:name="page355"/>
    <w:bookmarkEnd w:id="354"/>
    <w:p>
      <w:pPr>
        <w:ind w:left="8762"/>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left="2" w:right="60"/>
        <w:spacing w:after="0" w:line="280" w:lineRule="auto"/>
        <w:rPr>
          <w:sz w:val="20"/>
          <w:szCs w:val="20"/>
          <w:color w:val="auto"/>
        </w:rPr>
      </w:pPr>
      <w:r>
        <w:rPr>
          <w:rFonts w:ascii="Arial" w:cs="Arial" w:eastAsia="Arial" w:hAnsi="Arial"/>
          <w:sz w:val="16"/>
          <w:szCs w:val="16"/>
          <w:color w:val="auto"/>
        </w:rPr>
        <w:t xml:space="preserve">Thereafter, the JSC shall evaluate Keros’ proposal and, if the JSC unanimously approves such proposal, Keros may license or otherwise acquire Control of such Third Party R&amp;D Rights on the terms and conditions specified in Keros’ written proposal to the JSC within [***] after JSC’s approval thereof; provided that, Novo Nordisk shall have the right to approve Third Parties performing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in order to ensure compliance with Novo Nordisk Principles for the Use of Animals set forth in Exhibit E. Novo Nordisk shall require that its JSC representatives not unreasonably withhold, delay or condition their approval of any such proposal, provided that Novo Nordisk’s JSC representatives shall have the right to decline a license to any Third Party R&amp;D Rights based on the financial obligations that would be owned to a Third Party by Novo Nordisk. [***] responsible for payment of any license fees, royalties and other expenses owing for exploitation of such Third Party R&amp;D Rights.</w:t>
      </w:r>
    </w:p>
    <w:p>
      <w:pPr>
        <w:spacing w:after="0" w:line="58" w:lineRule="exact"/>
        <w:rPr>
          <w:sz w:val="20"/>
          <w:szCs w:val="20"/>
          <w:color w:val="auto"/>
        </w:rPr>
      </w:pPr>
    </w:p>
    <w:p>
      <w:pPr>
        <w:ind w:left="2" w:right="40" w:firstLine="426"/>
        <w:spacing w:after="0" w:line="294" w:lineRule="auto"/>
        <w:rPr>
          <w:sz w:val="20"/>
          <w:szCs w:val="20"/>
          <w:color w:val="auto"/>
        </w:rPr>
      </w:pPr>
      <w:r>
        <w:rPr>
          <w:rFonts w:ascii="Arial" w:cs="Arial" w:eastAsia="Arial" w:hAnsi="Arial"/>
          <w:sz w:val="15"/>
          <w:szCs w:val="15"/>
          <w:b w:val="1"/>
          <w:bCs w:val="1"/>
          <w:color w:val="auto"/>
        </w:rPr>
        <w:t>2.5 Collaboration Term</w:t>
      </w:r>
      <w:r>
        <w:rPr>
          <w:rFonts w:ascii="Arial" w:cs="Arial" w:eastAsia="Arial" w:hAnsi="Arial"/>
          <w:sz w:val="15"/>
          <w:szCs w:val="15"/>
          <w:color w:val="auto"/>
        </w:rPr>
        <w:t>. The term of the Research Collaboration (the “</w:t>
      </w:r>
      <w:r>
        <w:rPr>
          <w:rFonts w:ascii="Arial" w:cs="Arial" w:eastAsia="Arial" w:hAnsi="Arial"/>
          <w:sz w:val="15"/>
          <w:szCs w:val="15"/>
          <w:b w:val="1"/>
          <w:bCs w:val="1"/>
          <w:color w:val="auto"/>
        </w:rPr>
        <w:t>Collaboration Term</w:t>
      </w:r>
      <w:r>
        <w:rPr>
          <w:rFonts w:ascii="Arial" w:cs="Arial" w:eastAsia="Arial" w:hAnsi="Arial"/>
          <w:sz w:val="15"/>
          <w:szCs w:val="15"/>
          <w:color w:val="auto"/>
        </w:rPr>
        <w:t>”) shall commence on the Effective Date and</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 until (a) the second anniversary of the Effective Date or, if Novo Nordisk elects to extend the term of the Research Collaboration to a third Collaboration Year as set forth in this Section 2.5, the third anniversary of the Effective Date, or (b) such earlier time as this Agreement is terminated pursuant to Article 10. Novo Nordisk shall have the right to extend the Collaboration Term to a third Collaboration Year on the same terms and conditions applicable for the two (2) first Collaboration Years, subject to mutual written agreement of the Parties on research scope and research funding for such third Collaboration Year, if the Collaboration Term has not otherwise terminated and Novo Nordisk provides written notice to Keros at least</w:t>
      </w:r>
    </w:p>
    <w:p>
      <w:pPr>
        <w:spacing w:after="0" w:line="4" w:lineRule="exact"/>
        <w:rPr>
          <w:sz w:val="20"/>
          <w:szCs w:val="20"/>
          <w:color w:val="auto"/>
        </w:rPr>
      </w:pPr>
    </w:p>
    <w:p>
      <w:pPr>
        <w:ind w:left="422" w:hanging="422"/>
        <w:spacing w:after="0"/>
        <w:tabs>
          <w:tab w:leader="none" w:pos="42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prior to the end of the second Collaboration Year that Novo Nordisk elects to extend the Collaboration Term to a third Collaboration Year.</w:t>
      </w:r>
    </w:p>
    <w:p>
      <w:pPr>
        <w:spacing w:after="0" w:line="111" w:lineRule="exact"/>
        <w:rPr>
          <w:rFonts w:ascii="Arial" w:cs="Arial" w:eastAsia="Arial" w:hAnsi="Arial"/>
          <w:sz w:val="16"/>
          <w:szCs w:val="16"/>
          <w:color w:val="auto"/>
        </w:rPr>
      </w:pPr>
    </w:p>
    <w:p>
      <w:pPr>
        <w:ind w:left="422"/>
        <w:spacing w:after="0"/>
        <w:rPr>
          <w:rFonts w:ascii="Arial" w:cs="Arial" w:eastAsia="Arial" w:hAnsi="Arial"/>
          <w:sz w:val="16"/>
          <w:szCs w:val="16"/>
          <w:color w:val="auto"/>
        </w:rPr>
      </w:pPr>
      <w:r>
        <w:rPr>
          <w:rFonts w:ascii="Arial" w:cs="Arial" w:eastAsia="Arial" w:hAnsi="Arial"/>
          <w:sz w:val="17"/>
          <w:szCs w:val="17"/>
          <w:b w:val="1"/>
          <w:bCs w:val="1"/>
          <w:color w:val="auto"/>
        </w:rPr>
        <w:t>2.6 Research Plan</w:t>
      </w:r>
      <w:r>
        <w:rPr>
          <w:rFonts w:ascii="Arial" w:cs="Arial" w:eastAsia="Arial" w:hAnsi="Arial"/>
          <w:sz w:val="17"/>
          <w:szCs w:val="17"/>
          <w:color w:val="auto"/>
        </w:rPr>
        <w:t>.</w:t>
      </w:r>
    </w:p>
    <w:p>
      <w:pPr>
        <w:spacing w:after="0" w:line="117" w:lineRule="exact"/>
        <w:rPr>
          <w:rFonts w:ascii="Arial" w:cs="Arial" w:eastAsia="Arial" w:hAnsi="Arial"/>
          <w:sz w:val="16"/>
          <w:szCs w:val="16"/>
          <w:color w:val="auto"/>
        </w:rPr>
      </w:pPr>
    </w:p>
    <w:p>
      <w:pPr>
        <w:ind w:left="2" w:right="160" w:firstLine="957"/>
        <w:spacing w:after="0" w:line="262" w:lineRule="auto"/>
        <w:tabs>
          <w:tab w:leader="none" w:pos="1207"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Research Plan for Ligand Traps</w:t>
      </w:r>
      <w:r>
        <w:rPr>
          <w:rFonts w:ascii="Arial" w:cs="Arial" w:eastAsia="Arial" w:hAnsi="Arial"/>
          <w:sz w:val="17"/>
          <w:szCs w:val="17"/>
          <w:color w:val="auto"/>
        </w:rPr>
        <w:t>. The purpose of this Agreement is for the Parties to perform the activities as described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Plan attached hereto as Exhibit C, as such Research Plan may be amended as set forth in Sections 2.6(b) and 2.8(c)(iii). Unless otherwise agreed by the Parties, the Research Plan shall allocate responsibilities between the Parties as described in Section 2.1. As part of the Research Collaboration, Novo Nordisk would produce New Ligand Traps reasonably needed for further testing as agreed under the Research Collaboration. The Parties agree that failure to produce such New Ligand Traps shall not be deemed to be a material breach of Novo Nordisk. Keros would evaluate New Ligand Traps –including providing a mechanism for selection of New Ligand Traps. The characterization of New Ligand Traps will be set forth in the Research Plan.</w:t>
      </w:r>
    </w:p>
    <w:p>
      <w:pPr>
        <w:spacing w:after="0" w:line="72" w:lineRule="exact"/>
        <w:rPr>
          <w:rFonts w:ascii="Arial" w:cs="Arial" w:eastAsia="Arial" w:hAnsi="Arial"/>
          <w:sz w:val="17"/>
          <w:szCs w:val="17"/>
          <w:b w:val="1"/>
          <w:bCs w:val="1"/>
          <w:color w:val="auto"/>
        </w:rPr>
      </w:pPr>
    </w:p>
    <w:p>
      <w:pPr>
        <w:ind w:left="2" w:right="380" w:firstLine="957"/>
        <w:spacing w:after="0" w:line="275" w:lineRule="auto"/>
        <w:tabs>
          <w:tab w:leader="none" w:pos="1216"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Review and Updating of Research Plan</w:t>
      </w:r>
      <w:r>
        <w:rPr>
          <w:rFonts w:ascii="Arial" w:cs="Arial" w:eastAsia="Arial" w:hAnsi="Arial"/>
          <w:sz w:val="17"/>
          <w:szCs w:val="17"/>
          <w:color w:val="auto"/>
        </w:rPr>
        <w:t>. The JSC shall review and update the Research Plan on regular basis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2.8. In furtherance of the JSC’s efforts to review and update the Research Plan during the Collaboration Term, Keros shall keep the JSC informed and updated regarding research and development activities for each New Ligand Trap.</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62"/>
          </w:cols>
          <w:pgMar w:left="618" w:top="265" w:right="6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240" w:firstLine="957"/>
        <w:spacing w:after="0" w:line="264" w:lineRule="auto"/>
        <w:tabs>
          <w:tab w:leader="none" w:pos="1195"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Responsibilities; Conduct</w:t>
      </w:r>
      <w:r>
        <w:rPr>
          <w:rFonts w:ascii="Arial" w:cs="Arial" w:eastAsia="Arial" w:hAnsi="Arial"/>
          <w:sz w:val="17"/>
          <w:szCs w:val="17"/>
          <w:color w:val="auto"/>
        </w:rPr>
        <w:t>. The evaluation and characterization of each New Ligand Trap will be carried out by the Parties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Research Plan. Each Party will be responsible for conducting the activities allocated to such Party under the Research Plan. Each Party shall use Commercially Reasonable Efforts to perform its responsibilities under the Research Plan. Each Party’s performance of such responsibilities shall, subject to Section 3.2, be at such Party’s own cost and expense. All work conducted for each New Ligand Trap shall be documented in a format capable of tangible reproduction sufficient to enable such documented work to be offered as evidence, such as in a laboratory notebook, signed and dated, or other acceptable form.</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2.7 Exclusivity</w:t>
      </w:r>
      <w:r>
        <w:rPr>
          <w:rFonts w:ascii="Arial" w:cs="Arial" w:eastAsia="Arial" w:hAnsi="Arial"/>
          <w:sz w:val="17"/>
          <w:szCs w:val="17"/>
          <w:color w:val="auto"/>
        </w:rPr>
        <w:t>.</w:t>
      </w:r>
    </w:p>
    <w:p>
      <w:pPr>
        <w:spacing w:after="0" w:line="124" w:lineRule="exact"/>
        <w:rPr>
          <w:sz w:val="20"/>
          <w:szCs w:val="20"/>
          <w:color w:val="auto"/>
        </w:rPr>
      </w:pPr>
    </w:p>
    <w:p>
      <w:pPr>
        <w:ind w:right="20" w:firstLine="957"/>
        <w:spacing w:after="0" w:line="276" w:lineRule="auto"/>
        <w:tabs>
          <w:tab w:leader="none" w:pos="1205"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Keros and its Affiliates shall not, during the term of this Agreement, save for the Research Collaboration activities contemplated to be performed under the Agreement, research, Develop, Commercialize or enter into any license, sublicense, sale, assignment or collaboration with, or otherwise grant rights or other form of transfer to or assist, any Third Party with respect to the Development or Commercialization of any Ligand Traps or Ligand Binders for use within the Novo Nordisk Field; provided, however, that nothing, save for Section 2.7(c), in this Section 2.7 shall restrict Keros and its Affiliates, directly or in collaboration with Third Parties, from engaging in Development or Commercialization of Declined Ligand Traps in the Cardiovascular Indications and CKD Indications. Furthermore, Keros shall not, during the term of this Agreement, save for the Research Collaboration activities contemplated to be performed under the Agreement, Develop, Commercialize or enter into any license, sublicense, sale, assignment or collaboration with, or otherwise grant rights or other form of transfer to or assist, any Third Party with respect to the Development or Commercialization of any Selected Ligand Traps for uses outside the Novo Nordisk Field. For clarity, notwithstanding the foregoing, a Keros Affiliate may, directly or through its Affiliates (other than Keros), Develop and Commercialize in all fields—without the use or reference to Keros Background IP, Collaboration IP or Keros New Ligand Trap IP—those Ligand Traps or Ligand Binders that were being Developed by a Third Party as of the date such Third Party becomes a Keros Affiliate—as the Third Party and/or Keros can by written documentation demonstrate—pursuant to Section 14.3(b).</w:t>
      </w:r>
    </w:p>
    <w:p>
      <w:pPr>
        <w:spacing w:after="0" w:line="71" w:lineRule="exact"/>
        <w:rPr>
          <w:rFonts w:ascii="Arial" w:cs="Arial" w:eastAsia="Arial" w:hAnsi="Arial"/>
          <w:sz w:val="16"/>
          <w:szCs w:val="16"/>
          <w:b w:val="1"/>
          <w:bCs w:val="1"/>
          <w:color w:val="auto"/>
        </w:rPr>
      </w:pPr>
    </w:p>
    <w:p>
      <w:pPr>
        <w:ind w:right="60" w:firstLine="957"/>
        <w:spacing w:after="0" w:line="307" w:lineRule="auto"/>
        <w:tabs>
          <w:tab w:leader="none" w:pos="1215" w:val="left"/>
        </w:tabs>
        <w:numPr>
          <w:ilvl w:val="0"/>
          <w:numId w:val="292"/>
        </w:numPr>
        <w:rPr>
          <w:rFonts w:ascii="Arial" w:cs="Arial" w:eastAsia="Arial" w:hAnsi="Arial"/>
          <w:sz w:val="15"/>
          <w:szCs w:val="15"/>
          <w:b w:val="1"/>
          <w:bCs w:val="1"/>
          <w:color w:val="auto"/>
        </w:rPr>
      </w:pPr>
      <w:r>
        <w:rPr>
          <w:rFonts w:ascii="Arial" w:cs="Arial" w:eastAsia="Arial" w:hAnsi="Arial"/>
          <w:sz w:val="15"/>
          <w:szCs w:val="15"/>
          <w:color w:val="auto"/>
        </w:rPr>
        <w:t xml:space="preserve">The restrictions set forth in Section 2.7(a) shall not restrict or limit Keros from engaging Third Parties to perform tasks in furtherance of the Research Collaboration; provided that, Novo Nordisk shall have the right to approve Third Parties performing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animal studies in order to ensure compliance with Novo Nordisk Principles for the Use of Animals set forth in Exhibit E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Keros enters into a written agreement with such Third Parties ensuring they are bound by confidentiality obligations that are consistent with those set forth in the Agreement and are obligated to assign to Keros any Patents and Know-How developed by the Third Party in its performance of tasks in furtherance of the Research Collaboration.</w:t>
      </w:r>
    </w:p>
    <w:p>
      <w:pPr>
        <w:spacing w:after="0" w:line="45" w:lineRule="exact"/>
        <w:rPr>
          <w:rFonts w:ascii="Arial" w:cs="Arial" w:eastAsia="Arial" w:hAnsi="Arial"/>
          <w:sz w:val="15"/>
          <w:szCs w:val="15"/>
          <w:b w:val="1"/>
          <w:bCs w:val="1"/>
          <w:color w:val="auto"/>
        </w:rPr>
      </w:pPr>
    </w:p>
    <w:p>
      <w:pPr>
        <w:ind w:left="1200" w:hanging="243"/>
        <w:spacing w:after="0"/>
        <w:tabs>
          <w:tab w:leader="none" w:pos="120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60"/>
          </w:cols>
          <w:pgMar w:left="620" w:top="264" w:right="619" w:bottom="1440" w:gutter="0" w:footer="0" w:header="0"/>
        </w:sectPr>
      </w:pPr>
    </w:p>
    <w:bookmarkStart w:id="356" w:name="page357"/>
    <w:bookmarkEnd w:id="35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2.8 Joint Steering Committee</w:t>
      </w:r>
      <w:r>
        <w:rPr>
          <w:rFonts w:ascii="Arial" w:cs="Arial" w:eastAsia="Arial" w:hAnsi="Arial"/>
          <w:sz w:val="17"/>
          <w:szCs w:val="17"/>
          <w:color w:val="auto"/>
        </w:rPr>
        <w:t>.</w:t>
      </w:r>
    </w:p>
    <w:p>
      <w:pPr>
        <w:spacing w:after="0" w:line="118" w:lineRule="exact"/>
        <w:rPr>
          <w:sz w:val="20"/>
          <w:szCs w:val="20"/>
          <w:color w:val="auto"/>
        </w:rPr>
      </w:pPr>
    </w:p>
    <w:p>
      <w:pPr>
        <w:ind w:right="140" w:firstLine="957"/>
        <w:spacing w:after="0" w:line="262" w:lineRule="auto"/>
        <w:tabs>
          <w:tab w:leader="none" w:pos="1205"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Establishment of the JSC</w:t>
      </w:r>
      <w:r>
        <w:rPr>
          <w:rFonts w:ascii="Arial" w:cs="Arial" w:eastAsia="Arial" w:hAnsi="Arial"/>
          <w:sz w:val="17"/>
          <w:szCs w:val="17"/>
          <w:color w:val="auto"/>
        </w:rPr>
        <w:t>. Promptly following the Effective Date, the Parties shall establish a joint steering committee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which shall be responsible for the management and conduct of the Research Collaboration, including (i) overseeing</w:t>
      </w:r>
      <w:r>
        <w:rPr>
          <w:rFonts w:ascii="Arial" w:cs="Arial" w:eastAsia="Arial" w:hAnsi="Arial"/>
          <w:sz w:val="17"/>
          <w:szCs w:val="17"/>
          <w:b w:val="1"/>
          <w:bCs w:val="1"/>
          <w:color w:val="auto"/>
        </w:rPr>
        <w:t xml:space="preserve"> </w:t>
      </w:r>
      <w:r>
        <w:rPr>
          <w:rFonts w:ascii="Arial" w:cs="Arial" w:eastAsia="Arial" w:hAnsi="Arial"/>
          <w:sz w:val="17"/>
          <w:szCs w:val="17"/>
          <w:color w:val="auto"/>
        </w:rPr>
        <w:t>progress in and prioritization amongst New Ligand Traps and the allocation of resources thereto, and (ii) resolving disputes between the Parties with respect to the conduct of the Research Collaboration. The JSC shall consist of [***] representatives of each Party. A Party may replace any or all of its representatives at any time upon prior written notice (including by email) to the other Party. The representatives shall be appropriate (in terms of their seniority, availability, function in their respective organizations, training and experience) to oversee the activities under the Research Collaboration that will be performed and make decisions as to such activities.</w:t>
      </w:r>
    </w:p>
    <w:p>
      <w:pPr>
        <w:spacing w:after="0" w:line="72" w:lineRule="exact"/>
        <w:rPr>
          <w:rFonts w:ascii="Arial" w:cs="Arial" w:eastAsia="Arial" w:hAnsi="Arial"/>
          <w:sz w:val="17"/>
          <w:szCs w:val="17"/>
          <w:b w:val="1"/>
          <w:bCs w:val="1"/>
          <w:color w:val="auto"/>
        </w:rPr>
      </w:pPr>
    </w:p>
    <w:p>
      <w:pPr>
        <w:ind w:left="1220" w:hanging="263"/>
        <w:spacing w:after="0"/>
        <w:tabs>
          <w:tab w:leader="none" w:pos="1220"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JSC Co-Chairs</w:t>
      </w:r>
      <w:r>
        <w:rPr>
          <w:rFonts w:ascii="Arial" w:cs="Arial" w:eastAsia="Arial" w:hAnsi="Arial"/>
          <w:sz w:val="16"/>
          <w:szCs w:val="16"/>
          <w:color w:val="auto"/>
        </w:rPr>
        <w:t>. Each Party shall designate one of its representatives as co-chairman of the JSC meetings (such Party’s “</w:t>
      </w:r>
      <w:r>
        <w:rPr>
          <w:rFonts w:ascii="Arial" w:cs="Arial" w:eastAsia="Arial" w:hAnsi="Arial"/>
          <w:sz w:val="16"/>
          <w:szCs w:val="16"/>
          <w:b w:val="1"/>
          <w:bCs w:val="1"/>
          <w:color w:val="auto"/>
        </w:rPr>
        <w:t>JSC</w:t>
      </w:r>
    </w:p>
    <w:p>
      <w:pPr>
        <w:spacing w:after="0" w:line="4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color w:val="auto"/>
        </w:rPr>
        <w:t>Co-Chair</w:t>
      </w:r>
      <w:r>
        <w:rPr>
          <w:rFonts w:ascii="Arial" w:cs="Arial" w:eastAsia="Arial" w:hAnsi="Arial"/>
          <w:sz w:val="17"/>
          <w:szCs w:val="17"/>
          <w:color w:val="auto"/>
        </w:rPr>
        <w:t>”). The chairmanship of JSC meetings shall alternate between each Party’s JSC Co-Chair. A Party may replace its designated JSC Co-Chair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upon prior written notice (including by email) to the other Party. Either JSC Co-Chair may call an emergency JSC meeting for good cause by written request to the other Party.</w:t>
      </w:r>
    </w:p>
    <w:p>
      <w:pPr>
        <w:spacing w:after="0" w:line="68" w:lineRule="exact"/>
        <w:rPr>
          <w:sz w:val="20"/>
          <w:szCs w:val="20"/>
          <w:color w:val="auto"/>
        </w:rPr>
      </w:pPr>
    </w:p>
    <w:p>
      <w:pPr>
        <w:ind w:left="1200" w:hanging="243"/>
        <w:spacing w:after="0"/>
        <w:tabs>
          <w:tab w:leader="none" w:pos="120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Responsibilities of the JSC</w:t>
      </w:r>
      <w:r>
        <w:rPr>
          <w:rFonts w:ascii="Arial" w:cs="Arial" w:eastAsia="Arial" w:hAnsi="Arial"/>
          <w:sz w:val="17"/>
          <w:szCs w:val="17"/>
          <w:color w:val="auto"/>
        </w:rPr>
        <w:t>. The Joint Steering Committee shall be responsible for performing the following functions:</w:t>
      </w:r>
    </w:p>
    <w:p>
      <w:pPr>
        <w:spacing w:after="0" w:line="123" w:lineRule="exact"/>
        <w:rPr>
          <w:rFonts w:ascii="Arial" w:cs="Arial" w:eastAsia="Arial" w:hAnsi="Arial"/>
          <w:sz w:val="17"/>
          <w:szCs w:val="17"/>
          <w:b w:val="1"/>
          <w:bCs w:val="1"/>
          <w:color w:val="auto"/>
        </w:rPr>
      </w:pPr>
    </w:p>
    <w:p>
      <w:pPr>
        <w:ind w:right="580" w:firstLine="1383"/>
        <w:spacing w:after="0" w:line="287" w:lineRule="auto"/>
        <w:tabs>
          <w:tab w:leader="none" w:pos="1592"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exchange information concerning the overall strategy and timelines for the New Ligand Traps including prioritization and coordination of New Ligand Traps;</w:t>
      </w:r>
    </w:p>
    <w:p>
      <w:pPr>
        <w:spacing w:after="0" w:line="54" w:lineRule="exact"/>
        <w:rPr>
          <w:rFonts w:ascii="Arial" w:cs="Arial" w:eastAsia="Arial" w:hAnsi="Arial"/>
          <w:sz w:val="17"/>
          <w:szCs w:val="17"/>
          <w:b w:val="1"/>
          <w:bCs w:val="1"/>
          <w:color w:val="auto"/>
        </w:rPr>
      </w:pPr>
    </w:p>
    <w:p>
      <w:pPr>
        <w:ind w:left="1640" w:hanging="257"/>
        <w:spacing w:after="0"/>
        <w:tabs>
          <w:tab w:leader="none" w:pos="1640"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evaluating and managing potential Ligand Traps for designation as, and designating, New Ligand Traps;</w:t>
      </w:r>
    </w:p>
    <w:p>
      <w:pPr>
        <w:spacing w:after="0" w:line="117" w:lineRule="exact"/>
        <w:rPr>
          <w:rFonts w:ascii="Arial" w:cs="Arial" w:eastAsia="Arial" w:hAnsi="Arial"/>
          <w:sz w:val="17"/>
          <w:szCs w:val="17"/>
          <w:b w:val="1"/>
          <w:bCs w:val="1"/>
          <w:color w:val="auto"/>
        </w:rPr>
      </w:pPr>
    </w:p>
    <w:p>
      <w:pPr>
        <w:ind w:left="1680" w:hanging="297"/>
        <w:spacing w:after="0"/>
        <w:tabs>
          <w:tab w:leader="none" w:pos="1680"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adopting, reviewing and amending the Research Plan and documenting the same;</w:t>
      </w:r>
    </w:p>
    <w:p>
      <w:pPr>
        <w:spacing w:after="0" w:line="117" w:lineRule="exact"/>
        <w:rPr>
          <w:rFonts w:ascii="Arial" w:cs="Arial" w:eastAsia="Arial" w:hAnsi="Arial"/>
          <w:sz w:val="17"/>
          <w:szCs w:val="17"/>
          <w:b w:val="1"/>
          <w:bCs w:val="1"/>
          <w:color w:val="auto"/>
        </w:rPr>
      </w:pPr>
    </w:p>
    <w:p>
      <w:pPr>
        <w:ind w:left="1680" w:hanging="297"/>
        <w:spacing w:after="0"/>
        <w:tabs>
          <w:tab w:leader="none" w:pos="1680"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evaluating New Ligand Traps;</w:t>
      </w:r>
    </w:p>
    <w:p>
      <w:pPr>
        <w:spacing w:after="0" w:line="117" w:lineRule="exact"/>
        <w:rPr>
          <w:rFonts w:ascii="Arial" w:cs="Arial" w:eastAsia="Arial" w:hAnsi="Arial"/>
          <w:sz w:val="17"/>
          <w:szCs w:val="17"/>
          <w:b w:val="1"/>
          <w:bCs w:val="1"/>
          <w:color w:val="auto"/>
        </w:rPr>
      </w:pPr>
    </w:p>
    <w:p>
      <w:pPr>
        <w:ind w:left="1620" w:hanging="237"/>
        <w:spacing w:after="0"/>
        <w:tabs>
          <w:tab w:leader="none" w:pos="1620"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discussing issues identified in the preliminary freedom-to-operate assessments specified in Exhibit D as well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freedom-to-operate issues subsequently identified by the Parties relating to New Ligand Traps;</w:t>
      </w:r>
    </w:p>
    <w:p>
      <w:pPr>
        <w:spacing w:after="0" w:line="106" w:lineRule="exact"/>
        <w:rPr>
          <w:sz w:val="20"/>
          <w:szCs w:val="20"/>
          <w:color w:val="auto"/>
        </w:rPr>
      </w:pPr>
    </w:p>
    <w:p>
      <w:pPr>
        <w:ind w:left="1680" w:hanging="297"/>
        <w:spacing w:after="0"/>
        <w:tabs>
          <w:tab w:leader="none" w:pos="1680"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evaluating the progress of the Research Collaboration, as compared with the objectives set forth in this Agreement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Research Plan;</w:t>
      </w:r>
    </w:p>
    <w:p>
      <w:pPr>
        <w:spacing w:after="0" w:line="106" w:lineRule="exact"/>
        <w:rPr>
          <w:sz w:val="20"/>
          <w:szCs w:val="20"/>
          <w:color w:val="auto"/>
        </w:rPr>
      </w:pPr>
    </w:p>
    <w:p>
      <w:pPr>
        <w:ind w:right="120" w:firstLine="1383"/>
        <w:spacing w:after="0" w:line="287" w:lineRule="auto"/>
        <w:tabs>
          <w:tab w:leader="none" w:pos="1727"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coordinating, as the primary conduit for, the transfer of information and materials, including the Technology Transfer, between the Parties during the Collaboration Term;</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60"/>
          </w:cols>
          <w:pgMar w:left="620" w:top="264" w:right="619" w:bottom="1440" w:gutter="0" w:footer="0" w:header="0"/>
        </w:sectPr>
      </w:pPr>
    </w:p>
    <w:bookmarkStart w:id="357" w:name="page358"/>
    <w:bookmarkEnd w:id="35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left="2" w:right="60" w:firstLine="1383"/>
        <w:spacing w:after="0" w:line="287" w:lineRule="auto"/>
        <w:tabs>
          <w:tab w:leader="none" w:pos="1778" w:val="left"/>
        </w:tabs>
        <w:numPr>
          <w:ilvl w:val="2"/>
          <w:numId w:val="297"/>
        </w:numPr>
        <w:rPr>
          <w:rFonts w:ascii="Arial" w:cs="Arial" w:eastAsia="Arial" w:hAnsi="Arial"/>
          <w:sz w:val="17"/>
          <w:szCs w:val="17"/>
          <w:b w:val="1"/>
          <w:bCs w:val="1"/>
          <w:color w:val="auto"/>
        </w:rPr>
      </w:pPr>
      <w:r>
        <w:rPr>
          <w:rFonts w:ascii="Arial" w:cs="Arial" w:eastAsia="Arial" w:hAnsi="Arial"/>
          <w:sz w:val="17"/>
          <w:szCs w:val="17"/>
          <w:color w:val="auto"/>
        </w:rPr>
        <w:t>performing such other functions referred to the JSC in the Research Plan as appropriate to further the purposes of the Research Collaboration by mutual agreement of the Parties, or as otherwise specified in this Agreement or agreed to by the Parties; and</w:t>
      </w:r>
    </w:p>
    <w:p>
      <w:pPr>
        <w:spacing w:after="0" w:line="54" w:lineRule="exact"/>
        <w:rPr>
          <w:rFonts w:ascii="Arial" w:cs="Arial" w:eastAsia="Arial" w:hAnsi="Arial"/>
          <w:sz w:val="17"/>
          <w:szCs w:val="17"/>
          <w:b w:val="1"/>
          <w:bCs w:val="1"/>
          <w:color w:val="auto"/>
        </w:rPr>
      </w:pPr>
    </w:p>
    <w:p>
      <w:pPr>
        <w:ind w:left="2" w:right="560" w:firstLine="1383"/>
        <w:spacing w:after="0" w:line="287" w:lineRule="auto"/>
        <w:tabs>
          <w:tab w:leader="none" w:pos="1681" w:val="left"/>
        </w:tabs>
        <w:numPr>
          <w:ilvl w:val="2"/>
          <w:numId w:val="297"/>
        </w:numPr>
        <w:rPr>
          <w:rFonts w:ascii="Arial" w:cs="Arial" w:eastAsia="Arial" w:hAnsi="Arial"/>
          <w:sz w:val="17"/>
          <w:szCs w:val="17"/>
          <w:b w:val="1"/>
          <w:bCs w:val="1"/>
          <w:color w:val="auto"/>
        </w:rPr>
      </w:pPr>
      <w:r>
        <w:rPr>
          <w:rFonts w:ascii="Arial" w:cs="Arial" w:eastAsia="Arial" w:hAnsi="Arial"/>
          <w:sz w:val="17"/>
          <w:szCs w:val="17"/>
          <w:color w:val="auto"/>
        </w:rPr>
        <w:t>serving as a forum for informal dispute resolution of issues that may arise in relation to operational or technical activities engaged in pursuant to this Agreement.</w:t>
      </w:r>
    </w:p>
    <w:p>
      <w:pPr>
        <w:spacing w:after="0" w:line="48" w:lineRule="exact"/>
        <w:rPr>
          <w:rFonts w:ascii="Arial" w:cs="Arial" w:eastAsia="Arial" w:hAnsi="Arial"/>
          <w:sz w:val="17"/>
          <w:szCs w:val="17"/>
          <w:b w:val="1"/>
          <w:bCs w:val="1"/>
          <w:color w:val="auto"/>
        </w:rPr>
      </w:pPr>
    </w:p>
    <w:p>
      <w:pPr>
        <w:ind w:left="2" w:right="280" w:firstLine="957"/>
        <w:spacing w:after="0" w:line="283" w:lineRule="auto"/>
        <w:tabs>
          <w:tab w:leader="none" w:pos="1216" w:val="left"/>
        </w:tabs>
        <w:numPr>
          <w:ilvl w:val="1"/>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Areas Outside the JSC’s Authority</w:t>
      </w:r>
      <w:r>
        <w:rPr>
          <w:rFonts w:ascii="Arial" w:cs="Arial" w:eastAsia="Arial" w:hAnsi="Arial"/>
          <w:sz w:val="16"/>
          <w:szCs w:val="16"/>
          <w:color w:val="auto"/>
        </w:rPr>
        <w:t>. The JSC shall have no authority other than that expressly set forth in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shall have no authority: (a) to amend, or interpret any ambiguous provision of, this Agreement, (b) to require either Party to perform any activities other than as specified in the then current Research Plan, (c) to determine whether or not a Party has met its diligence or other obligations under the Agreement, (d) to determine whether or not a breach of this Agreement has occurred, (e) to waive compliance with any provisions of this Agreement, (f) subject to Section 2.12, to make any decision with respect to the Selected Existing Ligand Trap, or (g) to make any decision that is expressly stated by this Agreement to require the approval of one or the other Party or the approval of both Parties.</w:t>
      </w:r>
    </w:p>
    <w:p>
      <w:pPr>
        <w:spacing w:after="0" w:line="55" w:lineRule="exact"/>
        <w:rPr>
          <w:rFonts w:ascii="Arial" w:cs="Arial" w:eastAsia="Arial" w:hAnsi="Arial"/>
          <w:sz w:val="16"/>
          <w:szCs w:val="16"/>
          <w:b w:val="1"/>
          <w:bCs w:val="1"/>
          <w:color w:val="auto"/>
        </w:rPr>
      </w:pPr>
    </w:p>
    <w:p>
      <w:pPr>
        <w:ind w:left="1202" w:hanging="243"/>
        <w:spacing w:after="0"/>
        <w:tabs>
          <w:tab w:leader="none" w:pos="1202" w:val="left"/>
        </w:tabs>
        <w:numPr>
          <w:ilvl w:val="1"/>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Decision Making Authority</w:t>
      </w:r>
      <w:r>
        <w:rPr>
          <w:rFonts w:ascii="Arial" w:cs="Arial" w:eastAsia="Arial" w:hAnsi="Arial"/>
          <w:sz w:val="17"/>
          <w:szCs w:val="17"/>
          <w:color w:val="auto"/>
        </w:rPr>
        <w:t>. With respect to the responsibilities of the Joint Steering Committee, each Party shall have one</w:t>
      </w:r>
    </w:p>
    <w:p>
      <w:pPr>
        <w:spacing w:after="0" w:line="31" w:lineRule="exact"/>
        <w:rPr>
          <w:rFonts w:ascii="Arial" w:cs="Arial" w:eastAsia="Arial" w:hAnsi="Arial"/>
          <w:sz w:val="17"/>
          <w:szCs w:val="17"/>
          <w:b w:val="1"/>
          <w:bCs w:val="1"/>
          <w:color w:val="auto"/>
        </w:rPr>
      </w:pPr>
    </w:p>
    <w:p>
      <w:pPr>
        <w:ind w:left="2" w:right="20" w:hanging="2"/>
        <w:spacing w:after="0" w:line="264" w:lineRule="auto"/>
        <w:tabs>
          <w:tab w:leader="none" w:pos="24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collective vote in all decisions, and the Parties shall attempt to make decisions by unanimous vote. If the JSC cannot reach agreement within [***] of an issue being brought to a vote, then the matter will be referred to the Executives of the Parties. The Executives will use reasonable efforts to resolve matters referred to them.</w:t>
      </w:r>
    </w:p>
    <w:p>
      <w:pPr>
        <w:spacing w:after="0" w:line="67" w:lineRule="exact"/>
        <w:rPr>
          <w:rFonts w:ascii="Arial" w:cs="Arial" w:eastAsia="Arial" w:hAnsi="Arial"/>
          <w:sz w:val="17"/>
          <w:szCs w:val="17"/>
          <w:color w:val="auto"/>
        </w:rPr>
      </w:pPr>
    </w:p>
    <w:p>
      <w:pPr>
        <w:ind w:left="2" w:right="40" w:firstLine="957"/>
        <w:spacing w:after="0" w:line="260" w:lineRule="auto"/>
        <w:tabs>
          <w:tab w:leader="none" w:pos="1178" w:val="left"/>
        </w:tabs>
        <w:numPr>
          <w:ilvl w:val="1"/>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Meetings; Attendees</w:t>
      </w:r>
      <w:r>
        <w:rPr>
          <w:rFonts w:ascii="Arial" w:cs="Arial" w:eastAsia="Arial" w:hAnsi="Arial"/>
          <w:sz w:val="17"/>
          <w:szCs w:val="17"/>
          <w:color w:val="auto"/>
        </w:rPr>
        <w:t>. Once established, the Joint Steering Committee shall meet at least once each calendar quarter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Collaboration Term unless otherwise agreed by the Parties. The first meeting of the JSC shall be held as soon as practicable after the Effective Date. The JSC may meet in person at a mutually agreed location or via teleconference, video conference or the like,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agreed by the Parties, [***]. Each Party shall bear the expense of its respective representatives’ participation in JSC meetings. The JSC forms a quorum when [***] are present. If any of a Party’s representatives is unable to attend a given meeting, such Party may designate a knowledgeable alternate to attend such meeting and perform the functions of such representative, provided that notice hereof is given in writing to the other Party in advance of the meeting. Each Alliance Manager may attend JSC meetings as a non-voting observer. Each Party may invite a reasonable number of non-voting employees, consultants or scientific advisors to attend JSC meetings as deemed necessary or desirable by such Party, subject to the prior consent of the other Party, not to be unreasonably withheld,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invitees are bound in writing by confidentiality obligations that are consistent with those set forth in the Agreement.</w:t>
      </w:r>
    </w:p>
    <w:p>
      <w:pPr>
        <w:spacing w:after="0" w:line="75" w:lineRule="exact"/>
        <w:rPr>
          <w:rFonts w:ascii="Arial" w:cs="Arial" w:eastAsia="Arial" w:hAnsi="Arial"/>
          <w:sz w:val="17"/>
          <w:szCs w:val="17"/>
          <w:b w:val="1"/>
          <w:bCs w:val="1"/>
          <w:color w:val="auto"/>
        </w:rPr>
      </w:pPr>
    </w:p>
    <w:p>
      <w:pPr>
        <w:ind w:left="2" w:right="80" w:firstLine="957"/>
        <w:spacing w:after="0" w:line="275" w:lineRule="auto"/>
        <w:tabs>
          <w:tab w:leader="none" w:pos="1207" w:val="left"/>
        </w:tabs>
        <w:numPr>
          <w:ilvl w:val="1"/>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Minutes; Other Documentation of Decisions</w:t>
      </w:r>
      <w:r>
        <w:rPr>
          <w:rFonts w:ascii="Arial" w:cs="Arial" w:eastAsia="Arial" w:hAnsi="Arial"/>
          <w:sz w:val="17"/>
          <w:szCs w:val="17"/>
          <w:color w:val="auto"/>
        </w:rPr>
        <w:t>. The Joint Steering Committee shall keep minutes of its meetings that record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all decisions made, action items assigned and completed and other appropriate matters. Novo Nordisk’s Alliance Manager shall be responsible for drafting meeting minutes and such draft minutes shall be sent to Keros</w:t>
      </w:r>
    </w:p>
    <w:p>
      <w:pPr>
        <w:spacing w:after="0" w:line="104"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62"/>
          </w:cols>
          <w:pgMar w:left="618" w:top="264" w:right="619" w:bottom="1440" w:gutter="0" w:footer="0" w:header="0"/>
        </w:sectPr>
      </w:pPr>
    </w:p>
    <w:bookmarkStart w:id="358" w:name="page359"/>
    <w:bookmarkEnd w:id="358"/>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promptly after a meeting for review, comment and approval by both Parties. A decision that may be made at a JSC meeting may also be made without a meeting if such decision is agreed to in writing (including by email) by each Party’s JSC Co-Chair (or its designee),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Party’s JSC Co-Chair’s (or its designee’s) written communication clearly indicates that such decision is a formal decision on behalf of such Party’s JSC representatives. Any modifications to the Research Plan that are approved by the JSC shall constitute an amendment to the Research Plan.</w:t>
      </w:r>
    </w:p>
    <w:p>
      <w:pPr>
        <w:spacing w:after="0" w:line="51" w:lineRule="exact"/>
        <w:rPr>
          <w:sz w:val="20"/>
          <w:szCs w:val="20"/>
          <w:color w:val="auto"/>
        </w:rPr>
      </w:pPr>
    </w:p>
    <w:p>
      <w:pPr>
        <w:ind w:right="140" w:firstLine="957"/>
        <w:spacing w:after="0" w:line="275" w:lineRule="auto"/>
        <w:tabs>
          <w:tab w:leader="none" w:pos="1215"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Control of Intellectual Property</w:t>
      </w:r>
      <w:r>
        <w:rPr>
          <w:rFonts w:ascii="Arial" w:cs="Arial" w:eastAsia="Arial" w:hAnsi="Arial"/>
          <w:sz w:val="17"/>
          <w:szCs w:val="17"/>
          <w:color w:val="auto"/>
        </w:rPr>
        <w:t>. The Joint Steering Committee shall have the right to propose that any New Ligand Trap be given a</w:t>
      </w:r>
      <w:r>
        <w:rPr>
          <w:rFonts w:ascii="Arial" w:cs="Arial" w:eastAsia="Arial" w:hAnsi="Arial"/>
          <w:sz w:val="17"/>
          <w:szCs w:val="17"/>
          <w:b w:val="1"/>
          <w:bCs w:val="1"/>
          <w:color w:val="auto"/>
        </w:rPr>
        <w:t xml:space="preserve"> </w:t>
      </w:r>
      <w:r>
        <w:rPr>
          <w:rFonts w:ascii="Arial" w:cs="Arial" w:eastAsia="Arial" w:hAnsi="Arial"/>
          <w:sz w:val="17"/>
          <w:szCs w:val="17"/>
          <w:color w:val="auto"/>
        </w:rPr>
        <w:t>low priority with regard to ongoing Research Collaboration research efforts (e.g., personnel allocation and utilization of funds), if Keros does not Control the Know-How and Patents with respect to such New Ligand Trap.</w:t>
      </w:r>
    </w:p>
    <w:p>
      <w:pPr>
        <w:spacing w:after="0" w:line="59" w:lineRule="exact"/>
        <w:rPr>
          <w:rFonts w:ascii="Arial" w:cs="Arial" w:eastAsia="Arial" w:hAnsi="Arial"/>
          <w:sz w:val="17"/>
          <w:szCs w:val="17"/>
          <w:b w:val="1"/>
          <w:bCs w:val="1"/>
          <w:color w:val="auto"/>
        </w:rPr>
      </w:pPr>
    </w:p>
    <w:p>
      <w:pPr>
        <w:ind w:right="440" w:firstLine="957"/>
        <w:spacing w:after="0" w:line="295" w:lineRule="auto"/>
        <w:tabs>
          <w:tab w:leader="none" w:pos="1166"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Term of JSC Operation</w:t>
      </w:r>
      <w:r>
        <w:rPr>
          <w:rFonts w:ascii="Arial" w:cs="Arial" w:eastAsia="Arial" w:hAnsi="Arial"/>
          <w:sz w:val="17"/>
          <w:szCs w:val="17"/>
          <w:color w:val="auto"/>
        </w:rPr>
        <w:t>. The Joint Steering Committee shall meet during the Collaboration Term. Thereafter, the JSC shall cease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perform no further functions under this Agreement.</w:t>
      </w:r>
    </w:p>
    <w:p>
      <w:pPr>
        <w:spacing w:after="0" w:line="42" w:lineRule="exact"/>
        <w:rPr>
          <w:sz w:val="20"/>
          <w:szCs w:val="20"/>
          <w:color w:val="auto"/>
        </w:rPr>
      </w:pPr>
    </w:p>
    <w:p>
      <w:pPr>
        <w:ind w:right="40" w:firstLine="426"/>
        <w:spacing w:after="0" w:line="281" w:lineRule="auto"/>
        <w:rPr>
          <w:sz w:val="20"/>
          <w:szCs w:val="20"/>
          <w:color w:val="auto"/>
        </w:rPr>
      </w:pPr>
      <w:r>
        <w:rPr>
          <w:rFonts w:ascii="Arial" w:cs="Arial" w:eastAsia="Arial" w:hAnsi="Arial"/>
          <w:sz w:val="16"/>
          <w:szCs w:val="16"/>
          <w:b w:val="1"/>
          <w:bCs w:val="1"/>
          <w:color w:val="auto"/>
        </w:rPr>
        <w:t>2.9 Alliance Manager</w:t>
      </w:r>
      <w:r>
        <w:rPr>
          <w:rFonts w:ascii="Arial" w:cs="Arial" w:eastAsia="Arial" w:hAnsi="Arial"/>
          <w:sz w:val="16"/>
          <w:szCs w:val="16"/>
          <w:color w:val="auto"/>
        </w:rPr>
        <w:t>. Promptly following the Effective Date, each Party shall appoint a representative of such Party as the primary contact for</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related to this Agreement, unless another contact is expressly specified in the Agreement or designated by the JSC for a particular purpose (the “</w:t>
      </w:r>
      <w:r>
        <w:rPr>
          <w:rFonts w:ascii="Arial" w:cs="Arial" w:eastAsia="Arial" w:hAnsi="Arial"/>
          <w:sz w:val="16"/>
          <w:szCs w:val="16"/>
          <w:b w:val="1"/>
          <w:bCs w:val="1"/>
          <w:color w:val="auto"/>
        </w:rPr>
        <w:t>Alliance Managers</w:t>
      </w:r>
      <w:r>
        <w:rPr>
          <w:rFonts w:ascii="Arial" w:cs="Arial" w:eastAsia="Arial" w:hAnsi="Arial"/>
          <w:sz w:val="16"/>
          <w:szCs w:val="16"/>
          <w:color w:val="auto"/>
        </w:rPr>
        <w:t>”). During the Collaboration Term, both Alliance Managers shall jointly be responsible for and shall collaborate in scheduling Joint Steering Committee meetings and setting meeting agendas after consulting the JSC Co-Chairs. The Alliance Managers shall facilitate open and transparent communication and collaboration between the Parties and shall seek to facilitate resolution of potential and pending issues and potential disputes to enable the JSC to reach consensus and avert escalation of such issues or potential disputes. Either Party may replace its Alliance Manager at any time upon prior written notification (including by email) to the other Party.</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2.10 Records and Reports</w:t>
      </w:r>
      <w:r>
        <w:rPr>
          <w:rFonts w:ascii="Arial" w:cs="Arial" w:eastAsia="Arial" w:hAnsi="Arial"/>
          <w:sz w:val="17"/>
          <w:szCs w:val="17"/>
          <w:color w:val="auto"/>
        </w:rPr>
        <w:t>.</w:t>
      </w:r>
    </w:p>
    <w:p>
      <w:pPr>
        <w:spacing w:after="0" w:line="118" w:lineRule="exact"/>
        <w:rPr>
          <w:sz w:val="20"/>
          <w:szCs w:val="20"/>
          <w:color w:val="auto"/>
        </w:rPr>
      </w:pPr>
    </w:p>
    <w:p>
      <w:pPr>
        <w:ind w:right="180" w:firstLine="957"/>
        <w:spacing w:after="0" w:line="363" w:lineRule="auto"/>
        <w:tabs>
          <w:tab w:leader="none" w:pos="1205" w:val="left"/>
        </w:tabs>
        <w:numPr>
          <w:ilvl w:val="0"/>
          <w:numId w:val="301"/>
        </w:numPr>
        <w:rPr>
          <w:rFonts w:ascii="Arial" w:cs="Arial" w:eastAsia="Arial" w:hAnsi="Arial"/>
          <w:sz w:val="15"/>
          <w:szCs w:val="15"/>
          <w:b w:val="1"/>
          <w:bCs w:val="1"/>
          <w:color w:val="auto"/>
        </w:rPr>
      </w:pPr>
      <w:r>
        <w:rPr>
          <w:rFonts w:ascii="Arial" w:cs="Arial" w:eastAsia="Arial" w:hAnsi="Arial"/>
          <w:sz w:val="15"/>
          <w:szCs w:val="15"/>
          <w:b w:val="1"/>
          <w:bCs w:val="1"/>
          <w:color w:val="auto"/>
        </w:rPr>
        <w:t>Records</w:t>
      </w:r>
      <w:r>
        <w:rPr>
          <w:rFonts w:ascii="Arial" w:cs="Arial" w:eastAsia="Arial" w:hAnsi="Arial"/>
          <w:sz w:val="15"/>
          <w:szCs w:val="15"/>
          <w:color w:val="auto"/>
        </w:rPr>
        <w:t>. Each Party shall use commercially reasonable efforts to maintain complete, current and accurate records of all research and</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activities conducted by it in the conduct of the Research Collaboration, and all data and other Know-How resulting from such activities.</w:t>
      </w:r>
    </w:p>
    <w:p>
      <w:pPr>
        <w:ind w:right="40" w:firstLine="957"/>
        <w:spacing w:after="0" w:line="264" w:lineRule="auto"/>
        <w:tabs>
          <w:tab w:leader="none" w:pos="1215"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At least once quarterly during the Collaboration Term, each Party shall provide to the JSC a written summary of its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research and Development and results, remaining activities and updates on new Know-How and Patents relating to New Ligand Traps (excluding Declined Ligand Traps). Novo Nordisk shall incorporate the information provided by both Parties into a consolidated quarterly summary that reflects both Parties’ Research Collaboration research and development and results, which Novo Nordisk shall provide to the JSC. Within [***] after the expiration or earlier termination of the Collaboration Term, Keros shall provide to Novo Nordisk a final written report directed to any additional data and results generated by Keros subsequent to the last quarterly summary during</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60"/>
          </w:cols>
          <w:pgMar w:left="620" w:top="264" w:right="619" w:bottom="1440" w:gutter="0" w:footer="0" w:header="0"/>
        </w:sectPr>
      </w:pPr>
    </w:p>
    <w:bookmarkStart w:id="359" w:name="page360"/>
    <w:bookmarkEnd w:id="359"/>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Collaboration Term as well as listing all New Ligand Traps and Keros New Ligand Trap IP (excluding any Keros New Ligand Trap IP specifically related to Declined Ligand Traps) and any inventions developed or conceived during the Collaboration Term that specifically related to Selected Ligand Traps on which patents have not yet been filed.</w:t>
      </w:r>
    </w:p>
    <w:p>
      <w:pPr>
        <w:spacing w:after="0" w:line="60" w:lineRule="exact"/>
        <w:rPr>
          <w:sz w:val="20"/>
          <w:szCs w:val="20"/>
          <w:color w:val="auto"/>
        </w:rPr>
      </w:pPr>
    </w:p>
    <w:p>
      <w:pPr>
        <w:ind w:right="200" w:firstLine="957"/>
        <w:spacing w:after="0" w:line="291" w:lineRule="auto"/>
        <w:tabs>
          <w:tab w:leader="none" w:pos="1195"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Prioritization and Resource Allocation Planning</w:t>
      </w:r>
      <w:r>
        <w:rPr>
          <w:rFonts w:ascii="Arial" w:cs="Arial" w:eastAsia="Arial" w:hAnsi="Arial"/>
          <w:sz w:val="16"/>
          <w:szCs w:val="16"/>
          <w:color w:val="auto"/>
        </w:rPr>
        <w:t>. [***] following the first JSC meeting and at least every [***] thereafter, Keros</w:t>
      </w:r>
      <w:r>
        <w:rPr>
          <w:rFonts w:ascii="Arial" w:cs="Arial" w:eastAsia="Arial" w:hAnsi="Arial"/>
          <w:sz w:val="16"/>
          <w:szCs w:val="16"/>
          <w:b w:val="1"/>
          <w:bCs w:val="1"/>
          <w:color w:val="auto"/>
        </w:rPr>
        <w:t xml:space="preserve"> </w:t>
      </w:r>
      <w:r>
        <w:rPr>
          <w:rFonts w:ascii="Arial" w:cs="Arial" w:eastAsia="Arial" w:hAnsi="Arial"/>
          <w:sz w:val="16"/>
          <w:szCs w:val="16"/>
          <w:color w:val="auto"/>
        </w:rPr>
        <w:t>will present to the JSC for approval a proposed project prioritization for the next [***] period, including a suggested allocation of R&amp;D Collaboration Budget Funding to each New Ligand Trap and to activities directed to identifying potential New Ligand Traps. Keros shall provide to Novo Nordisk a draft of the above project prioritization at least [***] in advance of the JSC meeting at which such project prioritization is to be discussed.</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2.11 Resource Allocation</w:t>
      </w:r>
      <w:r>
        <w:rPr>
          <w:rFonts w:ascii="Arial" w:cs="Arial" w:eastAsia="Arial" w:hAnsi="Arial"/>
          <w:sz w:val="17"/>
          <w:szCs w:val="17"/>
          <w:color w:val="auto"/>
        </w:rPr>
        <w:t>.</w:t>
      </w:r>
    </w:p>
    <w:p>
      <w:pPr>
        <w:spacing w:after="0" w:line="124" w:lineRule="exact"/>
        <w:rPr>
          <w:sz w:val="20"/>
          <w:szCs w:val="20"/>
          <w:color w:val="auto"/>
        </w:rPr>
      </w:pPr>
    </w:p>
    <w:p>
      <w:pPr>
        <w:ind w:right="20" w:firstLine="957"/>
        <w:spacing w:after="0" w:line="266" w:lineRule="auto"/>
        <w:tabs>
          <w:tab w:leader="none" w:pos="1205"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During the Collaboration Term, Keros agrees that it will assign to the New Ligand Traps, and to activities directed to identifying potential New Ligand Traps, appropriate personnel resources comprising skills and levels of experience consistent with such R&amp;D Collaboration Budget Funding. [***], provided that resources expended by Keros on the Declined Ligand Traps after such Ligand Traps have been declined shall not be included. [***].</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2.12 Technology Transfer</w:t>
      </w:r>
      <w:r>
        <w:rPr>
          <w:rFonts w:ascii="Arial" w:cs="Arial" w:eastAsia="Arial" w:hAnsi="Arial"/>
          <w:sz w:val="17"/>
          <w:szCs w:val="17"/>
          <w:color w:val="auto"/>
        </w:rPr>
        <w:t>.</w:t>
      </w:r>
    </w:p>
    <w:p>
      <w:pPr>
        <w:spacing w:after="0" w:line="124" w:lineRule="exact"/>
        <w:rPr>
          <w:sz w:val="20"/>
          <w:szCs w:val="20"/>
          <w:color w:val="auto"/>
        </w:rPr>
      </w:pPr>
    </w:p>
    <w:p>
      <w:pPr>
        <w:ind w:right="220" w:firstLine="957"/>
        <w:spacing w:after="0" w:line="264" w:lineRule="auto"/>
        <w:tabs>
          <w:tab w:leader="none" w:pos="1205"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Promptly following the Effective Date, the Parties shall agree on a plan to transfer to Novo Nordisk all material data and any other information Controlled by Keros as of the Effective Date, including Keros Background Know-How, with respect to the Selected Existing Ligand Trap (the “</w:t>
      </w:r>
      <w:r>
        <w:rPr>
          <w:rFonts w:ascii="Arial" w:cs="Arial" w:eastAsia="Arial" w:hAnsi="Arial"/>
          <w:sz w:val="17"/>
          <w:szCs w:val="17"/>
          <w:b w:val="1"/>
          <w:bCs w:val="1"/>
          <w:color w:val="auto"/>
        </w:rPr>
        <w:t>Technology Transfer</w:t>
      </w:r>
      <w:r>
        <w:rPr>
          <w:rFonts w:ascii="Arial" w:cs="Arial" w:eastAsia="Arial" w:hAnsi="Arial"/>
          <w:sz w:val="17"/>
          <w:szCs w:val="17"/>
          <w:color w:val="auto"/>
        </w:rPr>
        <w:t>”), which transfer shall proceed in accordance with the Research Plan and subject to JSC oversight. Keros shall provide Novo Nordisk with reasonable assistance to enable Novo Nordisk to implement the Keros Background Know-How for [***] following the Effective Date.</w:t>
      </w:r>
    </w:p>
    <w:p>
      <w:pPr>
        <w:spacing w:after="0" w:line="73" w:lineRule="exact"/>
        <w:rPr>
          <w:rFonts w:ascii="Arial" w:cs="Arial" w:eastAsia="Arial" w:hAnsi="Arial"/>
          <w:sz w:val="17"/>
          <w:szCs w:val="17"/>
          <w:b w:val="1"/>
          <w:bCs w:val="1"/>
          <w:color w:val="auto"/>
        </w:rPr>
      </w:pPr>
    </w:p>
    <w:p>
      <w:pPr>
        <w:ind w:right="20" w:firstLine="957"/>
        <w:spacing w:after="0" w:line="262" w:lineRule="auto"/>
        <w:tabs>
          <w:tab w:leader="none" w:pos="1215"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If Novo Nordisk selects Selected New Ligand Traps under Section 2.2(b), then the Parties shall agree on a plan to promptly transfer to Novo Nordisk all material data and any other information Controlled by Keros as of such transfer date, including Keros Background Know-How, Keros New Ligand Trap IP and Keros’ interest in the Collaboration IP, with respect to such Selected New Ligand Trap (this transfer shall be deemed part of the “</w:t>
      </w:r>
      <w:r>
        <w:rPr>
          <w:rFonts w:ascii="Arial" w:cs="Arial" w:eastAsia="Arial" w:hAnsi="Arial"/>
          <w:sz w:val="17"/>
          <w:szCs w:val="17"/>
          <w:b w:val="1"/>
          <w:bCs w:val="1"/>
          <w:color w:val="auto"/>
        </w:rPr>
        <w:t>Technology Transfer</w:t>
      </w:r>
      <w:r>
        <w:rPr>
          <w:rFonts w:ascii="Arial" w:cs="Arial" w:eastAsia="Arial" w:hAnsi="Arial"/>
          <w:sz w:val="17"/>
          <w:szCs w:val="17"/>
          <w:color w:val="auto"/>
        </w:rPr>
        <w:t>”), which transfer shall proceed in accordance with the Research Plan and subject to JSC oversight. Keros shall provide Novo Nordisk with reasonable assistance to enable Novo Nordisk to implement the Keros Background Know-How, Keros New Ligand Trap IP and Keros’ interest in the Collaboration IP for [***] days following such transfer date.</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60"/>
          </w:cols>
          <w:pgMar w:left="620" w:top="264" w:right="619"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Payments</w:t>
      </w:r>
    </w:p>
    <w:p>
      <w:pPr>
        <w:spacing w:after="0" w:line="204" w:lineRule="exact"/>
        <w:rPr>
          <w:sz w:val="20"/>
          <w:szCs w:val="20"/>
          <w:color w:val="auto"/>
        </w:rPr>
      </w:pPr>
    </w:p>
    <w:p>
      <w:pPr>
        <w:jc w:val="both"/>
        <w:ind w:right="180" w:firstLine="426"/>
        <w:spacing w:after="0" w:line="275" w:lineRule="auto"/>
        <w:rPr>
          <w:sz w:val="20"/>
          <w:szCs w:val="20"/>
          <w:color w:val="auto"/>
        </w:rPr>
      </w:pPr>
      <w:r>
        <w:rPr>
          <w:rFonts w:ascii="Arial" w:cs="Arial" w:eastAsia="Arial" w:hAnsi="Arial"/>
          <w:sz w:val="17"/>
          <w:szCs w:val="17"/>
          <w:b w:val="1"/>
          <w:bCs w:val="1"/>
          <w:color w:val="auto"/>
        </w:rPr>
        <w:t>3.1 Upfront Payment</w:t>
      </w:r>
      <w:r>
        <w:rPr>
          <w:rFonts w:ascii="Arial" w:cs="Arial" w:eastAsia="Arial" w:hAnsi="Arial"/>
          <w:sz w:val="17"/>
          <w:szCs w:val="17"/>
          <w:color w:val="auto"/>
        </w:rPr>
        <w:t>. In consideration for Keros entering into this Agreement and conducting the Research Collaboration activities assigned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Keros hereunder and under the Research Plan, Keros shall invoice Novo Nordisk on the Effective Date for an upfront payment of Sixteen Million U.S. Dollars (US$16,000,000). Novo Nordisk shall make such payment to Keros within [***] of the date of Keros’ invoice.</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3.2 Research Collaboration Budget Funding Payments</w:t>
      </w:r>
      <w:r>
        <w:rPr>
          <w:rFonts w:ascii="Arial" w:cs="Arial" w:eastAsia="Arial" w:hAnsi="Arial"/>
          <w:sz w:val="17"/>
          <w:szCs w:val="17"/>
          <w:color w:val="auto"/>
        </w:rPr>
        <w:t>.</w:t>
      </w:r>
    </w:p>
    <w:p>
      <w:pPr>
        <w:spacing w:after="0" w:line="124" w:lineRule="exact"/>
        <w:rPr>
          <w:sz w:val="20"/>
          <w:szCs w:val="20"/>
          <w:color w:val="auto"/>
        </w:rPr>
      </w:pPr>
    </w:p>
    <w:p>
      <w:pPr>
        <w:ind w:right="60" w:firstLine="957"/>
        <w:spacing w:after="0" w:line="266" w:lineRule="auto"/>
        <w:tabs>
          <w:tab w:leader="none" w:pos="1205"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In consideration for Keros entering into this Agreement and conducting the Research Collaboration activities assigned to Keros hereunder and under the Research Plan, Novo Nordisk shall provide Keros with funding of US$2,000,000 per Collaboration Year (i.e., US$4,000,000 in total for the two Collaboration Years) (the “</w:t>
      </w:r>
      <w:r>
        <w:rPr>
          <w:rFonts w:ascii="Arial" w:cs="Arial" w:eastAsia="Arial" w:hAnsi="Arial"/>
          <w:sz w:val="17"/>
          <w:szCs w:val="17"/>
          <w:b w:val="1"/>
          <w:bCs w:val="1"/>
          <w:color w:val="auto"/>
        </w:rPr>
        <w:t>R&amp;D Collaboration Budget Funding</w:t>
      </w:r>
      <w:r>
        <w:rPr>
          <w:rFonts w:ascii="Arial" w:cs="Arial" w:eastAsia="Arial" w:hAnsi="Arial"/>
          <w:sz w:val="17"/>
          <w:szCs w:val="17"/>
          <w:color w:val="auto"/>
        </w:rPr>
        <w:t>”). The R&amp;D Collaboration Budget Funding amount shall constitute non-refundable [***].</w:t>
      </w:r>
    </w:p>
    <w:p>
      <w:pPr>
        <w:spacing w:after="0" w:line="73" w:lineRule="exact"/>
        <w:rPr>
          <w:rFonts w:ascii="Arial" w:cs="Arial" w:eastAsia="Arial" w:hAnsi="Arial"/>
          <w:sz w:val="17"/>
          <w:szCs w:val="17"/>
          <w:b w:val="1"/>
          <w:bCs w:val="1"/>
          <w:color w:val="auto"/>
        </w:rPr>
      </w:pPr>
    </w:p>
    <w:p>
      <w:pPr>
        <w:ind w:right="220" w:firstLine="957"/>
        <w:spacing w:after="0" w:line="272" w:lineRule="auto"/>
        <w:tabs>
          <w:tab w:leader="none" w:pos="1215"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Keros shall invoice Novo Nordisk on the Effective Date for the R&amp;D Collaboration Budget Funding payment (i.e. US$4,000,000) in accordance with the Novo Nordisk Invoicing Instructions set forth in Exhibit F. Novo Nordisk shall make such payment to Keros within [***] of the date of Keros’ invoice.</w:t>
      </w:r>
    </w:p>
    <w:p>
      <w:pPr>
        <w:spacing w:after="0" w:line="66" w:lineRule="exact"/>
        <w:rPr>
          <w:rFonts w:ascii="Arial" w:cs="Arial" w:eastAsia="Arial" w:hAnsi="Arial"/>
          <w:sz w:val="17"/>
          <w:szCs w:val="17"/>
          <w:b w:val="1"/>
          <w:bCs w:val="1"/>
          <w:color w:val="auto"/>
        </w:rPr>
      </w:pPr>
    </w:p>
    <w:p>
      <w:pPr>
        <w:ind w:right="300" w:firstLine="957"/>
        <w:spacing w:after="0" w:line="266" w:lineRule="auto"/>
        <w:tabs>
          <w:tab w:leader="none" w:pos="1195"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Within [***] of the end of each Collaboration Year, Keros shall prepare and deliver to Novo Nordisk a calculation of the costs and expenses, including direct costs and expenses, including for FTEs, incurred in the performance of the Research Collaboration activities as well as reasonable general and administrative and CAPEX/outsourcing costs and expenses allocated to the Research Collaboration activities, and reasonable supporting documentation.</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3.3 Development Milestone Payments for the First Licensed Product</w:t>
      </w:r>
      <w:r>
        <w:rPr>
          <w:rFonts w:ascii="Arial" w:cs="Arial" w:eastAsia="Arial" w:hAnsi="Arial"/>
          <w:sz w:val="17"/>
          <w:szCs w:val="17"/>
          <w:color w:val="auto"/>
        </w:rPr>
        <w:t>.</w:t>
      </w:r>
    </w:p>
    <w:p>
      <w:pPr>
        <w:spacing w:after="0" w:line="124" w:lineRule="exact"/>
        <w:rPr>
          <w:sz w:val="20"/>
          <w:szCs w:val="20"/>
          <w:color w:val="auto"/>
        </w:rPr>
      </w:pPr>
    </w:p>
    <w:p>
      <w:pPr>
        <w:ind w:right="560" w:firstLine="957"/>
        <w:spacing w:after="0" w:line="287" w:lineRule="auto"/>
        <w:tabs>
          <w:tab w:leader="none" w:pos="1205"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Novo Nordisk shall make each of the following milestone payments within [***] after the achievement of each of the following respective milestone events with respect to the first Licensed Product by Novo Nordisk, its Affiliates or its sublicensees: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Development Milestone Event</w:t>
            </w:r>
          </w:p>
        </w:tc>
        <w:tc>
          <w:tcPr>
            <w:tcW w:w="5440" w:type="dxa"/>
            <w:vAlign w:val="bottom"/>
            <w:gridSpan w:val="4"/>
          </w:tcPr>
          <w:p>
            <w:pPr>
              <w:ind w:left="4200"/>
              <w:spacing w:after="0"/>
              <w:rPr>
                <w:sz w:val="20"/>
                <w:szCs w:val="20"/>
                <w:color w:val="auto"/>
              </w:rPr>
            </w:pPr>
            <w:r>
              <w:rPr>
                <w:rFonts w:ascii="Arial" w:cs="Arial" w:eastAsia="Arial" w:hAnsi="Arial"/>
                <w:sz w:val="14"/>
                <w:szCs w:val="14"/>
                <w:b w:val="1"/>
                <w:bCs w:val="1"/>
                <w:color w:val="auto"/>
                <w:w w:val="96"/>
              </w:rPr>
              <w:t>Milestone Payment</w:t>
            </w:r>
          </w:p>
        </w:tc>
        <w:tc>
          <w:tcPr>
            <w:tcW w:w="0" w:type="dxa"/>
            <w:vAlign w:val="bottom"/>
          </w:tcPr>
          <w:p>
            <w:pPr>
              <w:spacing w:after="0"/>
              <w:rPr>
                <w:sz w:val="1"/>
                <w:szCs w:val="1"/>
                <w:color w:val="auto"/>
              </w:rPr>
            </w:pPr>
          </w:p>
        </w:tc>
      </w:tr>
      <w:tr>
        <w:trPr>
          <w:trHeight w:val="173"/>
        </w:trPr>
        <w:tc>
          <w:tcPr>
            <w:tcW w:w="1800" w:type="dxa"/>
            <w:vAlign w:val="bottom"/>
            <w:gridSpan w:val="2"/>
            <w:vMerge w:val="continue"/>
          </w:tcPr>
          <w:p>
            <w:pPr>
              <w:spacing w:after="0"/>
              <w:rPr>
                <w:sz w:val="15"/>
                <w:szCs w:val="15"/>
                <w:color w:val="auto"/>
              </w:rPr>
            </w:pPr>
          </w:p>
        </w:tc>
        <w:tc>
          <w:tcPr>
            <w:tcW w:w="4200" w:type="dxa"/>
            <w:vAlign w:val="bottom"/>
          </w:tcPr>
          <w:p>
            <w:pPr>
              <w:spacing w:after="0"/>
              <w:rPr>
                <w:sz w:val="15"/>
                <w:szCs w:val="15"/>
                <w:color w:val="auto"/>
              </w:rPr>
            </w:pPr>
          </w:p>
        </w:tc>
        <w:tc>
          <w:tcPr>
            <w:tcW w:w="124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 [***]</w:t>
            </w:r>
          </w:p>
        </w:tc>
        <w:tc>
          <w:tcPr>
            <w:tcW w:w="4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0"/>
              </w:rPr>
              <w:t>US$</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(i)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(ii) [***]</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(iii)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(iv) [***]</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(v)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Milestones</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b w:val="1"/>
                <w:bCs w:val="1"/>
                <w:u w:val="single" w:color="auto"/>
                <w:color w:val="auto"/>
                <w:w w:val="96"/>
              </w:rPr>
              <w:t>US</w:t>
            </w:r>
            <w:r>
              <w:rPr>
                <w:rFonts w:ascii="Arial" w:cs="Arial" w:eastAsia="Arial" w:hAnsi="Arial"/>
                <w:sz w:val="17"/>
                <w:szCs w:val="17"/>
                <w:b w:val="1"/>
                <w:bCs w:val="1"/>
                <w:color w:val="auto"/>
                <w:w w:val="96"/>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89"/>
              </w:rPr>
              <w:t>96,000,000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0" w:type="dxa"/>
            <w:vAlign w:val="bottom"/>
          </w:tcPr>
          <w:p>
            <w:pPr>
              <w:ind w:left="1720"/>
              <w:spacing w:after="0"/>
              <w:rPr>
                <w:sz w:val="20"/>
                <w:szCs w:val="20"/>
                <w:color w:val="auto"/>
              </w:rPr>
            </w:pPr>
            <w:r>
              <w:rPr>
                <w:rFonts w:ascii="Arial" w:cs="Arial" w:eastAsia="Arial" w:hAnsi="Arial"/>
                <w:sz w:val="17"/>
                <w:szCs w:val="17"/>
                <w:color w:val="auto"/>
              </w:rPr>
              <w:t>17.</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264" w:right="6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120" w:firstLine="957"/>
        <w:spacing w:after="0" w:line="282" w:lineRule="auto"/>
        <w:tabs>
          <w:tab w:leader="none" w:pos="1215" w:val="left"/>
        </w:tabs>
        <w:numPr>
          <w:ilvl w:val="0"/>
          <w:numId w:val="307"/>
        </w:numPr>
        <w:rPr>
          <w:rFonts w:ascii="Arial" w:cs="Arial" w:eastAsia="Arial" w:hAnsi="Arial"/>
          <w:sz w:val="16"/>
          <w:szCs w:val="16"/>
          <w:b w:val="1"/>
          <w:bCs w:val="1"/>
          <w:color w:val="auto"/>
        </w:rPr>
      </w:pPr>
      <w:r>
        <w:rPr>
          <w:rFonts w:ascii="Arial" w:cs="Arial" w:eastAsia="Arial" w:hAnsi="Arial"/>
          <w:sz w:val="16"/>
          <w:szCs w:val="16"/>
          <w:color w:val="auto"/>
        </w:rPr>
        <w:t>The development milestone payments payable under Sections 3.3(a)(i) and 3.3(a)(ii) shall only be payable one time (i.e., for the first event by the first Licensed Product regardless of the repeated achievement of the milestone event by the same Licensed Product or other Licensed Product(s)), irrespective of how many Indications for which the first Licensed Product is Developed or Commercialized by Novo Nordisk, its Affiliates or its sublicensees. Any second or third Indication with the same first Licensed Product shall trigger fifty (50) % of the development milestones under Sections 3.3(a)(iii), (iv), (v) and (vi) as they occur for such second or third Indication of the first Licensed Product (i.e. no retriggering of development milestones (i) and (ii)). Any fourth Indication for the same first Licensed Product shall have no milestone payments.</w:t>
      </w:r>
    </w:p>
    <w:p>
      <w:pPr>
        <w:spacing w:after="0" w:line="60" w:lineRule="exact"/>
        <w:rPr>
          <w:rFonts w:ascii="Arial" w:cs="Arial" w:eastAsia="Arial" w:hAnsi="Arial"/>
          <w:sz w:val="16"/>
          <w:szCs w:val="16"/>
          <w:b w:val="1"/>
          <w:bCs w:val="1"/>
          <w:color w:val="auto"/>
        </w:rPr>
      </w:pPr>
    </w:p>
    <w:p>
      <w:pPr>
        <w:ind w:right="100" w:firstLine="957"/>
        <w:spacing w:after="0" w:line="266" w:lineRule="auto"/>
        <w:tabs>
          <w:tab w:leader="none" w:pos="1195"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Subject to Section 3.3(b), the achievement of any milestone event set forth in this Section 3.3 shall cause all milestone payments associated with all earlier listed milestone events that have not yet become due and payable to become due and payable as of the date of achievement of such milestone event; provided, however, that achievement of the milestone event “[***]” shall not cause the milestone payment associated with the milestone event “[***]” to become due and payable, and vice versa.</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3.4 Development Milestone Payments for the Second or Third Licensed Product</w:t>
      </w:r>
      <w:r>
        <w:rPr>
          <w:rFonts w:ascii="Arial" w:cs="Arial" w:eastAsia="Arial" w:hAnsi="Arial"/>
          <w:sz w:val="17"/>
          <w:szCs w:val="17"/>
          <w:color w:val="auto"/>
        </w:rPr>
        <w:t>.</w:t>
      </w:r>
    </w:p>
    <w:p>
      <w:pPr>
        <w:spacing w:after="0" w:line="124" w:lineRule="exact"/>
        <w:rPr>
          <w:sz w:val="20"/>
          <w:szCs w:val="20"/>
          <w:color w:val="auto"/>
        </w:rPr>
      </w:pPr>
    </w:p>
    <w:p>
      <w:pPr>
        <w:ind w:right="560" w:firstLine="957"/>
        <w:spacing w:after="0" w:line="320" w:lineRule="auto"/>
        <w:tabs>
          <w:tab w:leader="none" w:pos="1205"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Novo Nordisk shall make each of the following milestone payments within [***] after the achievement of each of the following respective milestone events with respect to a second or third Licensed Product by Novo Nordisk, its Affiliates or its sublicensees: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Development Milestone Event</w:t>
            </w:r>
          </w:p>
        </w:tc>
        <w:tc>
          <w:tcPr>
            <w:tcW w:w="5440" w:type="dxa"/>
            <w:vAlign w:val="bottom"/>
            <w:gridSpan w:val="4"/>
          </w:tcPr>
          <w:p>
            <w:pPr>
              <w:ind w:left="4200"/>
              <w:spacing w:after="0"/>
              <w:rPr>
                <w:sz w:val="20"/>
                <w:szCs w:val="20"/>
                <w:color w:val="auto"/>
              </w:rPr>
            </w:pPr>
            <w:r>
              <w:rPr>
                <w:rFonts w:ascii="Arial" w:cs="Arial" w:eastAsia="Arial" w:hAnsi="Arial"/>
                <w:sz w:val="14"/>
                <w:szCs w:val="14"/>
                <w:b w:val="1"/>
                <w:bCs w:val="1"/>
                <w:color w:val="auto"/>
                <w:w w:val="96"/>
              </w:rPr>
              <w:t>Milestone Payment</w:t>
            </w:r>
          </w:p>
        </w:tc>
        <w:tc>
          <w:tcPr>
            <w:tcW w:w="0" w:type="dxa"/>
            <w:vAlign w:val="bottom"/>
          </w:tcPr>
          <w:p>
            <w:pPr>
              <w:spacing w:after="0"/>
              <w:rPr>
                <w:sz w:val="1"/>
                <w:szCs w:val="1"/>
                <w:color w:val="auto"/>
              </w:rPr>
            </w:pPr>
          </w:p>
        </w:tc>
      </w:tr>
      <w:tr>
        <w:trPr>
          <w:trHeight w:val="173"/>
        </w:trPr>
        <w:tc>
          <w:tcPr>
            <w:tcW w:w="1800" w:type="dxa"/>
            <w:vAlign w:val="bottom"/>
            <w:gridSpan w:val="2"/>
            <w:vMerge w:val="continue"/>
          </w:tcPr>
          <w:p>
            <w:pPr>
              <w:spacing w:after="0"/>
              <w:rPr>
                <w:sz w:val="15"/>
                <w:szCs w:val="15"/>
                <w:color w:val="auto"/>
              </w:rPr>
            </w:pPr>
          </w:p>
        </w:tc>
        <w:tc>
          <w:tcPr>
            <w:tcW w:w="4200" w:type="dxa"/>
            <w:vAlign w:val="bottom"/>
          </w:tcPr>
          <w:p>
            <w:pPr>
              <w:spacing w:after="0"/>
              <w:rPr>
                <w:sz w:val="15"/>
                <w:szCs w:val="15"/>
                <w:color w:val="auto"/>
              </w:rPr>
            </w:pPr>
          </w:p>
        </w:tc>
        <w:tc>
          <w:tcPr>
            <w:tcW w:w="124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 [***]</w:t>
            </w:r>
          </w:p>
        </w:tc>
        <w:tc>
          <w:tcPr>
            <w:tcW w:w="4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0"/>
              </w:rPr>
              <w:t>US$</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(ii)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(iii) [***]</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(iv)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(v) [***]</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7"/>
                <w:szCs w:val="17"/>
                <w:color w:val="auto"/>
              </w:rPr>
              <w:t>(vi) [***]</w:t>
            </w:r>
          </w:p>
        </w:tc>
        <w:tc>
          <w:tcPr>
            <w:tcW w:w="4520" w:type="dxa"/>
            <w:vAlign w:val="bottom"/>
            <w:gridSpan w:val="2"/>
          </w:tcPr>
          <w:p>
            <w:pPr>
              <w:ind w:left="418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Milestones</w:t>
            </w:r>
          </w:p>
        </w:tc>
        <w:tc>
          <w:tcPr>
            <w:tcW w:w="4520" w:type="dxa"/>
            <w:vAlign w:val="bottom"/>
            <w:gridSpan w:val="2"/>
            <w:shd w:val="clear" w:color="auto" w:fill="CCEEFF"/>
          </w:tcPr>
          <w:p>
            <w:pPr>
              <w:ind w:left="4180"/>
              <w:spacing w:after="0"/>
              <w:rPr>
                <w:sz w:val="20"/>
                <w:szCs w:val="20"/>
                <w:color w:val="auto"/>
              </w:rPr>
            </w:pPr>
            <w:r>
              <w:rPr>
                <w:rFonts w:ascii="Arial" w:cs="Arial" w:eastAsia="Arial" w:hAnsi="Arial"/>
                <w:sz w:val="17"/>
                <w:szCs w:val="17"/>
                <w:b w:val="1"/>
                <w:bCs w:val="1"/>
                <w:u w:val="single" w:color="auto"/>
                <w:color w:val="auto"/>
                <w:w w:val="96"/>
              </w:rPr>
              <w:t>US</w:t>
            </w:r>
            <w:r>
              <w:rPr>
                <w:rFonts w:ascii="Arial" w:cs="Arial" w:eastAsia="Arial" w:hAnsi="Arial"/>
                <w:sz w:val="17"/>
                <w:szCs w:val="17"/>
                <w:b w:val="1"/>
                <w:bCs w:val="1"/>
                <w:color w:val="auto"/>
                <w:w w:val="96"/>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89"/>
              </w:rPr>
              <w:t>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0" w:type="dxa"/>
            <w:vAlign w:val="bottom"/>
          </w:tcPr>
          <w:p>
            <w:pPr>
              <w:ind w:left="1720"/>
              <w:spacing w:after="0"/>
              <w:rPr>
                <w:sz w:val="20"/>
                <w:szCs w:val="20"/>
                <w:color w:val="auto"/>
              </w:rPr>
            </w:pPr>
            <w:r>
              <w:rPr>
                <w:rFonts w:ascii="Arial" w:cs="Arial" w:eastAsia="Arial" w:hAnsi="Arial"/>
                <w:sz w:val="17"/>
                <w:szCs w:val="17"/>
                <w:color w:val="auto"/>
              </w:rPr>
              <w:t>18.</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264" w:right="619" w:bottom="1440" w:gutter="0" w:footer="0" w:header="0"/>
        </w:sectPr>
      </w:pPr>
    </w:p>
    <w:bookmarkStart w:id="362" w:name="page363"/>
    <w:bookmarkEnd w:id="36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63" w:lineRule="exact"/>
        <w:rPr>
          <w:sz w:val="20"/>
          <w:szCs w:val="20"/>
          <w:color w:val="auto"/>
        </w:rPr>
      </w:pPr>
    </w:p>
    <w:p>
      <w:pPr>
        <w:ind w:right="60" w:firstLine="957"/>
        <w:spacing w:after="0" w:line="261" w:lineRule="auto"/>
        <w:tabs>
          <w:tab w:leader="none" w:pos="1215" w:val="left"/>
        </w:tabs>
        <w:numPr>
          <w:ilvl w:val="0"/>
          <w:numId w:val="309"/>
        </w:numPr>
        <w:rPr>
          <w:rFonts w:ascii="Arial" w:cs="Arial" w:eastAsia="Arial" w:hAnsi="Arial"/>
          <w:sz w:val="17"/>
          <w:szCs w:val="17"/>
          <w:b w:val="1"/>
          <w:bCs w:val="1"/>
          <w:color w:val="auto"/>
        </w:rPr>
      </w:pPr>
      <w:r>
        <w:rPr>
          <w:rFonts w:ascii="Arial" w:cs="Arial" w:eastAsia="Arial" w:hAnsi="Arial"/>
          <w:sz w:val="17"/>
          <w:szCs w:val="17"/>
          <w:color w:val="auto"/>
        </w:rPr>
        <w:t>The development milestone payments payable under Sections 3.4 (a)(i) and 3.4 (a)(ii) shall only be payable one time (i.e., for the first event by the second or third Licensed Product regardless of the repeated achievement of the milestone event by the same second or third Licensed Product or other Licensed Product(s)), irrespective of how many Indications for which a second or third Licensed Product is Developed or Commercialized by Novo Nordisk, its Affiliates or its sublicensees. Any second or third Indication with the same second or third Licensed Product shall trigger fifty (50) % of the development milestones under Sections 3.43.3(iii), (iv), (v) and (vi) as they occur for such second or third Indication of the second or third Licensed Product (i.e. no retriggering of development milestones (i) and (ii)). Any fourth Indication for the same second or third Licensed Product shall have no milestone payments.</w:t>
      </w:r>
    </w:p>
    <w:p>
      <w:pPr>
        <w:spacing w:after="0" w:line="78" w:lineRule="exact"/>
        <w:rPr>
          <w:rFonts w:ascii="Arial" w:cs="Arial" w:eastAsia="Arial" w:hAnsi="Arial"/>
          <w:sz w:val="17"/>
          <w:szCs w:val="17"/>
          <w:b w:val="1"/>
          <w:bCs w:val="1"/>
          <w:color w:val="auto"/>
        </w:rPr>
      </w:pPr>
    </w:p>
    <w:p>
      <w:pPr>
        <w:ind w:right="160" w:firstLine="957"/>
        <w:spacing w:after="0" w:line="272" w:lineRule="auto"/>
        <w:tabs>
          <w:tab w:leader="none" w:pos="1195" w:val="left"/>
        </w:tabs>
        <w:numPr>
          <w:ilvl w:val="0"/>
          <w:numId w:val="309"/>
        </w:numPr>
        <w:rPr>
          <w:rFonts w:ascii="Arial" w:cs="Arial" w:eastAsia="Arial" w:hAnsi="Arial"/>
          <w:sz w:val="17"/>
          <w:szCs w:val="17"/>
          <w:b w:val="1"/>
          <w:bCs w:val="1"/>
          <w:color w:val="auto"/>
        </w:rPr>
      </w:pPr>
      <w:r>
        <w:rPr>
          <w:rFonts w:ascii="Arial" w:cs="Arial" w:eastAsia="Arial" w:hAnsi="Arial"/>
          <w:sz w:val="17"/>
          <w:szCs w:val="17"/>
          <w:color w:val="auto"/>
        </w:rPr>
        <w:t>If a second or third Licensed Product is Developed for same Indication for which a development milestone already has been paid for the first Licensed Product under Section 3.3(a) for which the Development has subsequently been terminated with such first Licensed Product for such same Indication, then such already paid development milestone shall not be triggered/paid for under Section 3.4.</w:t>
      </w:r>
    </w:p>
    <w:p>
      <w:pPr>
        <w:spacing w:after="0" w:line="66" w:lineRule="exact"/>
        <w:rPr>
          <w:rFonts w:ascii="Arial" w:cs="Arial" w:eastAsia="Arial" w:hAnsi="Arial"/>
          <w:sz w:val="17"/>
          <w:szCs w:val="17"/>
          <w:b w:val="1"/>
          <w:bCs w:val="1"/>
          <w:color w:val="auto"/>
        </w:rPr>
      </w:pPr>
    </w:p>
    <w:p>
      <w:pPr>
        <w:jc w:val="both"/>
        <w:ind w:right="100" w:firstLine="957"/>
        <w:spacing w:after="0" w:line="266" w:lineRule="auto"/>
        <w:tabs>
          <w:tab w:leader="none" w:pos="1215" w:val="left"/>
        </w:tabs>
        <w:numPr>
          <w:ilvl w:val="0"/>
          <w:numId w:val="309"/>
        </w:numPr>
        <w:rPr>
          <w:rFonts w:ascii="Arial" w:cs="Arial" w:eastAsia="Arial" w:hAnsi="Arial"/>
          <w:sz w:val="17"/>
          <w:szCs w:val="17"/>
          <w:b w:val="1"/>
          <w:bCs w:val="1"/>
          <w:color w:val="auto"/>
        </w:rPr>
      </w:pPr>
      <w:r>
        <w:rPr>
          <w:rFonts w:ascii="Arial" w:cs="Arial" w:eastAsia="Arial" w:hAnsi="Arial"/>
          <w:sz w:val="17"/>
          <w:szCs w:val="17"/>
          <w:color w:val="auto"/>
        </w:rPr>
        <w:t>Subject to Sections 3.4 (b)-(c), the achievement of any milestone event set forth in this Section 3.4 shall cause all milestone payments associated with all earlier listed milestone events that have not yet become due and payable to become due and payable as of the date of achievement of such milestone event; provided, however, that achievement of the milestone event “[***]” shall not cause the milestone payment associated with the milestone event “[***]” to become due and payable, and vice versa.</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3.5 Sales Milestone Payments</w:t>
      </w:r>
      <w:r>
        <w:rPr>
          <w:rFonts w:ascii="Arial" w:cs="Arial" w:eastAsia="Arial" w:hAnsi="Arial"/>
          <w:sz w:val="17"/>
          <w:szCs w:val="17"/>
          <w:color w:val="auto"/>
        </w:rPr>
        <w:t>.</w:t>
      </w:r>
    </w:p>
    <w:p>
      <w:pPr>
        <w:spacing w:after="0" w:line="124" w:lineRule="exact"/>
        <w:rPr>
          <w:sz w:val="20"/>
          <w:szCs w:val="20"/>
          <w:color w:val="auto"/>
        </w:rPr>
      </w:pPr>
    </w:p>
    <w:p>
      <w:pPr>
        <w:ind w:right="140" w:firstLine="957"/>
        <w:spacing w:after="0" w:line="264" w:lineRule="auto"/>
        <w:tabs>
          <w:tab w:leader="none" w:pos="1205"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Novo Nordisk shall provide Keros with written notice of the anticipated first occurrence of each of the events set forth below with respect to Licensed Product at least [***] prior to such occurrence, and shall provide Keros with written notice of the actual first occurrence of each sales milestone set forth below with respect to Licensed Product within [***]s after such occurrence. Within [***] of the first occurrence of each of the events set forth below with respect to Licensed Product whether by Novo Nordisk, its Affiliate or any of their respective sublicensees, Novo Nordisk shall pay to Keros the applicable payment set forth below:</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Sales Milestone Event</w:t>
            </w:r>
          </w:p>
        </w:tc>
        <w:tc>
          <w:tcPr>
            <w:tcW w:w="5920" w:type="dxa"/>
            <w:vAlign w:val="bottom"/>
            <w:gridSpan w:val="4"/>
          </w:tcPr>
          <w:p>
            <w:pPr>
              <w:ind w:left="4680"/>
              <w:spacing w:after="0"/>
              <w:rPr>
                <w:sz w:val="20"/>
                <w:szCs w:val="20"/>
                <w:color w:val="auto"/>
              </w:rPr>
            </w:pPr>
            <w:r>
              <w:rPr>
                <w:rFonts w:ascii="Arial" w:cs="Arial" w:eastAsia="Arial" w:hAnsi="Arial"/>
                <w:sz w:val="14"/>
                <w:szCs w:val="14"/>
                <w:b w:val="1"/>
                <w:bCs w:val="1"/>
                <w:color w:val="auto"/>
                <w:w w:val="96"/>
              </w:rPr>
              <w:t>Milestone Payment</w:t>
            </w:r>
          </w:p>
        </w:tc>
        <w:tc>
          <w:tcPr>
            <w:tcW w:w="0" w:type="dxa"/>
            <w:vAlign w:val="bottom"/>
          </w:tcPr>
          <w:p>
            <w:pPr>
              <w:spacing w:after="0"/>
              <w:rPr>
                <w:sz w:val="1"/>
                <w:szCs w:val="1"/>
                <w:color w:val="auto"/>
              </w:rPr>
            </w:pPr>
          </w:p>
        </w:tc>
      </w:tr>
      <w:tr>
        <w:trPr>
          <w:trHeight w:val="173"/>
        </w:trPr>
        <w:tc>
          <w:tcPr>
            <w:tcW w:w="1320" w:type="dxa"/>
            <w:vAlign w:val="bottom"/>
            <w:gridSpan w:val="2"/>
            <w:vMerge w:val="continue"/>
          </w:tcPr>
          <w:p>
            <w:pPr>
              <w:spacing w:after="0"/>
              <w:rPr>
                <w:sz w:val="15"/>
                <w:szCs w:val="15"/>
                <w:color w:val="auto"/>
              </w:rPr>
            </w:pPr>
          </w:p>
        </w:tc>
        <w:tc>
          <w:tcPr>
            <w:tcW w:w="4680" w:type="dxa"/>
            <w:vAlign w:val="bottom"/>
          </w:tcPr>
          <w:p>
            <w:pPr>
              <w:spacing w:after="0"/>
              <w:rPr>
                <w:sz w:val="15"/>
                <w:szCs w:val="15"/>
                <w:color w:val="auto"/>
              </w:rPr>
            </w:pPr>
          </w:p>
        </w:tc>
        <w:tc>
          <w:tcPr>
            <w:tcW w:w="124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6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0"/>
              </w:rPr>
              <w:t>US$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7"/>
                <w:szCs w:val="17"/>
                <w:color w:val="auto"/>
              </w:rPr>
              <w:t>[***]</w:t>
            </w:r>
          </w:p>
        </w:tc>
        <w:tc>
          <w:tcPr>
            <w:tcW w:w="5000" w:type="dxa"/>
            <w:vAlign w:val="bottom"/>
            <w:gridSpan w:val="2"/>
          </w:tcPr>
          <w:p>
            <w:pPr>
              <w:ind w:left="4660"/>
              <w:spacing w:after="0"/>
              <w:rPr>
                <w:sz w:val="20"/>
                <w:szCs w:val="20"/>
                <w:color w:val="auto"/>
              </w:rPr>
            </w:pPr>
            <w:r>
              <w:rPr>
                <w:rFonts w:ascii="Arial" w:cs="Arial" w:eastAsia="Arial" w:hAnsi="Arial"/>
                <w:sz w:val="17"/>
                <w:szCs w:val="17"/>
                <w:color w:val="auto"/>
                <w:w w:val="96"/>
              </w:rPr>
              <w:t>US$</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Total Milestones</w:t>
            </w:r>
          </w:p>
        </w:tc>
        <w:tc>
          <w:tcPr>
            <w:tcW w:w="5000" w:type="dxa"/>
            <w:vAlign w:val="bottom"/>
            <w:gridSpan w:val="2"/>
            <w:shd w:val="clear" w:color="auto" w:fill="CCEEFF"/>
          </w:tcPr>
          <w:p>
            <w:pPr>
              <w:ind w:left="4660"/>
              <w:spacing w:after="0"/>
              <w:rPr>
                <w:sz w:val="20"/>
                <w:szCs w:val="20"/>
                <w:color w:val="auto"/>
              </w:rPr>
            </w:pPr>
            <w:r>
              <w:rPr>
                <w:rFonts w:ascii="Arial" w:cs="Arial" w:eastAsia="Arial" w:hAnsi="Arial"/>
                <w:sz w:val="17"/>
                <w:szCs w:val="17"/>
                <w:b w:val="1"/>
                <w:bCs w:val="1"/>
                <w:u w:val="single" w:color="auto"/>
                <w:color w:val="auto"/>
                <w:w w:val="96"/>
              </w:rPr>
              <w:t>US</w:t>
            </w:r>
            <w:r>
              <w:rPr>
                <w:rFonts w:ascii="Arial" w:cs="Arial" w:eastAsia="Arial" w:hAnsi="Arial"/>
                <w:sz w:val="17"/>
                <w:szCs w:val="17"/>
                <w:b w:val="1"/>
                <w:bCs w:val="1"/>
                <w:color w:val="auto"/>
                <w:w w:val="9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70,000,000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80" w:type="dxa"/>
            <w:vAlign w:val="bottom"/>
          </w:tcPr>
          <w:p>
            <w:pPr>
              <w:jc w:val="right"/>
              <w:ind w:right="2177"/>
              <w:spacing w:after="0"/>
              <w:rPr>
                <w:sz w:val="20"/>
                <w:szCs w:val="20"/>
                <w:color w:val="auto"/>
              </w:rPr>
            </w:pPr>
            <w:r>
              <w:rPr>
                <w:rFonts w:ascii="Arial" w:cs="Arial" w:eastAsia="Arial" w:hAnsi="Arial"/>
                <w:sz w:val="17"/>
                <w:szCs w:val="17"/>
                <w:color w:val="auto"/>
              </w:rPr>
              <w:t>19.</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264" w:right="619" w:bottom="1440" w:gutter="0" w:footer="0" w:header="0"/>
        </w:sectPr>
      </w:pPr>
    </w:p>
    <w:bookmarkStart w:id="363" w:name="page364"/>
    <w:bookmarkEnd w:id="36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80" w:firstLine="957"/>
        <w:spacing w:after="0" w:line="280" w:lineRule="auto"/>
        <w:tabs>
          <w:tab w:leader="none" w:pos="1215"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The sales milestone payments set forth in Section 3.5 shall be triggered by the achievement of the specified sales for all Licensed Product (including, for purposes of this calculation, aggregate worldwide Net Sales of all Licensed Product for any and all Indications, and including all formulations, generations and/or refinements thereof) in an annual period, and shall be payable only once despite potential repeated achievement of the specified sales by the same Licensed Product or other Licensed Products. For purposes of clarity, more than one of the foregoing sales milestone payments may be earned and become payable with respect to Licensed Product in the same annual period based on aggregate worldwide Net Sales of Licensed Product during such annual period. All payments made to Keros pursuant to Section 3.5 are non-refundable and may not be credited against any other payments payable by Novo Nordisk to Keros under this Agreement.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3.6 Royalties</w:t>
      </w:r>
      <w:r>
        <w:rPr>
          <w:rFonts w:ascii="Arial" w:cs="Arial" w:eastAsia="Arial" w:hAnsi="Arial"/>
          <w:sz w:val="17"/>
          <w:szCs w:val="17"/>
          <w:color w:val="auto"/>
        </w:rPr>
        <w:t>.</w:t>
      </w:r>
    </w:p>
    <w:p>
      <w:pPr>
        <w:spacing w:after="0" w:line="118" w:lineRule="exact"/>
        <w:rPr>
          <w:sz w:val="20"/>
          <w:szCs w:val="20"/>
          <w:color w:val="auto"/>
        </w:rPr>
      </w:pPr>
    </w:p>
    <w:p>
      <w:pPr>
        <w:ind w:right="140" w:firstLine="957"/>
        <w:spacing w:after="0" w:line="269" w:lineRule="auto"/>
        <w:tabs>
          <w:tab w:leader="none" w:pos="1205"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Patent Royalties</w:t>
      </w:r>
      <w:r>
        <w:rPr>
          <w:rFonts w:ascii="Arial" w:cs="Arial" w:eastAsia="Arial" w:hAnsi="Arial"/>
          <w:sz w:val="17"/>
          <w:szCs w:val="17"/>
          <w:color w:val="auto"/>
        </w:rPr>
        <w:t>. During the Royalty Term (as defined in Section 3.6(c)), Novo Nordisk shall pay to Keros a patent royalty of [***]</w:t>
      </w:r>
      <w:r>
        <w:rPr>
          <w:rFonts w:ascii="Arial" w:cs="Arial" w:eastAsia="Arial" w:hAnsi="Arial"/>
          <w:sz w:val="17"/>
          <w:szCs w:val="17"/>
          <w:b w:val="1"/>
          <w:bCs w:val="1"/>
          <w:color w:val="auto"/>
        </w:rPr>
        <w:t xml:space="preserve"> </w:t>
      </w:r>
      <w:r>
        <w:rPr>
          <w:rFonts w:ascii="Arial" w:cs="Arial" w:eastAsia="Arial" w:hAnsi="Arial"/>
          <w:sz w:val="17"/>
          <w:szCs w:val="17"/>
          <w:color w:val="auto"/>
        </w:rPr>
        <w:t>on a country-by-country and Licensed Product-by-Licensed Product basis in the Territory of annual Net Sales of Licensed Products Covered by a Valid Claim of a Keros Patent, a Novo Nordisk Patent (provided an employee of Keros or an Affiliate or Third Party contractor thereof is a joint inventor or the sole inventor named on such Novo Nordisk Patent) or a Collaboration Patent.</w:t>
      </w:r>
    </w:p>
    <w:p>
      <w:pPr>
        <w:spacing w:after="0" w:line="63" w:lineRule="exact"/>
        <w:rPr>
          <w:rFonts w:ascii="Arial" w:cs="Arial" w:eastAsia="Arial" w:hAnsi="Arial"/>
          <w:sz w:val="17"/>
          <w:szCs w:val="17"/>
          <w:b w:val="1"/>
          <w:bCs w:val="1"/>
          <w:color w:val="auto"/>
        </w:rPr>
      </w:pPr>
    </w:p>
    <w:p>
      <w:pPr>
        <w:ind w:right="40" w:firstLine="957"/>
        <w:spacing w:after="0" w:line="291" w:lineRule="auto"/>
        <w:tabs>
          <w:tab w:leader="none" w:pos="1215"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Know-How Royalties</w:t>
      </w:r>
      <w:r>
        <w:rPr>
          <w:rFonts w:ascii="Arial" w:cs="Arial" w:eastAsia="Arial" w:hAnsi="Arial"/>
          <w:sz w:val="16"/>
          <w:szCs w:val="16"/>
          <w:color w:val="auto"/>
        </w:rPr>
        <w:t>. In the event that prior to the expiration of the Royalty Term a Licensed Product is not Covered by a Valid</w:t>
      </w:r>
      <w:r>
        <w:rPr>
          <w:rFonts w:ascii="Arial" w:cs="Arial" w:eastAsia="Arial" w:hAnsi="Arial"/>
          <w:sz w:val="16"/>
          <w:szCs w:val="16"/>
          <w:b w:val="1"/>
          <w:bCs w:val="1"/>
          <w:color w:val="auto"/>
        </w:rPr>
        <w:t xml:space="preserve"> </w:t>
      </w:r>
      <w:r>
        <w:rPr>
          <w:rFonts w:ascii="Arial" w:cs="Arial" w:eastAsia="Arial" w:hAnsi="Arial"/>
          <w:sz w:val="16"/>
          <w:szCs w:val="16"/>
          <w:color w:val="auto"/>
        </w:rPr>
        <w:t>Claim of a Keros Patent, a Novo Nordisk Patent (provided an employee of Keros or an Affiliate or Third Party contractor thereof is a joint inventor or the sole inventor named on such Novo Nordisk Patent) or a Collaboration Patent, then Novo Nordisk shall pay Keros a Know-How royalty of [***] on a country-by-country and Licensed Product-by-Licensed Product basis in the Territory of annual Net Sales of Licensed Products.</w:t>
      </w:r>
    </w:p>
    <w:p>
      <w:pPr>
        <w:spacing w:after="0" w:line="47" w:lineRule="exact"/>
        <w:rPr>
          <w:rFonts w:ascii="Arial" w:cs="Arial" w:eastAsia="Arial" w:hAnsi="Arial"/>
          <w:sz w:val="16"/>
          <w:szCs w:val="16"/>
          <w:b w:val="1"/>
          <w:bCs w:val="1"/>
          <w:color w:val="auto"/>
        </w:rPr>
      </w:pPr>
    </w:p>
    <w:p>
      <w:pPr>
        <w:ind w:right="180" w:firstLine="957"/>
        <w:spacing w:after="0" w:line="283" w:lineRule="auto"/>
        <w:tabs>
          <w:tab w:leader="none" w:pos="1195"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Royalty Term</w:t>
      </w:r>
      <w:r>
        <w:rPr>
          <w:rFonts w:ascii="Arial" w:cs="Arial" w:eastAsia="Arial" w:hAnsi="Arial"/>
          <w:sz w:val="16"/>
          <w:szCs w:val="16"/>
          <w:color w:val="auto"/>
        </w:rPr>
        <w:t>. Novo Nordisk’s royalty obligations under Section 3.6 shall commence on a country-by-country basis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Product-by-Licensed Product basis on the date of First Commercial Sale of Licensed Product by Novo Nordisk, its Affiliates or sublicensees in the relevant country, and shall expire on a country-by-country basis upon the later of (i) expiration of the last to expire Valid Claim of a Keros Patent, a Novo Nordisk Patent (provided an employee of Keros or an Affiliate or Third Party contractor thereof is a joint inventor or the sole inventor named on such Novo Nordisk Patent) or a Collaboration Patent Covering the manufacture or sale of the Licensed Product in such country, or (ii) [***] years following First Commercial Sale of Licensed Product after Regulatory Approval in such country (the “</w:t>
      </w:r>
      <w:r>
        <w:rPr>
          <w:rFonts w:ascii="Arial" w:cs="Arial" w:eastAsia="Arial" w:hAnsi="Arial"/>
          <w:sz w:val="16"/>
          <w:szCs w:val="16"/>
          <w:b w:val="1"/>
          <w:bCs w:val="1"/>
          <w:color w:val="auto"/>
        </w:rPr>
        <w:t>Royalty Term</w:t>
      </w:r>
      <w:r>
        <w:rPr>
          <w:rFonts w:ascii="Arial" w:cs="Arial" w:eastAsia="Arial" w:hAnsi="Arial"/>
          <w:sz w:val="16"/>
          <w:szCs w:val="16"/>
          <w:color w:val="auto"/>
        </w:rPr>
        <w:t>”).</w:t>
      </w:r>
    </w:p>
    <w:p>
      <w:pPr>
        <w:spacing w:after="0" w:line="55" w:lineRule="exact"/>
        <w:rPr>
          <w:rFonts w:ascii="Arial" w:cs="Arial" w:eastAsia="Arial" w:hAnsi="Arial"/>
          <w:sz w:val="16"/>
          <w:szCs w:val="16"/>
          <w:b w:val="1"/>
          <w:bCs w:val="1"/>
          <w:color w:val="auto"/>
        </w:rPr>
      </w:pPr>
    </w:p>
    <w:p>
      <w:pPr>
        <w:ind w:right="120" w:firstLine="957"/>
        <w:spacing w:after="0" w:line="280" w:lineRule="auto"/>
        <w:tabs>
          <w:tab w:leader="none" w:pos="1215"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Royalty Reduction</w:t>
      </w:r>
      <w:r>
        <w:rPr>
          <w:rFonts w:ascii="Arial" w:cs="Arial" w:eastAsia="Arial" w:hAnsi="Arial"/>
          <w:sz w:val="16"/>
          <w:szCs w:val="16"/>
          <w:color w:val="auto"/>
        </w:rPr>
        <w:t>. In the event that a Third Party Controls a Patent that Covers the Ligand Binder that in the reasonable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of a Novo Nordisk patent counsel will be infringed by the Commercialization of Licensed Product, then Novo Nordisk shall have the right (but not the obligation) to obtain a license to such Third Party Patent. The [***] which Novo Nordisk actually pays to such Third Party for a license to such Patent in a country during a calendar quarter may be credited against up to [***] of royalties otherwise payable by Novo Nordisk to Keros for such Licensed Product in such country in such calendar quarter; provided, however, that in no event shall the foregoing deduction reduce the amount of royalties payable hereunder with respect to Net Sales of such Licensed Product in such country in a calendar quarter by more than [***] of the amounts that would otherwise be due hereunder with respect to Net Sales of such Licensed Product in such country in such calendar quarter. Novo Nordisk shall promptly inform Keros if it has executed a license agreement to such Third Party Patent.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60"/>
          </w:cols>
          <w:pgMar w:left="620" w:top="265" w:right="6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60" w:firstLine="957"/>
        <w:spacing w:after="0" w:line="264" w:lineRule="auto"/>
        <w:tabs>
          <w:tab w:leader="none" w:pos="1195"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Royalty Reports; Payments</w:t>
      </w:r>
      <w:r>
        <w:rPr>
          <w:rFonts w:ascii="Arial" w:cs="Arial" w:eastAsia="Arial" w:hAnsi="Arial"/>
          <w:sz w:val="17"/>
          <w:szCs w:val="17"/>
          <w:color w:val="auto"/>
        </w:rPr>
        <w:t>. After the First Commercial Sale of the first Licensed Product and until expiration of the last Royalty</w:t>
      </w:r>
      <w:r>
        <w:rPr>
          <w:rFonts w:ascii="Arial" w:cs="Arial" w:eastAsia="Arial" w:hAnsi="Arial"/>
          <w:sz w:val="17"/>
          <w:szCs w:val="17"/>
          <w:b w:val="1"/>
          <w:bCs w:val="1"/>
          <w:color w:val="auto"/>
        </w:rPr>
        <w:t xml:space="preserve"> </w:t>
      </w:r>
      <w:r>
        <w:rPr>
          <w:rFonts w:ascii="Arial" w:cs="Arial" w:eastAsia="Arial" w:hAnsi="Arial"/>
          <w:sz w:val="17"/>
          <w:szCs w:val="17"/>
          <w:color w:val="auto"/>
        </w:rPr>
        <w:t>Term, Novo Nordisk shall prepare and deliver to Keros royalty reports of the sale of Licensed Products for each calendar quarter within [***] of the end of each such calendar quarter specifying, [***]: (a) total gross invoiced amounts for Licensed Products sold; (b) amounts deducted by category in accordance with Section 1.49 (“</w:t>
      </w:r>
      <w:r>
        <w:rPr>
          <w:rFonts w:ascii="Arial" w:cs="Arial" w:eastAsia="Arial" w:hAnsi="Arial"/>
          <w:sz w:val="17"/>
          <w:szCs w:val="17"/>
          <w:b w:val="1"/>
          <w:bCs w:val="1"/>
          <w:color w:val="auto"/>
        </w:rPr>
        <w:t>Net Sales</w:t>
      </w:r>
      <w:r>
        <w:rPr>
          <w:rFonts w:ascii="Arial" w:cs="Arial" w:eastAsia="Arial" w:hAnsi="Arial"/>
          <w:sz w:val="17"/>
          <w:szCs w:val="17"/>
          <w:color w:val="auto"/>
        </w:rPr>
        <w:t>”) from gross invoiced amounts to calculate Net Sales; (c) Net Sales; and (d) royalties payable. Novo Nordisk shall accompany such report with payment to Keros of all amounts payable to Keros under Section 3.6 on Net Sales of Licensed Products for such calendar quarter.</w:t>
      </w:r>
    </w:p>
    <w:p>
      <w:pPr>
        <w:spacing w:after="0" w:line="67" w:lineRule="exact"/>
        <w:rPr>
          <w:rFonts w:ascii="Arial" w:cs="Arial" w:eastAsia="Arial" w:hAnsi="Arial"/>
          <w:sz w:val="17"/>
          <w:szCs w:val="17"/>
          <w:b w:val="1"/>
          <w:bCs w:val="1"/>
          <w:color w:val="auto"/>
        </w:rPr>
      </w:pPr>
    </w:p>
    <w:p>
      <w:pPr>
        <w:ind w:right="20" w:firstLine="957"/>
        <w:spacing w:after="0" w:line="264" w:lineRule="auto"/>
        <w:tabs>
          <w:tab w:leader="none" w:pos="1176"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Records and Audits</w:t>
      </w:r>
      <w:r>
        <w:rPr>
          <w:rFonts w:ascii="Arial" w:cs="Arial" w:eastAsia="Arial" w:hAnsi="Arial"/>
          <w:sz w:val="17"/>
          <w:szCs w:val="17"/>
          <w:color w:val="auto"/>
        </w:rPr>
        <w:t>. Novo Nordisk will keep complete and accurate records relating to the calculations of Net Sales generated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then current calendar year and payments required under this Agreement, and during the preceding [***]. Keros will have the right during the term of this Agreement and for a period of three years thereafter, once annually at its own expense, to have an internationally recognized, independent, certified public accounting firm, currently one of the following: PWC, E&amp;Y, KPMG or Deloitte (the “</w:t>
      </w:r>
      <w:r>
        <w:rPr>
          <w:rFonts w:ascii="Arial" w:cs="Arial" w:eastAsia="Arial" w:hAnsi="Arial"/>
          <w:sz w:val="17"/>
          <w:szCs w:val="17"/>
          <w:b w:val="1"/>
          <w:bCs w:val="1"/>
          <w:color w:val="auto"/>
        </w:rPr>
        <w:t>Auditor</w:t>
      </w:r>
      <w:r>
        <w:rPr>
          <w:rFonts w:ascii="Arial" w:cs="Arial" w:eastAsia="Arial" w:hAnsi="Arial"/>
          <w:sz w:val="17"/>
          <w:szCs w:val="17"/>
          <w:color w:val="auto"/>
        </w:rPr>
        <w:t>”), selected by it, review any such records of Novo Nordisk and its Affiliates and sublicensees (the “</w:t>
      </w:r>
      <w:r>
        <w:rPr>
          <w:rFonts w:ascii="Arial" w:cs="Arial" w:eastAsia="Arial" w:hAnsi="Arial"/>
          <w:sz w:val="17"/>
          <w:szCs w:val="17"/>
          <w:b w:val="1"/>
          <w:bCs w:val="1"/>
          <w:color w:val="auto"/>
        </w:rPr>
        <w:t>Audited Party</w:t>
      </w:r>
      <w:r>
        <w:rPr>
          <w:rFonts w:ascii="Arial" w:cs="Arial" w:eastAsia="Arial" w:hAnsi="Arial"/>
          <w:sz w:val="17"/>
          <w:szCs w:val="17"/>
          <w:color w:val="auto"/>
        </w:rPr>
        <w:t>”) in the location(s) where such records are maintained by the Audited Party subject to the following terms:</w:t>
      </w:r>
    </w:p>
    <w:p>
      <w:pPr>
        <w:spacing w:after="0" w:line="73" w:lineRule="exact"/>
        <w:rPr>
          <w:rFonts w:ascii="Arial" w:cs="Arial" w:eastAsia="Arial" w:hAnsi="Arial"/>
          <w:sz w:val="17"/>
          <w:szCs w:val="17"/>
          <w:b w:val="1"/>
          <w:bCs w:val="1"/>
          <w:color w:val="auto"/>
        </w:rPr>
      </w:pPr>
    </w:p>
    <w:p>
      <w:pPr>
        <w:ind w:left="1600" w:hanging="217"/>
        <w:spacing w:after="0"/>
        <w:tabs>
          <w:tab w:leader="none" w:pos="1600"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Keros shall give Novo Nordisk at least [***] prior written notice of when its Auditor shall visit the Audited Party;</w:t>
      </w:r>
    </w:p>
    <w:p>
      <w:pPr>
        <w:spacing w:after="0" w:line="117" w:lineRule="exact"/>
        <w:rPr>
          <w:rFonts w:ascii="Arial" w:cs="Arial" w:eastAsia="Arial" w:hAnsi="Arial"/>
          <w:sz w:val="17"/>
          <w:szCs w:val="17"/>
          <w:b w:val="1"/>
          <w:bCs w:val="1"/>
          <w:color w:val="auto"/>
        </w:rPr>
      </w:pPr>
    </w:p>
    <w:p>
      <w:pPr>
        <w:ind w:right="40" w:firstLine="1383"/>
        <w:spacing w:after="0" w:line="287" w:lineRule="auto"/>
        <w:tabs>
          <w:tab w:leader="none" w:pos="1641"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At least [***] prior to inspecting any records, the Auditor must enter into a confidentiality agreement with the Audited Party that is reasonably satisfactory to the Audited Party;</w:t>
      </w:r>
    </w:p>
    <w:p>
      <w:pPr>
        <w:spacing w:after="0" w:line="54" w:lineRule="exact"/>
        <w:rPr>
          <w:rFonts w:ascii="Arial" w:cs="Arial" w:eastAsia="Arial" w:hAnsi="Arial"/>
          <w:sz w:val="17"/>
          <w:szCs w:val="17"/>
          <w:b w:val="1"/>
          <w:bCs w:val="1"/>
          <w:color w:val="auto"/>
        </w:rPr>
      </w:pPr>
    </w:p>
    <w:p>
      <w:pPr>
        <w:ind w:right="320" w:firstLine="1383"/>
        <w:spacing w:after="0" w:line="287" w:lineRule="auto"/>
        <w:tabs>
          <w:tab w:leader="none" w:pos="1689"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Novo Nordisk shall make their books and records available for review by the Auditor solely to verify the accuracy of its Net Sales report and payments under this Agreement;</w:t>
      </w:r>
    </w:p>
    <w:p>
      <w:pPr>
        <w:spacing w:after="0" w:line="54" w:lineRule="exact"/>
        <w:rPr>
          <w:rFonts w:ascii="Arial" w:cs="Arial" w:eastAsia="Arial" w:hAnsi="Arial"/>
          <w:sz w:val="17"/>
          <w:szCs w:val="17"/>
          <w:b w:val="1"/>
          <w:bCs w:val="1"/>
          <w:color w:val="auto"/>
        </w:rPr>
      </w:pPr>
    </w:p>
    <w:p>
      <w:pPr>
        <w:ind w:right="140" w:firstLine="1383"/>
        <w:spacing w:after="0" w:line="358" w:lineRule="auto"/>
        <w:tabs>
          <w:tab w:leader="none" w:pos="1679" w:val="left"/>
        </w:tabs>
        <w:numPr>
          <w:ilvl w:val="1"/>
          <w:numId w:val="313"/>
        </w:numPr>
        <w:rPr>
          <w:rFonts w:ascii="Arial" w:cs="Arial" w:eastAsia="Arial" w:hAnsi="Arial"/>
          <w:sz w:val="15"/>
          <w:szCs w:val="15"/>
          <w:b w:val="1"/>
          <w:bCs w:val="1"/>
          <w:color w:val="auto"/>
        </w:rPr>
      </w:pPr>
      <w:r>
        <w:rPr>
          <w:rFonts w:ascii="Arial" w:cs="Arial" w:eastAsia="Arial" w:hAnsi="Arial"/>
          <w:sz w:val="15"/>
          <w:szCs w:val="15"/>
          <w:color w:val="auto"/>
        </w:rPr>
        <w:t>Novo Nordisk shall give access to the Auditor during regular business hours at the place or places where the books and records are usually kept. While inspecting such accounts and records, the Auditor must abide by all of Novo Nordisk’s standard rules and regulations;</w:t>
      </w:r>
    </w:p>
    <w:p>
      <w:pPr>
        <w:spacing w:after="0" w:line="7" w:lineRule="exact"/>
        <w:rPr>
          <w:rFonts w:ascii="Arial" w:cs="Arial" w:eastAsia="Arial" w:hAnsi="Arial"/>
          <w:sz w:val="15"/>
          <w:szCs w:val="15"/>
          <w:b w:val="1"/>
          <w:bCs w:val="1"/>
          <w:color w:val="auto"/>
        </w:rPr>
      </w:pPr>
    </w:p>
    <w:p>
      <w:pPr>
        <w:ind w:left="1620" w:hanging="237"/>
        <w:spacing w:after="0"/>
        <w:tabs>
          <w:tab w:leader="none" w:pos="1620" w:val="left"/>
        </w:tabs>
        <w:numPr>
          <w:ilvl w:val="1"/>
          <w:numId w:val="313"/>
        </w:numPr>
        <w:rPr>
          <w:rFonts w:ascii="Arial" w:cs="Arial" w:eastAsia="Arial" w:hAnsi="Arial"/>
          <w:sz w:val="16"/>
          <w:szCs w:val="16"/>
          <w:b w:val="1"/>
          <w:bCs w:val="1"/>
          <w:color w:val="auto"/>
        </w:rPr>
      </w:pPr>
      <w:r>
        <w:rPr>
          <w:rFonts w:ascii="Arial" w:cs="Arial" w:eastAsia="Arial" w:hAnsi="Arial"/>
          <w:sz w:val="16"/>
          <w:szCs w:val="16"/>
          <w:color w:val="auto"/>
        </w:rPr>
        <w:t>The Auditor shall prepare and deliver to each Party a report setting out its findings no later than [***] after the audit has been</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completed. [***];</w:t>
      </w:r>
    </w:p>
    <w:p>
      <w:pPr>
        <w:spacing w:after="0" w:line="105" w:lineRule="exact"/>
        <w:rPr>
          <w:rFonts w:ascii="Arial" w:cs="Arial" w:eastAsia="Arial" w:hAnsi="Arial"/>
          <w:sz w:val="16"/>
          <w:szCs w:val="16"/>
          <w:b w:val="1"/>
          <w:bCs w:val="1"/>
          <w:color w:val="auto"/>
        </w:rPr>
      </w:pPr>
    </w:p>
    <w:p>
      <w:pPr>
        <w:ind w:right="340" w:firstLine="1383"/>
        <w:spacing w:after="0" w:line="287" w:lineRule="auto"/>
        <w:tabs>
          <w:tab w:leader="none" w:pos="1679"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Any report by the Auditor under this Section (f) shall be deemed Confidential Information of Novo Nordisk and Keros shall keep such report and any other information received or learnt in connection with the audit confidential;</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60"/>
          </w:cols>
          <w:pgMar w:left="620" w:top="264" w:right="619" w:bottom="1440" w:gutter="0" w:footer="0" w:header="0"/>
        </w:sectPr>
      </w:pPr>
    </w:p>
    <w:bookmarkStart w:id="365" w:name="page366"/>
    <w:bookmarkEnd w:id="36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left="1720" w:hanging="337"/>
        <w:spacing w:after="0"/>
        <w:tabs>
          <w:tab w:leader="none" w:pos="1720"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No calendar year will be subject to audit under this Section (f) more than once; and</w:t>
      </w:r>
    </w:p>
    <w:p>
      <w:pPr>
        <w:spacing w:after="0" w:line="117" w:lineRule="exact"/>
        <w:rPr>
          <w:rFonts w:ascii="Arial" w:cs="Arial" w:eastAsia="Arial" w:hAnsi="Arial"/>
          <w:sz w:val="17"/>
          <w:szCs w:val="17"/>
          <w:b w:val="1"/>
          <w:bCs w:val="1"/>
          <w:color w:val="auto"/>
        </w:rPr>
      </w:pPr>
    </w:p>
    <w:p>
      <w:pPr>
        <w:ind w:right="60" w:firstLine="1383"/>
        <w:spacing w:after="0" w:line="261" w:lineRule="auto"/>
        <w:tabs>
          <w:tab w:leader="none" w:pos="1776"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Should such inspection lead to the discovery of a discrepancy to Keros’s detriment, Novo Nordisk will, within [***] after receipt of such report from the accounting firm, pay any undisputed amount of the discrepancy. Keros will pay the full cost of the review unless the underpayment of amounts due to Keros is greater than [***] of the amount due for the entire period being examined, in which case Novo Nordisk will pay the cost charged by such accounting firm for such review. Should the audit lead to the discovery of a discrepancy to Novo Nordisk’s detriment, Novo Nordisk may credit the amount of the discrepancy against future payments payable to Keros under this Agreement, and if there are no such payments payable, then Keros shall pay to Novo Nordisk the amount of the discrepancy within [***] of Keros’ receipt of the report. Any such payments made in connection with such discrepancy shall be subject to Section 4.3.</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Payment-Related Provisions</w:t>
      </w:r>
    </w:p>
    <w:p>
      <w:pPr>
        <w:spacing w:after="0" w:line="204" w:lineRule="exact"/>
        <w:rPr>
          <w:sz w:val="20"/>
          <w:szCs w:val="20"/>
          <w:color w:val="auto"/>
        </w:rPr>
      </w:pPr>
    </w:p>
    <w:p>
      <w:pPr>
        <w:ind w:right="40" w:firstLine="426"/>
        <w:spacing w:after="0" w:line="295" w:lineRule="auto"/>
        <w:rPr>
          <w:sz w:val="20"/>
          <w:szCs w:val="20"/>
          <w:color w:val="auto"/>
        </w:rPr>
      </w:pPr>
      <w:r>
        <w:rPr>
          <w:rFonts w:ascii="Arial" w:cs="Arial" w:eastAsia="Arial" w:hAnsi="Arial"/>
          <w:sz w:val="17"/>
          <w:szCs w:val="17"/>
          <w:b w:val="1"/>
          <w:bCs w:val="1"/>
          <w:color w:val="auto"/>
        </w:rPr>
        <w:t>4.1 Mode of Payment</w:t>
      </w:r>
      <w:r>
        <w:rPr>
          <w:rFonts w:ascii="Arial" w:cs="Arial" w:eastAsia="Arial" w:hAnsi="Arial"/>
          <w:sz w:val="17"/>
          <w:szCs w:val="17"/>
          <w:color w:val="auto"/>
        </w:rPr>
        <w:t>. All payments under this Agreement shall be made in immediately available funds by wire transfer to a United States based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to be identified by Keros.</w:t>
      </w:r>
    </w:p>
    <w:p>
      <w:pPr>
        <w:spacing w:after="0" w:line="42" w:lineRule="exact"/>
        <w:rPr>
          <w:sz w:val="20"/>
          <w:szCs w:val="20"/>
          <w:color w:val="auto"/>
        </w:rPr>
      </w:pPr>
    </w:p>
    <w:p>
      <w:pPr>
        <w:ind w:right="280" w:firstLine="426"/>
        <w:spacing w:after="0" w:line="295" w:lineRule="auto"/>
        <w:rPr>
          <w:sz w:val="20"/>
          <w:szCs w:val="20"/>
          <w:color w:val="auto"/>
        </w:rPr>
      </w:pPr>
      <w:r>
        <w:rPr>
          <w:rFonts w:ascii="Arial" w:cs="Arial" w:eastAsia="Arial" w:hAnsi="Arial"/>
          <w:sz w:val="17"/>
          <w:szCs w:val="17"/>
          <w:b w:val="1"/>
          <w:bCs w:val="1"/>
          <w:color w:val="auto"/>
        </w:rPr>
        <w:t>4.2 Currency of Payments</w:t>
      </w:r>
      <w:r>
        <w:rPr>
          <w:rFonts w:ascii="Arial" w:cs="Arial" w:eastAsia="Arial" w:hAnsi="Arial"/>
          <w:sz w:val="17"/>
          <w:szCs w:val="17"/>
          <w:color w:val="auto"/>
        </w:rPr>
        <w:t>. All payments under this Agreement shall be made in United States dollars, unless otherwise expressly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w:t>
      </w:r>
    </w:p>
    <w:p>
      <w:pPr>
        <w:spacing w:after="0" w:line="42" w:lineRule="exact"/>
        <w:rPr>
          <w:sz w:val="20"/>
          <w:szCs w:val="20"/>
          <w:color w:val="auto"/>
        </w:rPr>
      </w:pPr>
    </w:p>
    <w:p>
      <w:pPr>
        <w:ind w:right="260" w:firstLine="426"/>
        <w:spacing w:after="0" w:line="328" w:lineRule="auto"/>
        <w:rPr>
          <w:sz w:val="20"/>
          <w:szCs w:val="20"/>
          <w:color w:val="auto"/>
        </w:rPr>
      </w:pPr>
      <w:r>
        <w:rPr>
          <w:rFonts w:ascii="Arial" w:cs="Arial" w:eastAsia="Arial" w:hAnsi="Arial"/>
          <w:sz w:val="15"/>
          <w:szCs w:val="15"/>
          <w:b w:val="1"/>
          <w:bCs w:val="1"/>
          <w:color w:val="auto"/>
        </w:rPr>
        <w:t>4.3 Late Payments</w:t>
      </w:r>
      <w:r>
        <w:rPr>
          <w:rFonts w:ascii="Arial" w:cs="Arial" w:eastAsia="Arial" w:hAnsi="Arial"/>
          <w:sz w:val="15"/>
          <w:szCs w:val="15"/>
          <w:color w:val="auto"/>
        </w:rPr>
        <w:t>. To the extent that any payments under this Agreement are not paid within the specified time period, such outstanding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shall accrue interest from the date due, at the one year USD LIBOR rate on the last Business Day of the applicable calendar quarter prior to the date on which such payment was due, plus [***], calculated on the basis of a 360-day year, or, if lower, the maximum rate permitted by law.</w:t>
      </w:r>
    </w:p>
    <w:p>
      <w:pPr>
        <w:spacing w:after="0" w:line="24" w:lineRule="exact"/>
        <w:rPr>
          <w:sz w:val="20"/>
          <w:szCs w:val="20"/>
          <w:color w:val="auto"/>
        </w:rPr>
      </w:pPr>
    </w:p>
    <w:p>
      <w:pPr>
        <w:ind w:right="320" w:firstLine="426"/>
        <w:spacing w:after="0" w:line="275" w:lineRule="auto"/>
        <w:rPr>
          <w:sz w:val="20"/>
          <w:szCs w:val="20"/>
          <w:color w:val="auto"/>
        </w:rPr>
      </w:pPr>
      <w:r>
        <w:rPr>
          <w:rFonts w:ascii="Arial" w:cs="Arial" w:eastAsia="Arial" w:hAnsi="Arial"/>
          <w:sz w:val="17"/>
          <w:szCs w:val="17"/>
          <w:b w:val="1"/>
          <w:bCs w:val="1"/>
          <w:color w:val="auto"/>
        </w:rPr>
        <w:t>4.4 Novo Nordisk Invoicing Instructions</w:t>
      </w:r>
      <w:r>
        <w:rPr>
          <w:rFonts w:ascii="Arial" w:cs="Arial" w:eastAsia="Arial" w:hAnsi="Arial"/>
          <w:sz w:val="17"/>
          <w:szCs w:val="17"/>
          <w:color w:val="auto"/>
        </w:rPr>
        <w:t>. Any payment payable by Novo Nordisk under this Agreement, including payments under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2.2(b), 3.1, 3.2, 3.3, 3.4, 3.5, 3.6 and 6.2(a)(iii), is subject to receipt by Novo Nordisk of an invoice herefore prepared in accordance with the Novo Nordisk Invoicing Instructions set forth in Exhibit F.</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4.5 Taxes</w:t>
      </w:r>
      <w:r>
        <w:rPr>
          <w:rFonts w:ascii="Arial" w:cs="Arial" w:eastAsia="Arial" w:hAnsi="Arial"/>
          <w:sz w:val="17"/>
          <w:szCs w:val="17"/>
          <w:color w:val="auto"/>
        </w:rPr>
        <w:t>. [***].</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60"/>
          </w:cols>
          <w:pgMar w:left="620" w:top="265" w:right="619" w:bottom="1440" w:gutter="0" w:footer="0" w:header="0"/>
        </w:sectPr>
      </w:pPr>
    </w:p>
    <w:bookmarkStart w:id="366" w:name="page367"/>
    <w:bookmarkEnd w:id="36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License Grants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5.1 License Grants</w:t>
      </w:r>
      <w:r>
        <w:rPr>
          <w:rFonts w:ascii="Arial" w:cs="Arial" w:eastAsia="Arial" w:hAnsi="Arial"/>
          <w:sz w:val="17"/>
          <w:szCs w:val="17"/>
          <w:color w:val="auto"/>
        </w:rPr>
        <w:t>.</w:t>
      </w:r>
    </w:p>
    <w:p>
      <w:pPr>
        <w:spacing w:after="0" w:line="124" w:lineRule="exact"/>
        <w:rPr>
          <w:sz w:val="20"/>
          <w:szCs w:val="20"/>
          <w:color w:val="auto"/>
        </w:rPr>
      </w:pPr>
    </w:p>
    <w:p>
      <w:pPr>
        <w:ind w:right="40" w:firstLine="957"/>
        <w:spacing w:after="0" w:line="282" w:lineRule="auto"/>
        <w:tabs>
          <w:tab w:leader="none" w:pos="1205"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t>Keros hereby grants to Novo Nordisk and its Affiliates an exclusive (even as to Keros), worldwide, royalty-bearing license, with the right to grant sublicenses, (with Keros retaining the right to perform its activities under the Research Collaboration) under the Keros Background IP, the Keros New Ligand Trap IP and Keros’ interest in the Collaboration IP, solely to Develop and Commercialize Licensed Products, in all cases in the Novo Nordisk Field and in the Territory. Such license excludes any rights to modify the Ligand Binder, but includes the right to modify any part of the Conserved Carrier of a Selected Ligand Trap. Such license shall not grant Novo Nordisk any right or license with respect to Declined Ligand Traps, nor to Develop or Commercialize Licensed Products that are not Licensed Combination Products for Cardiovascular Indications or CVD Indications.</w:t>
      </w:r>
    </w:p>
    <w:p>
      <w:pPr>
        <w:spacing w:after="0" w:line="60" w:lineRule="exact"/>
        <w:rPr>
          <w:rFonts w:ascii="Arial" w:cs="Arial" w:eastAsia="Arial" w:hAnsi="Arial"/>
          <w:sz w:val="16"/>
          <w:szCs w:val="16"/>
          <w:b w:val="1"/>
          <w:bCs w:val="1"/>
          <w:color w:val="auto"/>
        </w:rPr>
      </w:pPr>
    </w:p>
    <w:p>
      <w:pPr>
        <w:ind w:right="20" w:firstLine="957"/>
        <w:spacing w:after="0" w:line="272" w:lineRule="auto"/>
        <w:tabs>
          <w:tab w:leader="none" w:pos="1215"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Novo Nordisk hereby grants to Keros a nonexclusive, worldwide license under the Novo Nordisk Background IP, Novo Nordisk IP and Novo Nordisk’s interest in the Collaboration IP, solely for Keros to perform its activities under the Research Collaboration. For the avoidance of doubt, said license does not apply with respect to Declined Ligand Traps.</w:t>
      </w:r>
    </w:p>
    <w:p>
      <w:pPr>
        <w:spacing w:after="0" w:line="60" w:lineRule="exact"/>
        <w:rPr>
          <w:sz w:val="20"/>
          <w:szCs w:val="20"/>
          <w:color w:val="auto"/>
        </w:rPr>
      </w:pPr>
    </w:p>
    <w:p>
      <w:pPr>
        <w:jc w:val="both"/>
        <w:ind w:right="20" w:firstLine="426"/>
        <w:spacing w:after="0" w:line="269" w:lineRule="auto"/>
        <w:rPr>
          <w:sz w:val="20"/>
          <w:szCs w:val="20"/>
          <w:color w:val="auto"/>
        </w:rPr>
      </w:pPr>
      <w:r>
        <w:rPr>
          <w:rFonts w:ascii="Arial" w:cs="Arial" w:eastAsia="Arial" w:hAnsi="Arial"/>
          <w:sz w:val="17"/>
          <w:szCs w:val="17"/>
          <w:b w:val="1"/>
          <w:bCs w:val="1"/>
          <w:color w:val="auto"/>
        </w:rPr>
        <w:t>5.2 Sublicenses</w:t>
      </w:r>
      <w:r>
        <w:rPr>
          <w:rFonts w:ascii="Arial" w:cs="Arial" w:eastAsia="Arial" w:hAnsi="Arial"/>
          <w:sz w:val="17"/>
          <w:szCs w:val="17"/>
          <w:color w:val="auto"/>
        </w:rPr>
        <w:t>. Subject to the terms and conditions herein, Novo Nordisk shall have the right to sublicense the rights granted to Novo Nordisk by</w:t>
      </w:r>
      <w:r>
        <w:rPr>
          <w:rFonts w:ascii="Arial" w:cs="Arial" w:eastAsia="Arial" w:hAnsi="Arial"/>
          <w:sz w:val="17"/>
          <w:szCs w:val="17"/>
          <w:b w:val="1"/>
          <w:bCs w:val="1"/>
          <w:color w:val="auto"/>
        </w:rPr>
        <w:t xml:space="preserve"> </w:t>
      </w:r>
      <w:r>
        <w:rPr>
          <w:rFonts w:ascii="Arial" w:cs="Arial" w:eastAsia="Arial" w:hAnsi="Arial"/>
          <w:sz w:val="17"/>
          <w:szCs w:val="17"/>
          <w:color w:val="auto"/>
        </w:rPr>
        <w:t>Keros under Section 5.1, provided, however, that: (i) each sublicense shall contain obligations of the sublicensee equivalent or similar to the obligations of Novo Nordisk hereunder; and (ii) Novo Nordisk shall provide to Keros a redacted copy of each sublicense agreement (and any future amendments or terminations thereof) within [***] after the execution thereof.</w:t>
      </w:r>
    </w:p>
    <w:p>
      <w:pPr>
        <w:spacing w:after="0" w:line="63" w:lineRule="exact"/>
        <w:rPr>
          <w:sz w:val="20"/>
          <w:szCs w:val="20"/>
          <w:color w:val="auto"/>
        </w:rPr>
      </w:pPr>
    </w:p>
    <w:p>
      <w:pPr>
        <w:ind w:right="100" w:firstLine="426"/>
        <w:spacing w:after="0" w:line="275" w:lineRule="auto"/>
        <w:rPr>
          <w:sz w:val="20"/>
          <w:szCs w:val="20"/>
          <w:color w:val="auto"/>
        </w:rPr>
      </w:pPr>
      <w:r>
        <w:rPr>
          <w:rFonts w:ascii="Arial" w:cs="Arial" w:eastAsia="Arial" w:hAnsi="Arial"/>
          <w:sz w:val="17"/>
          <w:szCs w:val="17"/>
          <w:b w:val="1"/>
          <w:bCs w:val="1"/>
          <w:color w:val="auto"/>
        </w:rPr>
        <w:t>5.3 No Implied Licenses</w:t>
      </w:r>
      <w:r>
        <w:rPr>
          <w:rFonts w:ascii="Arial" w:cs="Arial" w:eastAsia="Arial" w:hAnsi="Arial"/>
          <w:sz w:val="17"/>
          <w:szCs w:val="17"/>
          <w:color w:val="auto"/>
        </w:rPr>
        <w:t>. Except as otherwise expressly provided, this Agreement does not grant any right or license to either Party under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Party’s intellectual property rights, and no other right or license is to be implied or inferred from any provision of this Agreement or by the conduct of the Parties.</w:t>
      </w:r>
    </w:p>
    <w:p>
      <w:pPr>
        <w:spacing w:after="0" w:line="59" w:lineRule="exact"/>
        <w:rPr>
          <w:sz w:val="20"/>
          <w:szCs w:val="20"/>
          <w:color w:val="auto"/>
        </w:rPr>
      </w:pPr>
    </w:p>
    <w:p>
      <w:pPr>
        <w:ind w:right="80" w:firstLine="426"/>
        <w:spacing w:after="0" w:line="291" w:lineRule="auto"/>
        <w:rPr>
          <w:sz w:val="20"/>
          <w:szCs w:val="20"/>
          <w:color w:val="auto"/>
        </w:rPr>
      </w:pPr>
      <w:r>
        <w:rPr>
          <w:rFonts w:ascii="Arial" w:cs="Arial" w:eastAsia="Arial" w:hAnsi="Arial"/>
          <w:sz w:val="16"/>
          <w:szCs w:val="16"/>
          <w:b w:val="1"/>
          <w:bCs w:val="1"/>
          <w:color w:val="auto"/>
        </w:rPr>
        <w:t>5.4 Section 365(n) of the Bankruptcy Code</w:t>
      </w:r>
      <w:r>
        <w:rPr>
          <w:rFonts w:ascii="Arial" w:cs="Arial" w:eastAsia="Arial" w:hAnsi="Arial"/>
          <w:sz w:val="16"/>
          <w:szCs w:val="16"/>
          <w:color w:val="auto"/>
        </w:rPr>
        <w:t>. All rights and licenses granted pursuant to any Section of this Agreement are,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rights and licenses to “intellectual property” (as defined in Section 101(35A) of title 11 of the United States Code and of any similar provisions of applicable Laws under any other jurisdiction (the “</w:t>
      </w:r>
      <w:r>
        <w:rPr>
          <w:rFonts w:ascii="Arial" w:cs="Arial" w:eastAsia="Arial" w:hAnsi="Arial"/>
          <w:sz w:val="16"/>
          <w:szCs w:val="16"/>
          <w:b w:val="1"/>
          <w:bCs w:val="1"/>
          <w:color w:val="auto"/>
        </w:rPr>
        <w:t>Bankruptcy Code</w:t>
      </w:r>
      <w:r>
        <w:rPr>
          <w:rFonts w:ascii="Arial" w:cs="Arial" w:eastAsia="Arial" w:hAnsi="Arial"/>
          <w:sz w:val="16"/>
          <w:szCs w:val="16"/>
          <w:color w:val="auto"/>
        </w:rPr>
        <w:t>”)). Each Party agrees that the other Party, as a licensee of rights and licenses under this Agreement, shall retain and may fully exercise all of its rights and elections under the Bankruptcy Code.</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6.1 Ownership of IP</w:t>
      </w:r>
      <w:r>
        <w:rPr>
          <w:rFonts w:ascii="Arial" w:cs="Arial" w:eastAsia="Arial" w:hAnsi="Arial"/>
          <w:sz w:val="17"/>
          <w:szCs w:val="17"/>
          <w:color w:val="auto"/>
        </w:rPr>
        <w:t>.</w:t>
      </w:r>
    </w:p>
    <w:p>
      <w:pPr>
        <w:spacing w:after="0" w:line="118" w:lineRule="exact"/>
        <w:rPr>
          <w:sz w:val="20"/>
          <w:szCs w:val="20"/>
          <w:color w:val="auto"/>
        </w:rPr>
      </w:pPr>
    </w:p>
    <w:p>
      <w:pPr>
        <w:ind w:right="120" w:firstLine="957"/>
        <w:spacing w:after="0" w:line="295" w:lineRule="auto"/>
        <w:tabs>
          <w:tab w:leader="none" w:pos="1205"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Keros Background IP</w:t>
      </w:r>
      <w:r>
        <w:rPr>
          <w:rFonts w:ascii="Arial" w:cs="Arial" w:eastAsia="Arial" w:hAnsi="Arial"/>
          <w:sz w:val="17"/>
          <w:szCs w:val="17"/>
          <w:color w:val="auto"/>
        </w:rPr>
        <w:t>. Subject to the licenses granted under Section 5.1, as between the Parties, Keros shall solely own all right, title</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interest in and to the Keros Background IP.</w:t>
      </w:r>
    </w:p>
    <w:p>
      <w:pPr>
        <w:spacing w:after="0" w:line="41" w:lineRule="exact"/>
        <w:rPr>
          <w:rFonts w:ascii="Arial" w:cs="Arial" w:eastAsia="Arial" w:hAnsi="Arial"/>
          <w:sz w:val="17"/>
          <w:szCs w:val="17"/>
          <w:b w:val="1"/>
          <w:bCs w:val="1"/>
          <w:color w:val="auto"/>
        </w:rPr>
      </w:pPr>
    </w:p>
    <w:p>
      <w:pPr>
        <w:jc w:val="both"/>
        <w:ind w:right="240" w:firstLine="957"/>
        <w:spacing w:after="0" w:line="275" w:lineRule="auto"/>
        <w:tabs>
          <w:tab w:leader="none" w:pos="1215"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Novo Nordisk Background IP</w:t>
      </w:r>
      <w:r>
        <w:rPr>
          <w:rFonts w:ascii="Arial" w:cs="Arial" w:eastAsia="Arial" w:hAnsi="Arial"/>
          <w:sz w:val="17"/>
          <w:szCs w:val="17"/>
          <w:color w:val="auto"/>
        </w:rPr>
        <w:t>. Subject to the licenses granted under Section 5.1, as between the Parties, Novo Nordisk shall solely</w:t>
      </w:r>
      <w:r>
        <w:rPr>
          <w:rFonts w:ascii="Arial" w:cs="Arial" w:eastAsia="Arial" w:hAnsi="Arial"/>
          <w:sz w:val="17"/>
          <w:szCs w:val="17"/>
          <w:b w:val="1"/>
          <w:bCs w:val="1"/>
          <w:color w:val="auto"/>
        </w:rPr>
        <w:t xml:space="preserve"> </w:t>
      </w:r>
      <w:r>
        <w:rPr>
          <w:rFonts w:ascii="Arial" w:cs="Arial" w:eastAsia="Arial" w:hAnsi="Arial"/>
          <w:sz w:val="17"/>
          <w:szCs w:val="17"/>
          <w:color w:val="auto"/>
        </w:rPr>
        <w:t>own all right, title and interest in and to the Novo Nordisk Background IP. It is not the Parties’ intent that Novo Nordisk discloses to Keros any Novo Nordisk Background IP.</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60"/>
          </w:cols>
          <w:pgMar w:left="620" w:top="264" w:right="619" w:bottom="1440" w:gutter="0" w:footer="0" w:header="0"/>
        </w:sectPr>
      </w:pPr>
    </w:p>
    <w:bookmarkStart w:id="367" w:name="page368"/>
    <w:bookmarkEnd w:id="36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2" w:right="200" w:firstLine="957"/>
        <w:spacing w:after="0" w:line="295" w:lineRule="auto"/>
        <w:tabs>
          <w:tab w:leader="none" w:pos="1197"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Keros New Ligand Trap IP</w:t>
      </w:r>
      <w:r>
        <w:rPr>
          <w:rFonts w:ascii="Arial" w:cs="Arial" w:eastAsia="Arial" w:hAnsi="Arial"/>
          <w:sz w:val="17"/>
          <w:szCs w:val="17"/>
          <w:color w:val="auto"/>
        </w:rPr>
        <w:t>. Subject to the licenses granted under Section 5.1, as between the Parties, Keros shall own all right, title</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interest in Keros New Ligand Trap IP.</w:t>
      </w:r>
    </w:p>
    <w:p>
      <w:pPr>
        <w:spacing w:after="0" w:line="41" w:lineRule="exact"/>
        <w:rPr>
          <w:rFonts w:ascii="Arial" w:cs="Arial" w:eastAsia="Arial" w:hAnsi="Arial"/>
          <w:sz w:val="17"/>
          <w:szCs w:val="17"/>
          <w:b w:val="1"/>
          <w:bCs w:val="1"/>
          <w:color w:val="auto"/>
        </w:rPr>
      </w:pPr>
    </w:p>
    <w:p>
      <w:pPr>
        <w:ind w:left="2" w:right="60" w:firstLine="957"/>
        <w:spacing w:after="0" w:line="295" w:lineRule="auto"/>
        <w:tabs>
          <w:tab w:leader="none" w:pos="1216"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Novo Nordisk IP</w:t>
      </w:r>
      <w:r>
        <w:rPr>
          <w:rFonts w:ascii="Arial" w:cs="Arial" w:eastAsia="Arial" w:hAnsi="Arial"/>
          <w:sz w:val="17"/>
          <w:szCs w:val="17"/>
          <w:color w:val="auto"/>
        </w:rPr>
        <w:t>. Subject to the licenses granted under Section 5.1, as between the Parties, Novo Nordisk shall own all right, title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Novo Nordisk IP.</w:t>
      </w:r>
    </w:p>
    <w:p>
      <w:pPr>
        <w:spacing w:after="0" w:line="41" w:lineRule="exact"/>
        <w:rPr>
          <w:rFonts w:ascii="Arial" w:cs="Arial" w:eastAsia="Arial" w:hAnsi="Arial"/>
          <w:sz w:val="17"/>
          <w:szCs w:val="17"/>
          <w:b w:val="1"/>
          <w:bCs w:val="1"/>
          <w:color w:val="auto"/>
        </w:rPr>
      </w:pPr>
    </w:p>
    <w:p>
      <w:pPr>
        <w:ind w:left="2" w:right="100" w:firstLine="957"/>
        <w:spacing w:after="0" w:line="295" w:lineRule="auto"/>
        <w:tabs>
          <w:tab w:leader="none" w:pos="1197"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Collaboration IP</w:t>
      </w:r>
      <w:r>
        <w:rPr>
          <w:rFonts w:ascii="Arial" w:cs="Arial" w:eastAsia="Arial" w:hAnsi="Arial"/>
          <w:sz w:val="17"/>
          <w:szCs w:val="17"/>
          <w:color w:val="auto"/>
        </w:rPr>
        <w:t>. Subject to the licenses granted under Section 5.1, as between the Parties, all right, title and interest in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owned jointly by the Parties. It is not the Parties’ intent that Collaboration IP will be generated.</w:t>
      </w:r>
    </w:p>
    <w:p>
      <w:pPr>
        <w:spacing w:after="0" w:line="41" w:lineRule="exact"/>
        <w:rPr>
          <w:rFonts w:ascii="Arial" w:cs="Arial" w:eastAsia="Arial" w:hAnsi="Arial"/>
          <w:sz w:val="17"/>
          <w:szCs w:val="17"/>
          <w:b w:val="1"/>
          <w:bCs w:val="1"/>
          <w:color w:val="auto"/>
        </w:rPr>
      </w:pPr>
    </w:p>
    <w:p>
      <w:pPr>
        <w:ind w:left="2" w:right="180" w:firstLine="957"/>
        <w:spacing w:after="0" w:line="266" w:lineRule="auto"/>
        <w:tabs>
          <w:tab w:leader="none" w:pos="1178"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Assurances</w:t>
      </w:r>
      <w:r>
        <w:rPr>
          <w:rFonts w:ascii="Arial" w:cs="Arial" w:eastAsia="Arial" w:hAnsi="Arial"/>
          <w:sz w:val="17"/>
          <w:szCs w:val="17"/>
          <w:color w:val="auto"/>
        </w:rPr>
        <w:t>. The Parties shall reasonably cooperate with each other, and shall cause any employees, agents or consultants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Party, to effectuate ownership of any intellectual property rights as set forth in this Agreement, including, but not limited to, by executing and recording assignment documents. On a jurisdiction by jurisdiction basis, the Parties shall also reasonably cooperate with each other and negotiate in good faith any necessary transfer of rights, such as with an assignment of a Patent, should the law in such jurisdiction require such transfer in order to obtain patentability or maintain validity and/or enforce of such Patent.</w:t>
      </w:r>
    </w:p>
    <w:p>
      <w:pPr>
        <w:spacing w:after="0" w:line="65"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6.2 Patent Prosecution and Maintenance</w:t>
      </w:r>
      <w:r>
        <w:rPr>
          <w:rFonts w:ascii="Arial" w:cs="Arial" w:eastAsia="Arial" w:hAnsi="Arial"/>
          <w:sz w:val="17"/>
          <w:szCs w:val="17"/>
          <w:color w:val="auto"/>
        </w:rPr>
        <w:t>.</w:t>
      </w:r>
    </w:p>
    <w:p>
      <w:pPr>
        <w:spacing w:after="0" w:line="118" w:lineRule="exact"/>
        <w:rPr>
          <w:sz w:val="20"/>
          <w:szCs w:val="20"/>
          <w:color w:val="auto"/>
        </w:rPr>
      </w:pPr>
    </w:p>
    <w:p>
      <w:pPr>
        <w:ind w:left="1202" w:hanging="243"/>
        <w:spacing w:after="0"/>
        <w:tabs>
          <w:tab w:leader="none" w:pos="1202" w:val="left"/>
        </w:tabs>
        <w:numPr>
          <w:ilvl w:val="1"/>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Keros Background IP and Keros New Ligand Trap Patents</w:t>
      </w:r>
      <w:r>
        <w:rPr>
          <w:rFonts w:ascii="Arial" w:cs="Arial" w:eastAsia="Arial" w:hAnsi="Arial"/>
          <w:sz w:val="17"/>
          <w:szCs w:val="17"/>
          <w:color w:val="auto"/>
        </w:rPr>
        <w:t>.</w:t>
      </w:r>
    </w:p>
    <w:p>
      <w:pPr>
        <w:spacing w:after="0" w:line="123" w:lineRule="exact"/>
        <w:rPr>
          <w:rFonts w:ascii="Arial" w:cs="Arial" w:eastAsia="Arial" w:hAnsi="Arial"/>
          <w:sz w:val="17"/>
          <w:szCs w:val="17"/>
          <w:b w:val="1"/>
          <w:bCs w:val="1"/>
          <w:color w:val="auto"/>
        </w:rPr>
      </w:pPr>
    </w:p>
    <w:p>
      <w:pPr>
        <w:ind w:left="2" w:right="40" w:firstLine="1383"/>
        <w:spacing w:after="0" w:line="278" w:lineRule="auto"/>
        <w:tabs>
          <w:tab w:leader="none" w:pos="1594" w:val="left"/>
        </w:tabs>
        <w:numPr>
          <w:ilvl w:val="2"/>
          <w:numId w:val="318"/>
        </w:numPr>
        <w:rPr>
          <w:rFonts w:ascii="Arial" w:cs="Arial" w:eastAsia="Arial" w:hAnsi="Arial"/>
          <w:sz w:val="16"/>
          <w:szCs w:val="16"/>
          <w:b w:val="1"/>
          <w:bCs w:val="1"/>
          <w:color w:val="auto"/>
        </w:rPr>
      </w:pPr>
      <w:r>
        <w:rPr>
          <w:rFonts w:ascii="Arial" w:cs="Arial" w:eastAsia="Arial" w:hAnsi="Arial"/>
          <w:sz w:val="16"/>
          <w:szCs w:val="16"/>
          <w:color w:val="auto"/>
        </w:rPr>
        <w:t>The Parties acknowledge that Keros Background Patents that exist as of the Effective Date Cover both Declined Ligand Traps as well as Selected Ligand Traps, and that the Declined Ligand Traps are not subject to Novo Nordisk’s license set forth in Section 5.1(a). Furthermore, the Parties acknowledge that Keros New Ligand Trap Patents potentially will Cover both Declined Ligand Traps as well as Selected Ligand Traps, and that the Declined Ligand Traps are not subject to Novo Nordisk’s license set forth in Section 5.1(a).The Parties further acknowledge that it is their intent, where reasonably practicable, to file divisional and/or continuation patent applications (including, if appropriate, continuation-in-part patent applications) claiming priority to such Keros Background Patents, and/or new patent applications, such as one or more Keros New Ligand Trap Patents, that solely Cover the composition, manufacture or use of the Selected Ligand Traps (such patent applications and any patents issuing therefrom, defined as the “</w:t>
      </w:r>
      <w:r>
        <w:rPr>
          <w:rFonts w:ascii="Arial" w:cs="Arial" w:eastAsia="Arial" w:hAnsi="Arial"/>
          <w:sz w:val="16"/>
          <w:szCs w:val="16"/>
          <w:b w:val="1"/>
          <w:bCs w:val="1"/>
          <w:color w:val="auto"/>
        </w:rPr>
        <w:t>Selected Ligand Traps-Specific Patents</w:t>
      </w:r>
      <w:r>
        <w:rPr>
          <w:rFonts w:ascii="Arial" w:cs="Arial" w:eastAsia="Arial" w:hAnsi="Arial"/>
          <w:sz w:val="16"/>
          <w:szCs w:val="16"/>
          <w:color w:val="auto"/>
        </w:rPr>
        <w:t>”) without claiming any subject matter related to the Declined Ligand Traps (such patent applications and any patents issuing therefrom, defined as the “</w:t>
      </w:r>
      <w:r>
        <w:rPr>
          <w:rFonts w:ascii="Arial" w:cs="Arial" w:eastAsia="Arial" w:hAnsi="Arial"/>
          <w:sz w:val="16"/>
          <w:szCs w:val="16"/>
          <w:b w:val="1"/>
          <w:bCs w:val="1"/>
          <w:color w:val="auto"/>
        </w:rPr>
        <w:t>Declined Ligand Traps-Specific Patents</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2" w:right="40" w:firstLine="1383"/>
        <w:spacing w:after="0" w:line="294" w:lineRule="auto"/>
        <w:tabs>
          <w:tab w:leader="none" w:pos="1642" w:val="left"/>
        </w:tabs>
        <w:numPr>
          <w:ilvl w:val="2"/>
          <w:numId w:val="318"/>
        </w:numPr>
        <w:rPr>
          <w:rFonts w:ascii="Arial" w:cs="Arial" w:eastAsia="Arial" w:hAnsi="Arial"/>
          <w:sz w:val="15"/>
          <w:szCs w:val="15"/>
          <w:b w:val="1"/>
          <w:bCs w:val="1"/>
          <w:color w:val="auto"/>
        </w:rPr>
      </w:pPr>
      <w:r>
        <w:rPr>
          <w:rFonts w:ascii="Arial" w:cs="Arial" w:eastAsia="Arial" w:hAnsi="Arial"/>
          <w:sz w:val="15"/>
          <w:szCs w:val="15"/>
          <w:color w:val="auto"/>
        </w:rPr>
        <w:t>To coordinate the efficient Prosecution and Maintenance of the Selected Ligand Traps-Specific Patents and Declined Ligand Traps-Specific Patents in accordance with the foregoing principles, the Parties shall appoint one senior patent counsel representing each Party to oversee the Prosecution and Maintenance of the Selected Ligand Traps-Specific Patents and Declined Ligand Traps-Specific Patents pursuant to this Section 6.2. The patent counsels shall meet by telephone or videoconference at least twice per year, and more frequently as its members may agree. Keros’ patent counsel shall provide an update to Novo Nordisk’s patent counsel with respect to Prosecution and Maintenance of the Keros Background Patents at least</w:t>
      </w:r>
    </w:p>
    <w:p>
      <w:pPr>
        <w:ind w:left="422" w:hanging="422"/>
        <w:spacing w:after="0"/>
        <w:tabs>
          <w:tab w:leader="none" w:pos="42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prior to a JSC meeting.</w:t>
      </w:r>
    </w:p>
    <w:p>
      <w:pPr>
        <w:spacing w:after="0" w:line="145"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62"/>
          </w:cols>
          <w:pgMar w:left="618" w:top="264" w:right="6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63" w:lineRule="exact"/>
        <w:rPr>
          <w:sz w:val="20"/>
          <w:szCs w:val="20"/>
          <w:color w:val="auto"/>
        </w:rPr>
      </w:pPr>
    </w:p>
    <w:p>
      <w:pPr>
        <w:ind w:right="180" w:firstLine="1383"/>
        <w:spacing w:after="0" w:line="284" w:lineRule="auto"/>
        <w:tabs>
          <w:tab w:leader="none" w:pos="1689"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As between the Parties, Keros shall have the sole right, at its sole discretion, to Prosecute and Maintain and determine the strategy of prosecution of the (A) Keros Background Patents and (B) Keros New Ligand Trap Patents including those Covering Selected Ligand Traps and Declined Ligand Traps. As of the Effective Date, Novo Nordisk shall be responsible for all reasonable prosecution costs of Keros Background Patents (other than Declined Ligand Traps-Specific Patents) and Keros New Ligand Trap Patents (other than Declined Ligand Traps-Specific Patents), and shall reimburse Keros for such expenses within [***] after invoice thereof from Keros.</w:t>
      </w:r>
    </w:p>
    <w:p>
      <w:pPr>
        <w:spacing w:after="0" w:line="60" w:lineRule="exact"/>
        <w:rPr>
          <w:rFonts w:ascii="Arial" w:cs="Arial" w:eastAsia="Arial" w:hAnsi="Arial"/>
          <w:sz w:val="16"/>
          <w:szCs w:val="16"/>
          <w:b w:val="1"/>
          <w:bCs w:val="1"/>
          <w:color w:val="auto"/>
        </w:rPr>
      </w:pPr>
    </w:p>
    <w:p>
      <w:pPr>
        <w:ind w:right="100" w:firstLine="1383"/>
        <w:spacing w:after="0" w:line="296" w:lineRule="auto"/>
        <w:tabs>
          <w:tab w:leader="none" w:pos="1679"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Keros shall, at least [***] and at minimum intervals of [***], during the term of this Agreement, provide Novo Nordisk with a list of Keros Background Patents (other than Declined Ligand Traps-Specific Patents) and Keros New Ligand Trap Patents (other than Declined Ligand Traps-Specific Patents), providing relevant filing and status information, beginning on the date that is [***] following the Effective Date.</w:t>
      </w:r>
    </w:p>
    <w:p>
      <w:pPr>
        <w:spacing w:after="0" w:line="50" w:lineRule="exact"/>
        <w:rPr>
          <w:rFonts w:ascii="Arial" w:cs="Arial" w:eastAsia="Arial" w:hAnsi="Arial"/>
          <w:sz w:val="16"/>
          <w:szCs w:val="16"/>
          <w:b w:val="1"/>
          <w:bCs w:val="1"/>
          <w:color w:val="auto"/>
        </w:rPr>
      </w:pPr>
    </w:p>
    <w:p>
      <w:pPr>
        <w:ind w:right="40" w:firstLine="1383"/>
        <w:spacing w:after="0" w:line="272" w:lineRule="auto"/>
        <w:tabs>
          <w:tab w:leader="none" w:pos="1631"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Keros shall provide Novo Nordisk with timely notification regarding any information it discovers during the term of this Agreement that Keros reasonably considers to materially affect the enforceability or adversely affect the term of any Keros Background Patent Covering Selected Ligand Traps or Keros New Ligand Trap Patents Covering Selected Ligand Traps.</w:t>
      </w:r>
    </w:p>
    <w:p>
      <w:pPr>
        <w:spacing w:after="0" w:line="66" w:lineRule="exact"/>
        <w:rPr>
          <w:rFonts w:ascii="Arial" w:cs="Arial" w:eastAsia="Arial" w:hAnsi="Arial"/>
          <w:sz w:val="17"/>
          <w:szCs w:val="17"/>
          <w:b w:val="1"/>
          <w:bCs w:val="1"/>
          <w:color w:val="auto"/>
        </w:rPr>
      </w:pPr>
    </w:p>
    <w:p>
      <w:pPr>
        <w:ind w:right="260" w:firstLine="1383"/>
        <w:spacing w:after="0" w:line="287" w:lineRule="auto"/>
        <w:tabs>
          <w:tab w:leader="none" w:pos="1679"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If requested by Novo Nordisk, Keros shall timely provide Novo Nordisk with copies of all material correspondence from any patent authority regarding Keros Background Patents and Keros New Ligand Trap Patents Covering Selected Ligand Traps.</w:t>
      </w:r>
    </w:p>
    <w:p>
      <w:pPr>
        <w:spacing w:after="0" w:line="54" w:lineRule="exact"/>
        <w:rPr>
          <w:rFonts w:ascii="Arial" w:cs="Arial" w:eastAsia="Arial" w:hAnsi="Arial"/>
          <w:sz w:val="17"/>
          <w:szCs w:val="17"/>
          <w:b w:val="1"/>
          <w:bCs w:val="1"/>
          <w:color w:val="auto"/>
        </w:rPr>
      </w:pPr>
    </w:p>
    <w:p>
      <w:pPr>
        <w:jc w:val="both"/>
        <w:ind w:right="100" w:firstLine="1383"/>
        <w:spacing w:after="0" w:line="266" w:lineRule="auto"/>
        <w:tabs>
          <w:tab w:leader="none" w:pos="1727"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If requested by Novo Nordisk, Keros shall provide Novo Nordisk with a copy of any proposed material filing with any patent authority in connection with proceedings before any patent authority in the Selected Ligand Traps-Specific Patents and, if requested by Novo Nordisk, shall provide to Novo Nordisk a reasonable opportunity (at least [***], if reasonably practicable) to comment on any such proposed material filing with respect to such Selected Ligand Traps-Specific Patents, which comments Keros shall consider in good faith.</w:t>
      </w:r>
    </w:p>
    <w:p>
      <w:pPr>
        <w:spacing w:after="0" w:line="73" w:lineRule="exact"/>
        <w:rPr>
          <w:rFonts w:ascii="Arial" w:cs="Arial" w:eastAsia="Arial" w:hAnsi="Arial"/>
          <w:sz w:val="17"/>
          <w:szCs w:val="17"/>
          <w:b w:val="1"/>
          <w:bCs w:val="1"/>
          <w:color w:val="auto"/>
        </w:rPr>
      </w:pPr>
    </w:p>
    <w:p>
      <w:pPr>
        <w:ind w:right="40" w:firstLine="1383"/>
        <w:spacing w:after="0" w:line="261" w:lineRule="auto"/>
        <w:tabs>
          <w:tab w:leader="none" w:pos="1776"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If Keros elects to discontinue Prosecution or Maintenance of any Keros Background Patent (excluding Declined Ligand Traps-Specific Patents) or Keros New Ligand Trap Patents (excluding Declined Ligand Traps-Specific Patents) without filing a continuation or substitute patent application, Keros shall so advise Novo Nordisk in writing at least [***] in advance of such discontinuance and, if requested by Novo Nordisk, shall discuss with Novo Nordisk Keros’ reasons for such discontinuance. If requested by Novo Nordisk and at Novo Nordisk’s sole cost, Keros will take action to prevent such abandonment of such Patent, unless Keros has a material business or legal reason for not taking such action. For purposes of clarity, as between Keros and Novo Nordisk, Keros shall retain ownership of the Keros Background Patents and Keros New Ligand Trap Patents Covering Selected Ligand Traps.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60"/>
          </w:cols>
          <w:pgMar w:left="620" w:top="264" w:right="619" w:bottom="1440" w:gutter="0" w:footer="0" w:header="0"/>
        </w:sectPr>
      </w:pPr>
    </w:p>
    <w:bookmarkStart w:id="369" w:name="page370"/>
    <w:bookmarkEnd w:id="36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220" w:firstLine="957"/>
        <w:spacing w:after="0" w:line="275" w:lineRule="auto"/>
        <w:tabs>
          <w:tab w:leader="none" w:pos="1215"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Novo Nordisk Background Patents and Novo Nordisk Patents</w:t>
      </w:r>
      <w:r>
        <w:rPr>
          <w:rFonts w:ascii="Arial" w:cs="Arial" w:eastAsia="Arial" w:hAnsi="Arial"/>
          <w:sz w:val="17"/>
          <w:szCs w:val="17"/>
          <w:color w:val="auto"/>
        </w:rPr>
        <w:t>. As between the Parties, Novo Nordisk shall have the sole right, at</w:t>
      </w:r>
      <w:r>
        <w:rPr>
          <w:rFonts w:ascii="Arial" w:cs="Arial" w:eastAsia="Arial" w:hAnsi="Arial"/>
          <w:sz w:val="17"/>
          <w:szCs w:val="17"/>
          <w:b w:val="1"/>
          <w:bCs w:val="1"/>
          <w:color w:val="auto"/>
        </w:rPr>
        <w:t xml:space="preserve"> </w:t>
      </w:r>
      <w:r>
        <w:rPr>
          <w:rFonts w:ascii="Arial" w:cs="Arial" w:eastAsia="Arial" w:hAnsi="Arial"/>
          <w:sz w:val="17"/>
          <w:szCs w:val="17"/>
          <w:color w:val="auto"/>
        </w:rPr>
        <w:t>its sole discretion and expense, to Prosecute and Maintain and determine the strategy of Prosecution of all Patents comprising the Novo Nordisk Background IP as well as Novo Nordisk Patents.</w:t>
      </w:r>
    </w:p>
    <w:p>
      <w:pPr>
        <w:spacing w:after="0" w:line="59" w:lineRule="exact"/>
        <w:rPr>
          <w:rFonts w:ascii="Arial" w:cs="Arial" w:eastAsia="Arial" w:hAnsi="Arial"/>
          <w:sz w:val="17"/>
          <w:szCs w:val="17"/>
          <w:b w:val="1"/>
          <w:bCs w:val="1"/>
          <w:color w:val="auto"/>
        </w:rPr>
      </w:pPr>
    </w:p>
    <w:p>
      <w:pPr>
        <w:jc w:val="both"/>
        <w:ind w:right="120" w:firstLine="957"/>
        <w:spacing w:after="0" w:line="266" w:lineRule="auto"/>
        <w:tabs>
          <w:tab w:leader="none" w:pos="1195"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Keros New Ligand Trap Patents Covering Declined Ligand Traps</w:t>
      </w:r>
      <w:r>
        <w:rPr>
          <w:rFonts w:ascii="Arial" w:cs="Arial" w:eastAsia="Arial" w:hAnsi="Arial"/>
          <w:sz w:val="17"/>
          <w:szCs w:val="17"/>
          <w:color w:val="auto"/>
        </w:rPr>
        <w:t>. During the term of this Agreement, Keros shall at its own costs</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sole right, at its sole discretion and expense, to Prosecute and Maintain and determine the strategy for the Prosecution and Maintenance of any Keros New Ligand Trap Patent solely Covering the Declined Ligand Traps (i.e. Declined Ligand Traps-Specific Patents), including deciding on (A) the scope and content of the Patent; (B) the countries in which Prosecution and Maintenance should be conducted; and (C) whether to retain outside patent counsel to conduct all or particular Prosecution and Maintenance activities.</w:t>
      </w:r>
    </w:p>
    <w:p>
      <w:pPr>
        <w:spacing w:after="0" w:line="65" w:lineRule="exact"/>
        <w:rPr>
          <w:rFonts w:ascii="Arial" w:cs="Arial" w:eastAsia="Arial" w:hAnsi="Arial"/>
          <w:sz w:val="17"/>
          <w:szCs w:val="17"/>
          <w:b w:val="1"/>
          <w:bCs w:val="1"/>
          <w:color w:val="auto"/>
        </w:rPr>
      </w:pPr>
    </w:p>
    <w:p>
      <w:pPr>
        <w:ind w:right="180" w:firstLine="957"/>
        <w:spacing w:after="0" w:line="266" w:lineRule="auto"/>
        <w:tabs>
          <w:tab w:leader="none" w:pos="1215"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Collaboration Patents</w:t>
      </w:r>
      <w:r>
        <w:rPr>
          <w:rFonts w:ascii="Arial" w:cs="Arial" w:eastAsia="Arial" w:hAnsi="Arial"/>
          <w:sz w:val="17"/>
          <w:szCs w:val="17"/>
          <w:color w:val="auto"/>
        </w:rPr>
        <w:t>. During the term of this Agreement, the Parties shall jointly decide if and how to Prosecute and Maintain and</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strategy for the Prosecution and Maintenance of any Collaboration Patent and how costs and expenses will be allocated between the Parties, including deciding on (A) the scope and content of the Patent; (B) the countries in which Prosecution and Maintenance should be conducted; and (C) whether to retain outside patent counsel to conduct all or particular Prosecution and Maintenance activities. It is not the Parties’ intent that Collaboration IP will be generated.</w:t>
      </w:r>
    </w:p>
    <w:p>
      <w:pPr>
        <w:spacing w:after="0" w:line="65" w:lineRule="exact"/>
        <w:rPr>
          <w:rFonts w:ascii="Arial" w:cs="Arial" w:eastAsia="Arial" w:hAnsi="Arial"/>
          <w:sz w:val="17"/>
          <w:szCs w:val="17"/>
          <w:b w:val="1"/>
          <w:bCs w:val="1"/>
          <w:color w:val="auto"/>
        </w:rPr>
      </w:pPr>
    </w:p>
    <w:p>
      <w:pPr>
        <w:ind w:right="200" w:firstLine="957"/>
        <w:spacing w:after="0" w:line="266" w:lineRule="auto"/>
        <w:tabs>
          <w:tab w:leader="none" w:pos="1195"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Each Party shall reasonably cooperate with and assist the other Party in the Prosecution and Maintenance of any Keros</w:t>
      </w:r>
      <w:r>
        <w:rPr>
          <w:rFonts w:ascii="Arial" w:cs="Arial" w:eastAsia="Arial" w:hAnsi="Arial"/>
          <w:sz w:val="17"/>
          <w:szCs w:val="17"/>
          <w:b w:val="1"/>
          <w:bCs w:val="1"/>
          <w:color w:val="auto"/>
        </w:rPr>
        <w:t xml:space="preserve"> </w:t>
      </w:r>
      <w:r>
        <w:rPr>
          <w:rFonts w:ascii="Arial" w:cs="Arial" w:eastAsia="Arial" w:hAnsi="Arial"/>
          <w:sz w:val="17"/>
          <w:szCs w:val="17"/>
          <w:color w:val="auto"/>
        </w:rPr>
        <w:t>New Ligand Trap Patent, Novo Nordisk Patent or Collaboration Patent, including by (A) consulting with the other Party as it may reasonably request, and (B) making its relevant and necessary scientists and scientific records reasonably available. In addition, either Party shall sign and deliver, or use reasonable efforts to have signed and delivered, at no charge to the other Party, all documents necessary in connection with such Prosecution and Maintenance.</w:t>
      </w:r>
    </w:p>
    <w:p>
      <w:pPr>
        <w:spacing w:after="0" w:line="65" w:lineRule="exact"/>
        <w:rPr>
          <w:rFonts w:ascii="Arial" w:cs="Arial" w:eastAsia="Arial" w:hAnsi="Arial"/>
          <w:sz w:val="17"/>
          <w:szCs w:val="17"/>
          <w:b w:val="1"/>
          <w:bCs w:val="1"/>
          <w:color w:val="auto"/>
        </w:rPr>
      </w:pPr>
    </w:p>
    <w:p>
      <w:pPr>
        <w:ind w:right="60" w:firstLine="957"/>
        <w:spacing w:after="0" w:line="262" w:lineRule="auto"/>
        <w:tabs>
          <w:tab w:leader="none" w:pos="1176"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Patent Term Extensions</w:t>
      </w:r>
      <w:r>
        <w:rPr>
          <w:rFonts w:ascii="Arial" w:cs="Arial" w:eastAsia="Arial" w:hAnsi="Arial"/>
          <w:sz w:val="17"/>
          <w:szCs w:val="17"/>
          <w:color w:val="auto"/>
        </w:rPr>
        <w:t>. Novo Nordisk shall have the sole right to apply for patent term extension on a Keros Background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any Declined Ligand Traps-Specific Patents), Keros New Ligand Trap Patents (excluding any Declined Ligand Traps-Specific Patents), Novo Nordisk Patent or Collaboration Patent that Covers Licensed Product, as may be available under the provisions of the Drug Price Competition and Patent Term Restoration Act of 1984 or comparable laws outside the United States of America (including obtaining a supplementary protection certificate (SPC), such as those available to Member States of the European Union, and other similar measures in any other country), on a country-by-country basis. Keros shall cooperate and to provide reasonable assistance (including executing any documents as may reasonably be required) to Novo Nordisk in seeking and obtaining such patent term extension(s).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60"/>
          </w:cols>
          <w:pgMar w:left="620" w:top="264" w:right="619" w:bottom="1440" w:gutter="0" w:footer="0" w:header="0"/>
        </w:sectPr>
      </w:pPr>
    </w:p>
    <w:bookmarkStart w:id="370" w:name="page371"/>
    <w:bookmarkEnd w:id="37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Enforcement and Defense of Patents</w:t>
      </w:r>
    </w:p>
    <w:p>
      <w:pPr>
        <w:spacing w:after="0" w:line="204" w:lineRule="exact"/>
        <w:rPr>
          <w:sz w:val="20"/>
          <w:szCs w:val="20"/>
          <w:color w:val="auto"/>
        </w:rPr>
      </w:pPr>
    </w:p>
    <w:p>
      <w:pPr>
        <w:ind w:right="20" w:firstLine="426"/>
        <w:spacing w:after="0" w:line="266" w:lineRule="auto"/>
        <w:rPr>
          <w:sz w:val="20"/>
          <w:szCs w:val="20"/>
          <w:color w:val="auto"/>
        </w:rPr>
      </w:pPr>
      <w:r>
        <w:rPr>
          <w:rFonts w:ascii="Arial" w:cs="Arial" w:eastAsia="Arial" w:hAnsi="Arial"/>
          <w:sz w:val="17"/>
          <w:szCs w:val="17"/>
          <w:b w:val="1"/>
          <w:bCs w:val="1"/>
          <w:color w:val="auto"/>
        </w:rPr>
        <w:t>7.1 Notice</w:t>
      </w:r>
      <w:r>
        <w:rPr>
          <w:rFonts w:ascii="Arial" w:cs="Arial" w:eastAsia="Arial" w:hAnsi="Arial"/>
          <w:sz w:val="17"/>
          <w:szCs w:val="17"/>
          <w:color w:val="auto"/>
        </w:rPr>
        <w:t>. With respect to intellectual property that is within the scope of any Keros Background IP, Keros New Ligand Trap IP, Novo Nordisk IP</w:t>
      </w:r>
      <w:r>
        <w:rPr>
          <w:rFonts w:ascii="Arial" w:cs="Arial" w:eastAsia="Arial" w:hAnsi="Arial"/>
          <w:sz w:val="17"/>
          <w:szCs w:val="17"/>
          <w:b w:val="1"/>
          <w:bCs w:val="1"/>
          <w:color w:val="auto"/>
        </w:rPr>
        <w:t xml:space="preserve"> </w:t>
      </w:r>
      <w:r>
        <w:rPr>
          <w:rFonts w:ascii="Arial" w:cs="Arial" w:eastAsia="Arial" w:hAnsi="Arial"/>
          <w:sz w:val="17"/>
          <w:szCs w:val="17"/>
          <w:color w:val="auto"/>
        </w:rPr>
        <w:t>or Collaboration IP, each Party shall promptly notify the other Party in writing upon learning of any (a) actual or suspected infringement and/or misappropriation by a Third Party (collectively, an “</w:t>
      </w:r>
      <w:r>
        <w:rPr>
          <w:rFonts w:ascii="Arial" w:cs="Arial" w:eastAsia="Arial" w:hAnsi="Arial"/>
          <w:sz w:val="17"/>
          <w:szCs w:val="17"/>
          <w:b w:val="1"/>
          <w:bCs w:val="1"/>
          <w:color w:val="auto"/>
        </w:rPr>
        <w:t>Infringement</w:t>
      </w:r>
      <w:r>
        <w:rPr>
          <w:rFonts w:ascii="Arial" w:cs="Arial" w:eastAsia="Arial" w:hAnsi="Arial"/>
          <w:sz w:val="17"/>
          <w:szCs w:val="17"/>
          <w:color w:val="auto"/>
        </w:rPr>
        <w:t>”) of the Keros Background IP, the Keros New Ligand Trap IP, the Novo Nordisk IP or the Collaboration IP or (b) claim by a Third Party of invalidity, unenforceability and/or non-infringement of a Keros Patent, Novo Nordisk Patent or the Collaboration Patent.</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7.2 Enforcement and Defense of Keros Background IP and Keros New Ligand Trap IP</w:t>
      </w:r>
      <w:r>
        <w:rPr>
          <w:rFonts w:ascii="Arial" w:cs="Arial" w:eastAsia="Arial" w:hAnsi="Arial"/>
          <w:sz w:val="17"/>
          <w:szCs w:val="17"/>
          <w:color w:val="auto"/>
        </w:rPr>
        <w:t>.</w:t>
      </w:r>
    </w:p>
    <w:p>
      <w:pPr>
        <w:spacing w:after="0" w:line="124" w:lineRule="exact"/>
        <w:rPr>
          <w:sz w:val="20"/>
          <w:szCs w:val="20"/>
          <w:color w:val="auto"/>
        </w:rPr>
      </w:pPr>
    </w:p>
    <w:p>
      <w:pPr>
        <w:ind w:right="20" w:firstLine="957"/>
        <w:spacing w:after="0" w:line="294" w:lineRule="auto"/>
        <w:tabs>
          <w:tab w:leader="none" w:pos="1205" w:val="left"/>
        </w:tabs>
        <w:numPr>
          <w:ilvl w:val="0"/>
          <w:numId w:val="321"/>
        </w:numPr>
        <w:rPr>
          <w:rFonts w:ascii="Arial" w:cs="Arial" w:eastAsia="Arial" w:hAnsi="Arial"/>
          <w:sz w:val="15"/>
          <w:szCs w:val="15"/>
          <w:b w:val="1"/>
          <w:bCs w:val="1"/>
          <w:color w:val="auto"/>
        </w:rPr>
      </w:pPr>
      <w:r>
        <w:rPr>
          <w:rFonts w:ascii="Arial" w:cs="Arial" w:eastAsia="Arial" w:hAnsi="Arial"/>
          <w:sz w:val="15"/>
          <w:szCs w:val="15"/>
          <w:color w:val="auto"/>
        </w:rPr>
        <w:t>Keros shall at its own costs have the sole right (but not the obligation) to file suit against any Third Party for Infringement of the Keros Background Patents and Keros New Ligand Trap Patents (other than the Selected Ligand Traps-Specific Patents) or to otherwise seek to abate any Infringement thereof by such Third Party and to defend such Declined Ligand Traps-Specific Patents against a Third Party claim of invalidity, unenforceability or non-infringement. If Keros fails or decides not to institute any such enforcement action of the Keros Background Patents and Keros New Ligand Trap IP (other than the Declined Ligand Traps-Specific Patents) relevant for the Novo Nordisk Field within [***] of becoming first aware of any such infringement, misappropriation, or misuse, Novo Nordisk shall have the right, but not the obligation, to institute, at its sole cost and expense, such an enforcement action. Keros shall notify Novo Nordisk as soon as possible if it decides not to institute any such enforcement action. If Keros does institute such enforcement action but desires at any point in such enforcement action to cease to continue with such enforcement action, then Keros will provide a reasonable written notice to Novo Nordisk prior to discontinuing such enforcement action and Novo Nordisk shall then have the right, but not the obligation, to continue such enforcement action. The Parties shall reasonably cooperate and shall provide each other with any information or assistance that either reasonably requests. The non-enforcing Party shall have the right to join, at its own expense, any such legal action and to be represented in such action by its own counsel. If the non-enforcing Party is required under any law to join any such legal action initiated by the enforcing Party or if the failure of the non-enforcing Party to be a Party to such suit, action, or proceeding would in the opinion of counsel to the enforcing Party risk dismissal thereof, the non-enforcing Party shall execute all papers and perform such other acts as may be reasonably required to permit the litigation to be initiated or conducted, and the enforcing Party shall reimburse the non-enforcing Party for its reasonable expenses relating to its joining thereto and participation therein. For the avoidance of doubt, Novo Nordisk shall have no right to take action against infringement with respect to (a) Declined Ligand Traps-Specific Patents and/or Declined Ligand Traps, or (b) after the end of the Collaboration Term, any Keros Patent (other than Selected Ligand Traps-Specific Patents as set forth in subsection (b) below) with respect to Cardiovascular Indications or CKD Indications.</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60"/>
          </w:cols>
          <w:pgMar w:left="620" w:top="264" w:right="6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63" w:lineRule="exact"/>
        <w:rPr>
          <w:sz w:val="20"/>
          <w:szCs w:val="20"/>
          <w:color w:val="auto"/>
        </w:rPr>
      </w:pPr>
    </w:p>
    <w:p>
      <w:pPr>
        <w:ind w:right="60" w:firstLine="957"/>
        <w:spacing w:after="0" w:line="260" w:lineRule="auto"/>
        <w:tabs>
          <w:tab w:leader="none" w:pos="1215" w:val="left"/>
        </w:tabs>
        <w:numPr>
          <w:ilvl w:val="0"/>
          <w:numId w:val="322"/>
        </w:numPr>
        <w:rPr>
          <w:rFonts w:ascii="Arial" w:cs="Arial" w:eastAsia="Arial" w:hAnsi="Arial"/>
          <w:sz w:val="17"/>
          <w:szCs w:val="17"/>
          <w:b w:val="1"/>
          <w:bCs w:val="1"/>
          <w:color w:val="auto"/>
        </w:rPr>
      </w:pPr>
      <w:r>
        <w:rPr>
          <w:rFonts w:ascii="Arial" w:cs="Arial" w:eastAsia="Arial" w:hAnsi="Arial"/>
          <w:sz w:val="17"/>
          <w:szCs w:val="17"/>
          <w:color w:val="auto"/>
        </w:rPr>
        <w:t>Novo Nordisk shall at its own costs have the sole right (but not the obligation) to file suit against any Third Party for Infringement of the Selected Ligand Traps-Specific Patents or to otherwise seek to abate any Infringement thereof by such Third Party and to defend such Selected Ligand Traps-Specific Patents against a Third Party claim of invalidity, unenforceability or non-infringement. If requested to do so by Novo Nordisk, Keros shall reasonably cooperate with Novo Nordisk to enforce and defend such rights in relation to the Novo Nordisk Field. Keros will join such suit if the relevant court, tribunal or patent authority would lack jurisdiction if Keros were absent from such suit, and Keros will execute such legal papers and cooperate in the prosecution of such suit as may be reasonably requested by Novo Nordisk; provided, that Novo Nordisk will promptly reimburse all out-of-pocket expenses (including reasonable attorneys’ fees and expenses) incurred by Keros in connection with joining such suit and providing such other requested cooperation.</w:t>
      </w:r>
    </w:p>
    <w:p>
      <w:pPr>
        <w:spacing w:after="0" w:line="75" w:lineRule="exact"/>
        <w:rPr>
          <w:rFonts w:ascii="Arial" w:cs="Arial" w:eastAsia="Arial" w:hAnsi="Arial"/>
          <w:sz w:val="17"/>
          <w:szCs w:val="17"/>
          <w:b w:val="1"/>
          <w:bCs w:val="1"/>
          <w:color w:val="auto"/>
        </w:rPr>
      </w:pPr>
    </w:p>
    <w:p>
      <w:pPr>
        <w:ind w:right="40" w:firstLine="957"/>
        <w:spacing w:after="0" w:line="279" w:lineRule="auto"/>
        <w:tabs>
          <w:tab w:leader="none" w:pos="1195"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Enforcement and Defense of Novo Nordisk IP and Novo Nordisk Background Patents</w:t>
      </w:r>
      <w:r>
        <w:rPr>
          <w:rFonts w:ascii="Arial" w:cs="Arial" w:eastAsia="Arial" w:hAnsi="Arial"/>
          <w:sz w:val="16"/>
          <w:szCs w:val="16"/>
          <w:color w:val="auto"/>
        </w:rPr>
        <w:t>. Novo Nordisk shall at its own costs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sole right (but not the obligation) to file suit against any Third Party for Infringement of the Novo Nordisk Patents and/or Patents included in the Novo Nordisk Background Patents or to otherwise seek to abate any Infringement thereof by such Third Party and to defend such Novo Nordisk Patents and/or Patents included in the Novo Nordisk Background Patents against a Third Party claim of invalidity, unenforceability or non-infringement. If requested to do so by Novo Nordisk, Keros shall reasonably cooperate with Novo Nordisk to enforce and defend such rights in relation to the Novo Nordisk Field. Keros will join such suit if the relevant court, tribunal or patent authority would lack jurisdiction if Keros were absent from such suit, and Keros will execute such legal papers and cooperate in the prosecution of such suit as may be reasonably requested by Novo Nordisk; provided, that Novo Nordisk will promptly reimburse all out-of-pocket expenses (including reasonable attorneys’ fees and expenses) incurred by Keros in connection with joining such suit and providing such other requested cooperation.</w:t>
      </w:r>
    </w:p>
    <w:p>
      <w:pPr>
        <w:spacing w:after="0" w:line="59" w:lineRule="exact"/>
        <w:rPr>
          <w:rFonts w:ascii="Arial" w:cs="Arial" w:eastAsia="Arial" w:hAnsi="Arial"/>
          <w:sz w:val="16"/>
          <w:szCs w:val="16"/>
          <w:b w:val="1"/>
          <w:bCs w:val="1"/>
          <w:color w:val="auto"/>
        </w:rPr>
      </w:pPr>
    </w:p>
    <w:p>
      <w:pPr>
        <w:ind w:right="120" w:firstLine="957"/>
        <w:spacing w:after="0" w:line="261" w:lineRule="auto"/>
        <w:tabs>
          <w:tab w:leader="none" w:pos="1215"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 and Defense of Collaboration IP</w:t>
      </w:r>
      <w:r>
        <w:rPr>
          <w:rFonts w:ascii="Arial" w:cs="Arial" w:eastAsia="Arial" w:hAnsi="Arial"/>
          <w:sz w:val="17"/>
          <w:szCs w:val="17"/>
          <w:color w:val="auto"/>
        </w:rPr>
        <w:t>. The Parties shall jointly decide if and how to enforce or otherwise seek to abate any</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of Collaboration IP and to defend such Collaboration Patents against a Third Party claim of invalidity, unenforceability or non-infringement and how costs and expenses will be allocated between the Parties for any such actions or defense. If requested to do so by a Party, the other Party shall reasonably cooperate with the first Party to enforce and defend such rights. Each Party will join such suit if the relevant court, tribunal or patent authority would lack jurisdiction if a Party were absent from such suit, and each Party will execute such legal papers and cooperate in the prosecution of such suit as may be reasonably requested by the other Party; provided, that the other Party will promptly reimburse all out-of-pocket expenses (including reasonable attorneys’ fees and expenses) incurred by the Party in connection with joining such suit and providing such other requested cooperation.</w:t>
      </w:r>
    </w:p>
    <w:p>
      <w:pPr>
        <w:spacing w:after="0" w:line="75" w:lineRule="exact"/>
        <w:rPr>
          <w:sz w:val="20"/>
          <w:szCs w:val="20"/>
          <w:color w:val="auto"/>
        </w:rPr>
      </w:pPr>
    </w:p>
    <w:p>
      <w:pPr>
        <w:ind w:right="160" w:firstLine="426"/>
        <w:spacing w:after="0" w:line="275" w:lineRule="auto"/>
        <w:rPr>
          <w:sz w:val="20"/>
          <w:szCs w:val="20"/>
          <w:color w:val="auto"/>
        </w:rPr>
      </w:pPr>
      <w:r>
        <w:rPr>
          <w:rFonts w:ascii="Arial" w:cs="Arial" w:eastAsia="Arial" w:hAnsi="Arial"/>
          <w:sz w:val="17"/>
          <w:szCs w:val="17"/>
          <w:b w:val="1"/>
          <w:bCs w:val="1"/>
          <w:color w:val="auto"/>
        </w:rPr>
        <w:t>7.3 Recovery</w:t>
      </w:r>
      <w:r>
        <w:rPr>
          <w:rFonts w:ascii="Arial" w:cs="Arial" w:eastAsia="Arial" w:hAnsi="Arial"/>
          <w:sz w:val="17"/>
          <w:szCs w:val="17"/>
          <w:color w:val="auto"/>
        </w:rPr>
        <w:t>. Except as otherwise provided, the costs and expenses of the Party bringing suit against a Third Party shall be borne by such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damages, settlements or other monetary awards recovered shall be shared as follows: [***]. The Parties shall agree in good faith the value of any non-monetary benefits.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60"/>
          </w:cols>
          <w:pgMar w:left="620" w:top="264" w:right="619" w:bottom="1440" w:gutter="0" w:footer="0" w:header="0"/>
        </w:sectPr>
      </w:pPr>
    </w:p>
    <w:bookmarkStart w:id="372" w:name="page373"/>
    <w:bookmarkEnd w:id="37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Confidentiality</w:t>
      </w:r>
    </w:p>
    <w:p>
      <w:pPr>
        <w:spacing w:after="0" w:line="204" w:lineRule="exact"/>
        <w:rPr>
          <w:sz w:val="20"/>
          <w:szCs w:val="20"/>
          <w:color w:val="auto"/>
        </w:rPr>
      </w:pPr>
    </w:p>
    <w:p>
      <w:pPr>
        <w:ind w:right="20" w:firstLine="426"/>
        <w:spacing w:after="0" w:line="269" w:lineRule="auto"/>
        <w:rPr>
          <w:sz w:val="20"/>
          <w:szCs w:val="20"/>
          <w:color w:val="auto"/>
        </w:rPr>
      </w:pPr>
      <w:r>
        <w:rPr>
          <w:rFonts w:ascii="Arial" w:cs="Arial" w:eastAsia="Arial" w:hAnsi="Arial"/>
          <w:sz w:val="17"/>
          <w:szCs w:val="17"/>
          <w:b w:val="1"/>
          <w:bCs w:val="1"/>
          <w:color w:val="auto"/>
        </w:rPr>
        <w:t>8.1 Disclosure and Use of Confidential Information</w:t>
      </w:r>
      <w:r>
        <w:rPr>
          <w:rFonts w:ascii="Arial" w:cs="Arial" w:eastAsia="Arial" w:hAnsi="Arial"/>
          <w:sz w:val="17"/>
          <w:szCs w:val="17"/>
          <w:color w:val="auto"/>
        </w:rPr>
        <w:t>. Except to the extent expressly authorized by this Agreement, each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in possession of the Confidential Information of the other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agrees to: (a) hold in confidence and not disclose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the Disclosing Party’s Confidential Information to any Third Party and (b) use the Disclosing Party’s Confidential Information only for purposes of this Agreement.</w:t>
      </w:r>
    </w:p>
    <w:p>
      <w:pPr>
        <w:spacing w:after="0" w:line="63" w:lineRule="exact"/>
        <w:rPr>
          <w:sz w:val="20"/>
          <w:szCs w:val="20"/>
          <w:color w:val="auto"/>
        </w:rPr>
      </w:pPr>
    </w:p>
    <w:p>
      <w:pPr>
        <w:ind w:right="160" w:firstLine="426"/>
        <w:spacing w:after="0" w:line="295" w:lineRule="auto"/>
        <w:rPr>
          <w:sz w:val="20"/>
          <w:szCs w:val="20"/>
          <w:color w:val="auto"/>
        </w:rPr>
      </w:pPr>
      <w:r>
        <w:rPr>
          <w:rFonts w:ascii="Arial" w:cs="Arial" w:eastAsia="Arial" w:hAnsi="Arial"/>
          <w:sz w:val="17"/>
          <w:szCs w:val="17"/>
          <w:b w:val="1"/>
          <w:bCs w:val="1"/>
          <w:color w:val="auto"/>
        </w:rPr>
        <w:t>8.2 Exceptions</w:t>
      </w:r>
      <w:r>
        <w:rPr>
          <w:rFonts w:ascii="Arial" w:cs="Arial" w:eastAsia="Arial" w:hAnsi="Arial"/>
          <w:sz w:val="17"/>
          <w:szCs w:val="17"/>
          <w:color w:val="auto"/>
        </w:rPr>
        <w:t>. The obligations of the Receiving Party set forth in Section 8.1 shall not apply to the Disclosing Party’s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such Confidential Information:</w:t>
      </w:r>
    </w:p>
    <w:p>
      <w:pPr>
        <w:spacing w:after="0" w:line="48" w:lineRule="exact"/>
        <w:rPr>
          <w:sz w:val="20"/>
          <w:szCs w:val="20"/>
          <w:color w:val="auto"/>
        </w:rPr>
      </w:pPr>
    </w:p>
    <w:p>
      <w:pPr>
        <w:ind w:left="1200" w:hanging="243"/>
        <w:spacing w:after="0"/>
        <w:tabs>
          <w:tab w:leader="none" w:pos="1200"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was approved in writing by the Disclosing Party for release or use by the Receiving Party without restriction;</w:t>
      </w:r>
    </w:p>
    <w:p>
      <w:pPr>
        <w:spacing w:after="0" w:line="117" w:lineRule="exact"/>
        <w:rPr>
          <w:rFonts w:ascii="Arial" w:cs="Arial" w:eastAsia="Arial" w:hAnsi="Arial"/>
          <w:sz w:val="17"/>
          <w:szCs w:val="17"/>
          <w:b w:val="1"/>
          <w:bCs w:val="1"/>
          <w:color w:val="auto"/>
        </w:rPr>
      </w:pPr>
    </w:p>
    <w:p>
      <w:pPr>
        <w:ind w:right="100" w:firstLine="957"/>
        <w:spacing w:after="0" w:line="287" w:lineRule="auto"/>
        <w:tabs>
          <w:tab w:leader="none" w:pos="1215"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is part of the public domain at the time of disclosure to the Receiving Party or becomes part of the public domain through no wrongful act of the Receiving Party;</w:t>
      </w:r>
    </w:p>
    <w:p>
      <w:pPr>
        <w:spacing w:after="0" w:line="54" w:lineRule="exact"/>
        <w:rPr>
          <w:rFonts w:ascii="Arial" w:cs="Arial" w:eastAsia="Arial" w:hAnsi="Arial"/>
          <w:sz w:val="17"/>
          <w:szCs w:val="17"/>
          <w:b w:val="1"/>
          <w:bCs w:val="1"/>
          <w:color w:val="auto"/>
        </w:rPr>
      </w:pPr>
    </w:p>
    <w:p>
      <w:pPr>
        <w:ind w:right="40" w:firstLine="957"/>
        <w:spacing w:after="0" w:line="287" w:lineRule="auto"/>
        <w:tabs>
          <w:tab w:leader="none" w:pos="1195"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is in the Receiving Party’s possession at the time of disclosure, as the Receiving Party can by written documentation demonstrate, other than as a result of any prior confidential disclosure by the Disclosing Party;</w:t>
      </w:r>
    </w:p>
    <w:p>
      <w:pPr>
        <w:spacing w:after="0" w:line="54" w:lineRule="exact"/>
        <w:rPr>
          <w:rFonts w:ascii="Arial" w:cs="Arial" w:eastAsia="Arial" w:hAnsi="Arial"/>
          <w:sz w:val="17"/>
          <w:szCs w:val="17"/>
          <w:b w:val="1"/>
          <w:bCs w:val="1"/>
          <w:color w:val="auto"/>
        </w:rPr>
      </w:pPr>
    </w:p>
    <w:p>
      <w:pPr>
        <w:ind w:right="320" w:firstLine="957"/>
        <w:spacing w:after="0" w:line="287" w:lineRule="auto"/>
        <w:tabs>
          <w:tab w:leader="none" w:pos="1215"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was disclosed to the Receiving Party by a Third Party having no duty of confidentiality to the Disclosing Party with respect to such Confidential Information and having the legal right to disclose such Confidential Information; or</w:t>
      </w:r>
    </w:p>
    <w:p>
      <w:pPr>
        <w:spacing w:after="0" w:line="54" w:lineRule="exact"/>
        <w:rPr>
          <w:rFonts w:ascii="Arial" w:cs="Arial" w:eastAsia="Arial" w:hAnsi="Arial"/>
          <w:sz w:val="17"/>
          <w:szCs w:val="17"/>
          <w:b w:val="1"/>
          <w:bCs w:val="1"/>
          <w:color w:val="auto"/>
        </w:rPr>
      </w:pPr>
    </w:p>
    <w:p>
      <w:pPr>
        <w:ind w:right="60" w:firstLine="957"/>
        <w:spacing w:after="0" w:line="287" w:lineRule="auto"/>
        <w:tabs>
          <w:tab w:leader="none" w:pos="1195"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is independently developed, as the Receiving Party can by written documentation demonstrate, by its employees or consultants without use of or reference to the Confidential Information of the Disclosing Party.</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8.3 Authorized Disclosures</w:t>
      </w:r>
      <w:r>
        <w:rPr>
          <w:rFonts w:ascii="Arial" w:cs="Arial" w:eastAsia="Arial" w:hAnsi="Arial"/>
          <w:sz w:val="17"/>
          <w:szCs w:val="17"/>
          <w:color w:val="auto"/>
        </w:rPr>
        <w:t>.</w:t>
      </w:r>
    </w:p>
    <w:p>
      <w:pPr>
        <w:spacing w:after="0" w:line="118" w:lineRule="exact"/>
        <w:rPr>
          <w:sz w:val="20"/>
          <w:szCs w:val="20"/>
          <w:color w:val="auto"/>
        </w:rPr>
      </w:pPr>
    </w:p>
    <w:p>
      <w:pPr>
        <w:ind w:right="60" w:firstLine="957"/>
        <w:spacing w:after="0" w:line="283" w:lineRule="auto"/>
        <w:tabs>
          <w:tab w:leader="none" w:pos="120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Legal Compliance</w:t>
      </w:r>
      <w:r>
        <w:rPr>
          <w:rFonts w:ascii="Arial" w:cs="Arial" w:eastAsia="Arial" w:hAnsi="Arial"/>
          <w:sz w:val="16"/>
          <w:szCs w:val="16"/>
          <w:color w:val="auto"/>
        </w:rPr>
        <w:t>. A Party may disclose the other Party’s Confidential Information if such disclosure is required by law, rule,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regulation or legal process (including to comply with the order of a court or valid discovery request in connection with a legal or administrative proceeding or to comply with governmental regulations or regulations of any nationally recognized securities exchange), but only to the extent such disclosure is necessary for such compliance;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except for disclosures otherwise permitted under this Article 8, or as otherwise required or necessitated by law, such Party shall provide prompt notice of such disclosure requirement to the other Party and provide reasonable assistance requested by the other Party to enable such other Party to seek a protective order or otherwise prevent such disclosure.</w:t>
      </w:r>
    </w:p>
    <w:p>
      <w:pPr>
        <w:spacing w:after="0" w:line="55" w:lineRule="exact"/>
        <w:rPr>
          <w:rFonts w:ascii="Arial" w:cs="Arial" w:eastAsia="Arial" w:hAnsi="Arial"/>
          <w:sz w:val="16"/>
          <w:szCs w:val="16"/>
          <w:b w:val="1"/>
          <w:bCs w:val="1"/>
          <w:color w:val="auto"/>
        </w:rPr>
      </w:pPr>
    </w:p>
    <w:p>
      <w:pPr>
        <w:ind w:right="80" w:firstLine="957"/>
        <w:spacing w:after="0" w:line="328" w:lineRule="auto"/>
        <w:tabs>
          <w:tab w:leader="none" w:pos="121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Regulatory Authorities</w:t>
      </w:r>
      <w:r>
        <w:rPr>
          <w:rFonts w:ascii="Arial" w:cs="Arial" w:eastAsia="Arial" w:hAnsi="Arial"/>
          <w:sz w:val="16"/>
          <w:szCs w:val="16"/>
          <w:color w:val="auto"/>
        </w:rPr>
        <w:t>. A Party may disclose the other Party’s Confidential Information to a Regulatory Authority to the extent such</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is required to comply with applicable governmental regulations or to conduct preclinical or clinical studies related to Ligand Traps.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60"/>
          </w:cols>
          <w:pgMar w:left="620" w:top="264" w:right="619" w:bottom="1440" w:gutter="0" w:footer="0" w:header="0"/>
        </w:sectPr>
      </w:pPr>
    </w:p>
    <w:bookmarkStart w:id="373" w:name="page374"/>
    <w:bookmarkEnd w:id="37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2" w:right="120" w:firstLine="957"/>
        <w:spacing w:after="0" w:line="275" w:lineRule="auto"/>
        <w:tabs>
          <w:tab w:leader="none" w:pos="1197"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Patent Prosecution</w:t>
      </w:r>
      <w:r>
        <w:rPr>
          <w:rFonts w:ascii="Arial" w:cs="Arial" w:eastAsia="Arial" w:hAnsi="Arial"/>
          <w:sz w:val="17"/>
          <w:szCs w:val="17"/>
          <w:color w:val="auto"/>
        </w:rPr>
        <w:t>. A Party may disclose the other Party’s Confidential Information to the extent such disclosure is necessary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Prosecution and Maintenance of any patent application or patent on Novo Nordisk Inventions, Keros New Ligand Trap Inventions or Collaboration Inventions, subject to the provisions of Section 6.2.</w:t>
      </w:r>
    </w:p>
    <w:p>
      <w:pPr>
        <w:spacing w:after="0" w:line="59" w:lineRule="exact"/>
        <w:rPr>
          <w:rFonts w:ascii="Arial" w:cs="Arial" w:eastAsia="Arial" w:hAnsi="Arial"/>
          <w:sz w:val="17"/>
          <w:szCs w:val="17"/>
          <w:b w:val="1"/>
          <w:bCs w:val="1"/>
          <w:color w:val="auto"/>
        </w:rPr>
      </w:pPr>
    </w:p>
    <w:p>
      <w:pPr>
        <w:jc w:val="both"/>
        <w:ind w:left="2" w:right="40" w:firstLine="957"/>
        <w:spacing w:after="0" w:line="269" w:lineRule="auto"/>
        <w:tabs>
          <w:tab w:leader="none" w:pos="1216"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Permitted Third Parties</w:t>
      </w:r>
      <w:r>
        <w:rPr>
          <w:rFonts w:ascii="Arial" w:cs="Arial" w:eastAsia="Arial" w:hAnsi="Arial"/>
          <w:sz w:val="17"/>
          <w:szCs w:val="17"/>
          <w:color w:val="auto"/>
        </w:rPr>
        <w:t>. Subject to all the terms and conditions of this Agreement, the Receiving Party may disclose and grant use of</w:t>
      </w:r>
      <w:r>
        <w:rPr>
          <w:rFonts w:ascii="Arial" w:cs="Arial" w:eastAsia="Arial" w:hAnsi="Arial"/>
          <w:sz w:val="17"/>
          <w:szCs w:val="17"/>
          <w:b w:val="1"/>
          <w:bCs w:val="1"/>
          <w:color w:val="auto"/>
        </w:rPr>
        <w:t xml:space="preserve"> </w:t>
      </w:r>
      <w:r>
        <w:rPr>
          <w:rFonts w:ascii="Arial" w:cs="Arial" w:eastAsia="Arial" w:hAnsi="Arial"/>
          <w:sz w:val="17"/>
          <w:szCs w:val="17"/>
          <w:color w:val="auto"/>
        </w:rPr>
        <w:t>particular Confidential Information of the Disclosing Party to the Receiving Party’s and its Affiliates’ employees, consultants and contractors. Any such disclosure in any form is permitted only on a need to know basis and only on the condition that such Third Party is bound to the receiving Party by confidentiality obligations no less stringent than those of this Agreement.</w:t>
      </w:r>
    </w:p>
    <w:p>
      <w:pPr>
        <w:spacing w:after="0" w:line="63" w:lineRule="exact"/>
        <w:rPr>
          <w:sz w:val="20"/>
          <w:szCs w:val="20"/>
          <w:color w:val="auto"/>
        </w:rPr>
      </w:pPr>
    </w:p>
    <w:p>
      <w:pPr>
        <w:ind w:left="2" w:right="20" w:firstLine="426"/>
        <w:spacing w:after="0" w:line="295" w:lineRule="auto"/>
        <w:rPr>
          <w:sz w:val="20"/>
          <w:szCs w:val="20"/>
          <w:color w:val="auto"/>
        </w:rPr>
      </w:pPr>
      <w:r>
        <w:rPr>
          <w:rFonts w:ascii="Arial" w:cs="Arial" w:eastAsia="Arial" w:hAnsi="Arial"/>
          <w:sz w:val="17"/>
          <w:szCs w:val="17"/>
          <w:b w:val="1"/>
          <w:bCs w:val="1"/>
          <w:color w:val="auto"/>
        </w:rPr>
        <w:t>8.4 Continuing Obligation</w:t>
      </w:r>
      <w:r>
        <w:rPr>
          <w:rFonts w:ascii="Arial" w:cs="Arial" w:eastAsia="Arial" w:hAnsi="Arial"/>
          <w:sz w:val="17"/>
          <w:szCs w:val="17"/>
          <w:color w:val="auto"/>
        </w:rPr>
        <w:t>. This Article 8 shall survive the expiration or termination of this Agreement for a period of [***] after any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expiration of this Agreement.</w:t>
      </w:r>
    </w:p>
    <w:p>
      <w:pPr>
        <w:spacing w:after="0" w:line="42" w:lineRule="exact"/>
        <w:rPr>
          <w:sz w:val="20"/>
          <w:szCs w:val="20"/>
          <w:color w:val="auto"/>
        </w:rPr>
      </w:pPr>
    </w:p>
    <w:p>
      <w:pPr>
        <w:jc w:val="both"/>
        <w:ind w:left="2" w:right="60" w:firstLine="426"/>
        <w:spacing w:after="0" w:line="275" w:lineRule="auto"/>
        <w:rPr>
          <w:sz w:val="20"/>
          <w:szCs w:val="20"/>
          <w:color w:val="auto"/>
        </w:rPr>
      </w:pPr>
      <w:r>
        <w:rPr>
          <w:rFonts w:ascii="Arial" w:cs="Arial" w:eastAsia="Arial" w:hAnsi="Arial"/>
          <w:sz w:val="17"/>
          <w:szCs w:val="17"/>
          <w:b w:val="1"/>
          <w:bCs w:val="1"/>
          <w:color w:val="auto"/>
        </w:rPr>
        <w:t>8.5 Protection Measures</w:t>
      </w:r>
      <w:r>
        <w:rPr>
          <w:rFonts w:ascii="Arial" w:cs="Arial" w:eastAsia="Arial" w:hAnsi="Arial"/>
          <w:sz w:val="17"/>
          <w:szCs w:val="17"/>
          <w:color w:val="auto"/>
        </w:rPr>
        <w:t>. Each Party agrees that it shall take reasonable measures to protect the secrecy of and avoid disclosure and unauthorized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use of the Confidential Information disclosed to it by the other Party. Without limiting the foregoing, each Party shall take at least those measures that it takes to protect its own confidential information of a similar nature.</w:t>
      </w:r>
    </w:p>
    <w:p>
      <w:pPr>
        <w:spacing w:after="0" w:line="59" w:lineRule="exact"/>
        <w:rPr>
          <w:sz w:val="20"/>
          <w:szCs w:val="20"/>
          <w:color w:val="auto"/>
        </w:rPr>
      </w:pPr>
    </w:p>
    <w:p>
      <w:pPr>
        <w:ind w:left="422"/>
        <w:spacing w:after="0"/>
        <w:rPr>
          <w:sz w:val="20"/>
          <w:szCs w:val="20"/>
          <w:color w:val="auto"/>
        </w:rPr>
      </w:pPr>
      <w:r>
        <w:rPr>
          <w:rFonts w:ascii="Arial" w:cs="Arial" w:eastAsia="Arial" w:hAnsi="Arial"/>
          <w:sz w:val="16"/>
          <w:szCs w:val="16"/>
          <w:b w:val="1"/>
          <w:bCs w:val="1"/>
          <w:color w:val="auto"/>
        </w:rPr>
        <w:t>8.6 Confidential Information Proprietary to Disclosing Party; Return of Confidential Information</w:t>
      </w:r>
      <w:r>
        <w:rPr>
          <w:rFonts w:ascii="Arial" w:cs="Arial" w:eastAsia="Arial" w:hAnsi="Arial"/>
          <w:sz w:val="16"/>
          <w:szCs w:val="16"/>
          <w:color w:val="auto"/>
        </w:rPr>
        <w:t>. The Parties understand and agree that</w:t>
      </w:r>
    </w:p>
    <w:p>
      <w:pPr>
        <w:spacing w:after="0" w:line="43" w:lineRule="exact"/>
        <w:rPr>
          <w:sz w:val="20"/>
          <w:szCs w:val="20"/>
          <w:color w:val="auto"/>
        </w:rPr>
      </w:pPr>
    </w:p>
    <w:p>
      <w:pPr>
        <w:ind w:left="2" w:right="20" w:hanging="2"/>
        <w:spacing w:after="0" w:line="261" w:lineRule="auto"/>
        <w:tabs>
          <w:tab w:leader="none" w:pos="23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Confidential Information is and shall remain at all times the sole property of the Disclosing Party; (b) the Receiving Party shall not obtain any proprietary interest in any Confidential Information; and (c) all copies of the Confidential Information shall be returned promptly to the Disclosing Party in their entirety after expiry or termination, apart from one copy to be retained in the legal files of the receiving Party for the sole purpose of determining the scope of obligations incurred under this Agreement or as otherwise required by law.</w:t>
      </w:r>
    </w:p>
    <w:p>
      <w:pPr>
        <w:spacing w:after="0" w:line="71" w:lineRule="exact"/>
        <w:rPr>
          <w:sz w:val="20"/>
          <w:szCs w:val="20"/>
          <w:color w:val="auto"/>
        </w:rPr>
      </w:pPr>
    </w:p>
    <w:p>
      <w:pPr>
        <w:ind w:left="2" w:right="260" w:firstLine="426"/>
        <w:spacing w:after="0" w:line="269" w:lineRule="auto"/>
        <w:rPr>
          <w:sz w:val="20"/>
          <w:szCs w:val="20"/>
          <w:color w:val="auto"/>
        </w:rPr>
      </w:pPr>
      <w:r>
        <w:rPr>
          <w:rFonts w:ascii="Arial" w:cs="Arial" w:eastAsia="Arial" w:hAnsi="Arial"/>
          <w:sz w:val="17"/>
          <w:szCs w:val="17"/>
          <w:b w:val="1"/>
          <w:bCs w:val="1"/>
          <w:color w:val="auto"/>
        </w:rPr>
        <w:t>8.7 Breaches of Confidentiality; Assistance in Respect of Same</w:t>
      </w:r>
      <w:r>
        <w:rPr>
          <w:rFonts w:ascii="Arial" w:cs="Arial" w:eastAsia="Arial" w:hAnsi="Arial"/>
          <w:sz w:val="17"/>
          <w:szCs w:val="17"/>
          <w:color w:val="auto"/>
        </w:rPr>
        <w:t>. The Receiving Party shall promptly notify the Disclosing Party if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Receiving Party becomes aware of any breach of confidence by any person to whom the Receiving Party has disclosed any Confidential Information. The Receiving Party shall give the Disclosing Party all reasonable assistance in connection with any action, demand, claim or proceeding that the Disclosing Party may institute against any such person in respect of such disclosure.</w:t>
      </w:r>
    </w:p>
    <w:p>
      <w:pPr>
        <w:spacing w:after="0" w:line="109"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62"/>
          </w:cols>
          <w:pgMar w:left="618" w:top="264" w:right="6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Public Disclosures; Use of Names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9.1 Press Releases and Other Public Disclosures</w:t>
      </w:r>
      <w:r>
        <w:rPr>
          <w:rFonts w:ascii="Arial" w:cs="Arial" w:eastAsia="Arial" w:hAnsi="Arial"/>
          <w:sz w:val="17"/>
          <w:szCs w:val="17"/>
          <w:color w:val="auto"/>
        </w:rPr>
        <w:t>.</w:t>
      </w:r>
    </w:p>
    <w:p>
      <w:pPr>
        <w:spacing w:after="0" w:line="118" w:lineRule="exact"/>
        <w:rPr>
          <w:sz w:val="20"/>
          <w:szCs w:val="20"/>
          <w:color w:val="auto"/>
        </w:rPr>
      </w:pPr>
    </w:p>
    <w:p>
      <w:pPr>
        <w:ind w:right="460" w:firstLine="957"/>
        <w:spacing w:after="0" w:line="267" w:lineRule="auto"/>
        <w:tabs>
          <w:tab w:leader="none" w:pos="1205"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Press Release</w:t>
      </w:r>
      <w:r>
        <w:rPr>
          <w:rFonts w:ascii="Arial" w:cs="Arial" w:eastAsia="Arial" w:hAnsi="Arial"/>
          <w:sz w:val="17"/>
          <w:szCs w:val="17"/>
          <w:color w:val="auto"/>
        </w:rPr>
        <w:t>. Neither Party will issue a press release, statement or public announcement relating to the terms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prior written approval of the other Party, which approval shall not be unreasonably withheld or delayed</w:t>
      </w:r>
    </w:p>
    <w:p>
      <w:pPr>
        <w:ind w:right="120" w:firstLine="957"/>
        <w:spacing w:after="0" w:line="341" w:lineRule="auto"/>
        <w:tabs>
          <w:tab w:leader="none" w:pos="1215" w:val="left"/>
        </w:tabs>
        <w:numPr>
          <w:ilvl w:val="0"/>
          <w:numId w:val="327"/>
        </w:numPr>
        <w:rPr>
          <w:rFonts w:ascii="Arial" w:cs="Arial" w:eastAsia="Arial" w:hAnsi="Arial"/>
          <w:sz w:val="15"/>
          <w:szCs w:val="15"/>
          <w:b w:val="1"/>
          <w:bCs w:val="1"/>
          <w:color w:val="auto"/>
        </w:rPr>
      </w:pPr>
      <w:r>
        <w:rPr>
          <w:rFonts w:ascii="Arial" w:cs="Arial" w:eastAsia="Arial" w:hAnsi="Arial"/>
          <w:sz w:val="15"/>
          <w:szCs w:val="15"/>
          <w:b w:val="1"/>
          <w:bCs w:val="1"/>
          <w:color w:val="auto"/>
        </w:rPr>
        <w:t>Disclosures Regarding Declined Ligand Traps</w:t>
      </w:r>
      <w:r>
        <w:rPr>
          <w:rFonts w:ascii="Arial" w:cs="Arial" w:eastAsia="Arial" w:hAnsi="Arial"/>
          <w:sz w:val="15"/>
          <w:szCs w:val="15"/>
          <w:color w:val="auto"/>
        </w:rPr>
        <w:t>. Disclosures by Keros related to Declined Ligand Traps shall not be subject to either</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or approval by Novo Nordisk provided that said disclosure shall not contain any Confidential Information of Novo Nordisk or of both Parties.</w:t>
      </w:r>
    </w:p>
    <w:p>
      <w:pPr>
        <w:spacing w:after="0" w:line="13" w:lineRule="exact"/>
        <w:rPr>
          <w:rFonts w:ascii="Arial" w:cs="Arial" w:eastAsia="Arial" w:hAnsi="Arial"/>
          <w:sz w:val="15"/>
          <w:szCs w:val="15"/>
          <w:b w:val="1"/>
          <w:bCs w:val="1"/>
          <w:color w:val="auto"/>
        </w:rPr>
      </w:pPr>
    </w:p>
    <w:p>
      <w:pPr>
        <w:ind w:right="180" w:firstLine="957"/>
        <w:spacing w:after="0" w:line="264" w:lineRule="auto"/>
        <w:tabs>
          <w:tab w:leader="none" w:pos="1195"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Disclosures Required by Law</w:t>
      </w:r>
      <w:r>
        <w:rPr>
          <w:rFonts w:ascii="Arial" w:cs="Arial" w:eastAsia="Arial" w:hAnsi="Arial"/>
          <w:sz w:val="17"/>
          <w:szCs w:val="17"/>
          <w:color w:val="auto"/>
        </w:rPr>
        <w:t>. If one Party reasonably concludes that a public disclosure is required by law, rule or regulation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disclosure requirements of the United States Securities and Exchange Commission or the securities exchange or other stock market on which such Party’s securities are traded), the Party seeking to make such disclosure shall have the right to make such disclosure, but shall limit such disclosure to that reasonably necessary to comply with the applicable law, rule or regulation. Each Party agrees that it shall obtain its own legal advice with regard to its compliance with securities and other laws, rules and regulations, and will not rely on any statements made by the other Party relating to such laws, rules and regulations.</w:t>
      </w:r>
    </w:p>
    <w:p>
      <w:pPr>
        <w:spacing w:after="0" w:line="67" w:lineRule="exact"/>
        <w:rPr>
          <w:sz w:val="20"/>
          <w:szCs w:val="20"/>
          <w:color w:val="auto"/>
        </w:rPr>
      </w:pPr>
    </w:p>
    <w:p>
      <w:pPr>
        <w:ind w:right="140" w:firstLine="426"/>
        <w:spacing w:after="0" w:line="275" w:lineRule="auto"/>
        <w:rPr>
          <w:sz w:val="20"/>
          <w:szCs w:val="20"/>
          <w:color w:val="auto"/>
        </w:rPr>
      </w:pPr>
      <w:r>
        <w:rPr>
          <w:rFonts w:ascii="Arial" w:cs="Arial" w:eastAsia="Arial" w:hAnsi="Arial"/>
          <w:sz w:val="17"/>
          <w:szCs w:val="17"/>
          <w:b w:val="1"/>
          <w:bCs w:val="1"/>
          <w:color w:val="auto"/>
        </w:rPr>
        <w:t>9.2 Use of Names</w:t>
      </w:r>
      <w:r>
        <w:rPr>
          <w:rFonts w:ascii="Arial" w:cs="Arial" w:eastAsia="Arial" w:hAnsi="Arial"/>
          <w:sz w:val="17"/>
          <w:szCs w:val="17"/>
          <w:color w:val="auto"/>
        </w:rPr>
        <w:t>. Except as otherwise expressly provided in this Agreement, no right, express or implied, is granted by the Agreement to use in</w:t>
      </w:r>
      <w:r>
        <w:rPr>
          <w:rFonts w:ascii="Arial" w:cs="Arial" w:eastAsia="Arial" w:hAnsi="Arial"/>
          <w:sz w:val="17"/>
          <w:szCs w:val="17"/>
          <w:b w:val="1"/>
          <w:bCs w:val="1"/>
          <w:color w:val="auto"/>
        </w:rPr>
        <w:t xml:space="preserve"> </w:t>
      </w:r>
      <w:r>
        <w:rPr>
          <w:rFonts w:ascii="Arial" w:cs="Arial" w:eastAsia="Arial" w:hAnsi="Arial"/>
          <w:sz w:val="17"/>
          <w:szCs w:val="17"/>
          <w:color w:val="auto"/>
        </w:rPr>
        <w:t>any manner the name of “Keros,” “Novo Nordisk” or any other trade name or trademark of the other Party in connection with the performance of this Agreement.</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Term; Termination</w:t>
      </w:r>
    </w:p>
    <w:p>
      <w:pPr>
        <w:spacing w:after="0" w:line="204" w:lineRule="exact"/>
        <w:rPr>
          <w:sz w:val="20"/>
          <w:szCs w:val="20"/>
          <w:color w:val="auto"/>
        </w:rPr>
      </w:pPr>
    </w:p>
    <w:p>
      <w:pPr>
        <w:jc w:val="both"/>
        <w:ind w:right="40" w:firstLine="426"/>
        <w:spacing w:after="0" w:line="300" w:lineRule="auto"/>
        <w:rPr>
          <w:sz w:val="20"/>
          <w:szCs w:val="20"/>
          <w:color w:val="auto"/>
        </w:rPr>
      </w:pPr>
      <w:r>
        <w:rPr>
          <w:rFonts w:ascii="Arial" w:cs="Arial" w:eastAsia="Arial" w:hAnsi="Arial"/>
          <w:sz w:val="16"/>
          <w:szCs w:val="16"/>
          <w:b w:val="1"/>
          <w:bCs w:val="1"/>
          <w:color w:val="auto"/>
        </w:rPr>
        <w:t>10.1 Term</w:t>
      </w:r>
      <w:r>
        <w:rPr>
          <w:rFonts w:ascii="Arial" w:cs="Arial" w:eastAsia="Arial" w:hAnsi="Arial"/>
          <w:sz w:val="16"/>
          <w:szCs w:val="16"/>
          <w:color w:val="auto"/>
        </w:rPr>
        <w:t>. The term of the Agreement shall commence on the Effective Date and continue until expiration of the Royalty Term. After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Royalty Term, Novo Nordisk shall have a perpetual, fully paid up, non-exclusive license to the Keros Background IP and Keros New Ligand Trap IP related to the Selected Ligand Trap to Commercialize the Licensed Products, in each case within the Novo Nordisk Field and Territory.</w:t>
      </w:r>
    </w:p>
    <w:p>
      <w:pPr>
        <w:spacing w:after="0" w:line="41" w:lineRule="exact"/>
        <w:rPr>
          <w:sz w:val="20"/>
          <w:szCs w:val="20"/>
          <w:color w:val="auto"/>
        </w:rPr>
      </w:pPr>
    </w:p>
    <w:p>
      <w:pPr>
        <w:jc w:val="both"/>
        <w:ind w:right="160" w:firstLine="426"/>
        <w:spacing w:after="0" w:line="275" w:lineRule="auto"/>
        <w:rPr>
          <w:sz w:val="20"/>
          <w:szCs w:val="20"/>
          <w:color w:val="auto"/>
        </w:rPr>
      </w:pPr>
      <w:r>
        <w:rPr>
          <w:rFonts w:ascii="Arial" w:cs="Arial" w:eastAsia="Arial" w:hAnsi="Arial"/>
          <w:sz w:val="17"/>
          <w:szCs w:val="17"/>
          <w:b w:val="1"/>
          <w:bCs w:val="1"/>
          <w:color w:val="auto"/>
        </w:rPr>
        <w:t>10.2 Termination for Material Breach</w:t>
      </w:r>
      <w:r>
        <w:rPr>
          <w:rFonts w:ascii="Arial" w:cs="Arial" w:eastAsia="Arial" w:hAnsi="Arial"/>
          <w:sz w:val="17"/>
          <w:szCs w:val="17"/>
          <w:color w:val="auto"/>
        </w:rPr>
        <w:t>. Either Party may terminate this Agreement by written notice to the other Party, for any material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by the other Party, if such breach is not cured within [***] ([***] in the case of a payment breach) after the breaching Party receives notice from the terminating Party specifying such breach.</w:t>
      </w:r>
    </w:p>
    <w:p>
      <w:pPr>
        <w:spacing w:after="0" w:line="59" w:lineRule="exact"/>
        <w:rPr>
          <w:sz w:val="20"/>
          <w:szCs w:val="20"/>
          <w:color w:val="auto"/>
        </w:rPr>
      </w:pPr>
    </w:p>
    <w:p>
      <w:pPr>
        <w:ind w:right="60" w:firstLine="426"/>
        <w:spacing w:after="0" w:line="275" w:lineRule="auto"/>
        <w:rPr>
          <w:sz w:val="20"/>
          <w:szCs w:val="20"/>
          <w:color w:val="auto"/>
        </w:rPr>
      </w:pPr>
      <w:r>
        <w:rPr>
          <w:rFonts w:ascii="Arial" w:cs="Arial" w:eastAsia="Arial" w:hAnsi="Arial"/>
          <w:sz w:val="17"/>
          <w:szCs w:val="17"/>
          <w:b w:val="1"/>
          <w:bCs w:val="1"/>
          <w:color w:val="auto"/>
        </w:rPr>
        <w:t>10.3 Early Termination by Novo Nordisk</w:t>
      </w:r>
      <w:r>
        <w:rPr>
          <w:rFonts w:ascii="Arial" w:cs="Arial" w:eastAsia="Arial" w:hAnsi="Arial"/>
          <w:sz w:val="17"/>
          <w:szCs w:val="17"/>
          <w:color w:val="auto"/>
        </w:rPr>
        <w:t>. Novo Nordisk may terminate this Agreement and the Collaboration Term at any time and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on [***] prior written notice to Keros. For the avoidance of doubt, Keros shall not be obligated to return the R&amp;D Collaboration Budget Funding to Novo Nordisk as stipulated in Section 3.2.</w:t>
      </w:r>
    </w:p>
    <w:p>
      <w:pPr>
        <w:spacing w:after="0" w:line="59" w:lineRule="exact"/>
        <w:rPr>
          <w:sz w:val="20"/>
          <w:szCs w:val="20"/>
          <w:color w:val="auto"/>
        </w:rPr>
      </w:pPr>
    </w:p>
    <w:p>
      <w:pPr>
        <w:ind w:right="100" w:firstLine="426"/>
        <w:spacing w:after="0" w:line="286" w:lineRule="auto"/>
        <w:rPr>
          <w:sz w:val="20"/>
          <w:szCs w:val="20"/>
          <w:color w:val="auto"/>
        </w:rPr>
      </w:pPr>
      <w:r>
        <w:rPr>
          <w:rFonts w:ascii="Arial" w:cs="Arial" w:eastAsia="Arial" w:hAnsi="Arial"/>
          <w:sz w:val="16"/>
          <w:szCs w:val="16"/>
          <w:b w:val="1"/>
          <w:bCs w:val="1"/>
          <w:color w:val="auto"/>
        </w:rPr>
        <w:t>10.4 Termination upon Bankruptcy</w:t>
      </w:r>
      <w:r>
        <w:rPr>
          <w:rFonts w:ascii="Arial" w:cs="Arial" w:eastAsia="Arial" w:hAnsi="Arial"/>
          <w:sz w:val="16"/>
          <w:szCs w:val="16"/>
          <w:color w:val="auto"/>
        </w:rPr>
        <w:t>. Either Party may terminate this Agreement if, at any time, the other Party will file in any court, country or</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will be served with an involuntary petition against it, filed in any insolvency proceeding, and such petition will not be dismissed within [***] after the filing thereof, or if the other Party will propose or be a Party to any dissolution or liquidation, or if the other Party will make an assignment for the benefit of its creditors.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60"/>
          </w:cols>
          <w:pgMar w:left="620" w:top="265" w:right="619" w:bottom="1440" w:gutter="0" w:footer="0" w:header="0"/>
        </w:sectPr>
      </w:pPr>
    </w:p>
    <w:bookmarkStart w:id="375" w:name="page376"/>
    <w:bookmarkEnd w:id="37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10.5 Termination for Patent Challenge</w:t>
      </w:r>
      <w:r>
        <w:rPr>
          <w:rFonts w:ascii="Arial" w:cs="Arial" w:eastAsia="Arial" w:hAnsi="Arial"/>
          <w:sz w:val="16"/>
          <w:szCs w:val="16"/>
          <w:color w:val="auto"/>
        </w:rPr>
        <w:t>. To the extent permitted by law, Keros may terminate this Agreement either in part or in its entirety upon</w:t>
      </w:r>
    </w:p>
    <w:p>
      <w:pPr>
        <w:spacing w:after="0" w:line="43" w:lineRule="exact"/>
        <w:rPr>
          <w:sz w:val="20"/>
          <w:szCs w:val="20"/>
          <w:color w:val="auto"/>
        </w:rPr>
      </w:pPr>
    </w:p>
    <w:p>
      <w:pPr>
        <w:ind w:left="2" w:right="20" w:hanging="2"/>
        <w:spacing w:after="0" w:line="260" w:lineRule="auto"/>
        <w:tabs>
          <w:tab w:leader="none" w:pos="422" w:val="left"/>
        </w:tabs>
        <w:numPr>
          <w:ilvl w:val="0"/>
          <w:numId w:val="328"/>
        </w:numPr>
        <w:rPr>
          <w:rFonts w:ascii="Arial" w:cs="Arial" w:eastAsia="Arial" w:hAnsi="Arial"/>
          <w:sz w:val="17"/>
          <w:szCs w:val="17"/>
          <w:color w:val="auto"/>
        </w:rPr>
      </w:pPr>
      <w:r>
        <w:rPr>
          <w:rFonts w:ascii="Arial" w:cs="Arial" w:eastAsia="Arial" w:hAnsi="Arial"/>
          <w:sz w:val="17"/>
          <w:szCs w:val="17"/>
          <w:color w:val="auto"/>
        </w:rPr>
        <w:t>prior written notice to Novo Nordisk in the event that Novo Nordisk or any of its Affiliates or sublicensees commences any legal or administrative proceeding challenging the patentability, enforceability or validity of any claim of a Patent within the Keros Background IP, Keros New Ligand Trap IP, or Keros’ interest in the Collaboration IP; provided that Keros will not have the right to terminate this Agreement under this Section 10.5 for any such challenge by any sublicensee if, within [***] of Keros’ notice to Novo Nordisk under this Section 10.5, (i) such challenge is dismissed or withdrawn and not thereafter continued, or (ii) the sublicense to such sublicensee is terminated.</w:t>
      </w:r>
    </w:p>
    <w:p>
      <w:pPr>
        <w:spacing w:after="0" w:line="72"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10.6 Effects of Expiration or Termination</w:t>
      </w:r>
      <w:r>
        <w:rPr>
          <w:rFonts w:ascii="Arial" w:cs="Arial" w:eastAsia="Arial" w:hAnsi="Arial"/>
          <w:sz w:val="17"/>
          <w:szCs w:val="17"/>
          <w:color w:val="auto"/>
        </w:rPr>
        <w:t>.</w:t>
      </w:r>
    </w:p>
    <w:p>
      <w:pPr>
        <w:spacing w:after="0" w:line="124" w:lineRule="exact"/>
        <w:rPr>
          <w:sz w:val="20"/>
          <w:szCs w:val="20"/>
          <w:color w:val="auto"/>
        </w:rPr>
      </w:pPr>
    </w:p>
    <w:p>
      <w:pPr>
        <w:ind w:left="2" w:right="240" w:firstLine="957"/>
        <w:spacing w:after="0" w:line="287" w:lineRule="auto"/>
        <w:tabs>
          <w:tab w:leader="none" w:pos="1207"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Articles 1, 4, 8, 12, 13 and 14, together with Sections 3.3 through 3.6 (with respect to any payments accruing prior to the date of any such termination or expiration), 6.1 and 10.6 shall survive any termination or expiration of this Agreement; and</w:t>
      </w:r>
    </w:p>
    <w:p>
      <w:pPr>
        <w:spacing w:after="0" w:line="54" w:lineRule="exact"/>
        <w:rPr>
          <w:rFonts w:ascii="Arial" w:cs="Arial" w:eastAsia="Arial" w:hAnsi="Arial"/>
          <w:sz w:val="17"/>
          <w:szCs w:val="17"/>
          <w:b w:val="1"/>
          <w:bCs w:val="1"/>
          <w:color w:val="auto"/>
        </w:rPr>
      </w:pPr>
    </w:p>
    <w:p>
      <w:pPr>
        <w:ind w:left="2" w:right="340" w:firstLine="957"/>
        <w:spacing w:after="0" w:line="287" w:lineRule="auto"/>
        <w:tabs>
          <w:tab w:leader="none" w:pos="1216"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Upon any termination of this Agreement by Keros pursuant to Section 10.2, by Novo Nordisk pursuant to Section 10.3 or by either Party pursuant to Section 10.4:</w:t>
      </w:r>
    </w:p>
    <w:p>
      <w:pPr>
        <w:spacing w:after="0" w:line="54" w:lineRule="exact"/>
        <w:rPr>
          <w:rFonts w:ascii="Arial" w:cs="Arial" w:eastAsia="Arial" w:hAnsi="Arial"/>
          <w:sz w:val="17"/>
          <w:szCs w:val="17"/>
          <w:b w:val="1"/>
          <w:bCs w:val="1"/>
          <w:color w:val="auto"/>
        </w:rPr>
      </w:pPr>
    </w:p>
    <w:p>
      <w:pPr>
        <w:ind w:left="1602" w:hanging="217"/>
        <w:spacing w:after="0"/>
        <w:tabs>
          <w:tab w:leader="none" w:pos="1602" w:val="left"/>
        </w:tabs>
        <w:numPr>
          <w:ilvl w:val="1"/>
          <w:numId w:val="329"/>
        </w:numPr>
        <w:rPr>
          <w:rFonts w:ascii="Arial" w:cs="Arial" w:eastAsia="Arial" w:hAnsi="Arial"/>
          <w:sz w:val="17"/>
          <w:szCs w:val="17"/>
          <w:b w:val="1"/>
          <w:bCs w:val="1"/>
          <w:color w:val="auto"/>
        </w:rPr>
      </w:pPr>
      <w:r>
        <w:rPr>
          <w:rFonts w:ascii="Arial" w:cs="Arial" w:eastAsia="Arial" w:hAnsi="Arial"/>
          <w:sz w:val="17"/>
          <w:szCs w:val="17"/>
          <w:color w:val="auto"/>
        </w:rPr>
        <w:t>the license granted by Keros to Novo Nordisk under Section 5.1 shall automatically terminate;</w:t>
      </w:r>
    </w:p>
    <w:p>
      <w:pPr>
        <w:spacing w:after="0" w:line="117" w:lineRule="exact"/>
        <w:rPr>
          <w:rFonts w:ascii="Arial" w:cs="Arial" w:eastAsia="Arial" w:hAnsi="Arial"/>
          <w:sz w:val="17"/>
          <w:szCs w:val="17"/>
          <w:b w:val="1"/>
          <w:bCs w:val="1"/>
          <w:color w:val="auto"/>
        </w:rPr>
      </w:pPr>
    </w:p>
    <w:p>
      <w:pPr>
        <w:ind w:left="1642" w:hanging="257"/>
        <w:spacing w:after="0"/>
        <w:tabs>
          <w:tab w:leader="none" w:pos="1642" w:val="left"/>
        </w:tabs>
        <w:numPr>
          <w:ilvl w:val="1"/>
          <w:numId w:val="329"/>
        </w:numPr>
        <w:rPr>
          <w:rFonts w:ascii="Arial" w:cs="Arial" w:eastAsia="Arial" w:hAnsi="Arial"/>
          <w:sz w:val="15"/>
          <w:szCs w:val="15"/>
          <w:b w:val="1"/>
          <w:bCs w:val="1"/>
          <w:color w:val="auto"/>
        </w:rPr>
      </w:pPr>
      <w:r>
        <w:rPr>
          <w:rFonts w:ascii="Arial" w:cs="Arial" w:eastAsia="Arial" w:hAnsi="Arial"/>
          <w:sz w:val="15"/>
          <w:szCs w:val="15"/>
          <w:color w:val="auto"/>
        </w:rPr>
        <w:t>the Parties shall be relieved of all its future obligations under the Agreement (other than those set forth in Section 10.6(a) above).</w:t>
      </w:r>
    </w:p>
    <w:p>
      <w:pPr>
        <w:spacing w:after="0" w:line="134" w:lineRule="exact"/>
        <w:rPr>
          <w:rFonts w:ascii="Arial" w:cs="Arial" w:eastAsia="Arial" w:hAnsi="Arial"/>
          <w:sz w:val="15"/>
          <w:szCs w:val="15"/>
          <w:b w:val="1"/>
          <w:bCs w:val="1"/>
          <w:color w:val="auto"/>
        </w:rPr>
      </w:pPr>
    </w:p>
    <w:p>
      <w:pPr>
        <w:ind w:left="1202" w:hanging="243"/>
        <w:spacing w:after="0"/>
        <w:tabs>
          <w:tab w:leader="none" w:pos="1202"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Certain Terminations</w:t>
      </w:r>
      <w:r>
        <w:rPr>
          <w:rFonts w:ascii="Arial" w:cs="Arial" w:eastAsia="Arial" w:hAnsi="Arial"/>
          <w:sz w:val="17"/>
          <w:szCs w:val="17"/>
          <w:color w:val="auto"/>
        </w:rPr>
        <w:t>. [***].</w:t>
      </w:r>
    </w:p>
    <w:p>
      <w:pPr>
        <w:spacing w:after="0" w:line="123" w:lineRule="exact"/>
        <w:rPr>
          <w:rFonts w:ascii="Arial" w:cs="Arial" w:eastAsia="Arial" w:hAnsi="Arial"/>
          <w:sz w:val="17"/>
          <w:szCs w:val="17"/>
          <w:b w:val="1"/>
          <w:bCs w:val="1"/>
          <w:color w:val="auto"/>
        </w:rPr>
      </w:pPr>
    </w:p>
    <w:p>
      <w:pPr>
        <w:ind w:left="2" w:right="160" w:firstLine="957"/>
        <w:spacing w:after="0" w:line="266" w:lineRule="auto"/>
        <w:tabs>
          <w:tab w:leader="none" w:pos="1216"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Except as otherwise expressly provided in this Agreement, expiration or termination of this Agreement shall not affect the rights and obligations of the Parties that accrued prior to the effective date of such expiration or termination. Any right that a Party has to terminate this Agreement, and any rights that such Party has under this Article 10, shall be in addition to and not in lieu of all other rights or remedies that such Party may have at law or in equity or otherwise.</w:t>
      </w:r>
    </w:p>
    <w:p>
      <w:pPr>
        <w:spacing w:after="0" w:line="381"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ARTICLE 11</w:t>
      </w:r>
    </w:p>
    <w:p>
      <w:pPr>
        <w:spacing w:after="0" w:line="32" w:lineRule="exact"/>
        <w:rPr>
          <w:sz w:val="20"/>
          <w:szCs w:val="20"/>
          <w:color w:val="auto"/>
        </w:rPr>
      </w:pPr>
    </w:p>
    <w:p>
      <w:pPr>
        <w:jc w:val="center"/>
        <w:ind w:right="18"/>
        <w:spacing w:after="0"/>
        <w:rPr>
          <w:sz w:val="20"/>
          <w:szCs w:val="20"/>
          <w:color w:val="auto"/>
        </w:rPr>
      </w:pPr>
      <w:r>
        <w:rPr>
          <w:rFonts w:ascii="Arial" w:cs="Arial" w:eastAsia="Arial" w:hAnsi="Arial"/>
          <w:sz w:val="17"/>
          <w:szCs w:val="17"/>
          <w:b w:val="1"/>
          <w:bCs w:val="1"/>
          <w:color w:val="auto"/>
        </w:rPr>
        <w:t>Representations and Warranties; Keros Covenants</w:t>
      </w:r>
    </w:p>
    <w:p>
      <w:pPr>
        <w:spacing w:after="0" w:line="204"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11.1 Mutual Representations and Warranties</w:t>
      </w:r>
      <w:r>
        <w:rPr>
          <w:rFonts w:ascii="Arial" w:cs="Arial" w:eastAsia="Arial" w:hAnsi="Arial"/>
          <w:sz w:val="17"/>
          <w:szCs w:val="17"/>
          <w:color w:val="auto"/>
        </w:rPr>
        <w:t>. Each Party represents and warrants to the other Party that as of the Effective Date:</w:t>
      </w:r>
    </w:p>
    <w:p>
      <w:pPr>
        <w:spacing w:after="0" w:line="228" w:lineRule="exact"/>
        <w:rPr>
          <w:sz w:val="20"/>
          <w:szCs w:val="20"/>
          <w:color w:val="auto"/>
        </w:rPr>
      </w:pPr>
    </w:p>
    <w:p>
      <w:pPr>
        <w:ind w:left="5222" w:right="3800" w:hanging="4263"/>
        <w:spacing w:after="0" w:line="464" w:lineRule="auto"/>
        <w:tabs>
          <w:tab w:leader="none" w:pos="1210"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it is validly organized and existing under the laws of its jurisdiction of formation; 32.</w:t>
      </w:r>
    </w:p>
    <w:p>
      <w:pPr>
        <w:sectPr>
          <w:pgSz w:w="11900" w:h="16838" w:orient="portrait"/>
          <w:cols w:equalWidth="0" w:num="1">
            <w:col w:w="10662"/>
          </w:cols>
          <w:pgMar w:left="618" w:top="264" w:right="6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220" w:firstLine="957"/>
        <w:spacing w:after="0" w:line="287" w:lineRule="auto"/>
        <w:tabs>
          <w:tab w:leader="none" w:pos="121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the execution, delivery and performance of this Agreement, including the Exhibits hereto have been duly authorized by all necessary corporate action on its part;</w:t>
      </w:r>
    </w:p>
    <w:p>
      <w:pPr>
        <w:spacing w:after="0" w:line="54" w:lineRule="exact"/>
        <w:rPr>
          <w:rFonts w:ascii="Arial" w:cs="Arial" w:eastAsia="Arial" w:hAnsi="Arial"/>
          <w:sz w:val="17"/>
          <w:szCs w:val="17"/>
          <w:b w:val="1"/>
          <w:bCs w:val="1"/>
          <w:color w:val="auto"/>
        </w:rPr>
      </w:pPr>
    </w:p>
    <w:p>
      <w:pPr>
        <w:ind w:right="20" w:firstLine="957"/>
        <w:spacing w:after="0" w:line="266" w:lineRule="auto"/>
        <w:tabs>
          <w:tab w:leader="none" w:pos="119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when executed and delivered, this Agreement will constitute a legal, valid and binding obligation of such Party enforceable against it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73" w:lineRule="exact"/>
        <w:rPr>
          <w:rFonts w:ascii="Arial" w:cs="Arial" w:eastAsia="Arial" w:hAnsi="Arial"/>
          <w:sz w:val="17"/>
          <w:szCs w:val="17"/>
          <w:b w:val="1"/>
          <w:bCs w:val="1"/>
          <w:color w:val="auto"/>
        </w:rPr>
      </w:pPr>
    </w:p>
    <w:p>
      <w:pPr>
        <w:ind w:left="1220" w:hanging="263"/>
        <w:spacing w:after="0"/>
        <w:tabs>
          <w:tab w:leader="none" w:pos="1220"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it has the legal right and power to enter into this Agreement and to fully perform its obligations hereunder and thereunder;</w:t>
      </w:r>
    </w:p>
    <w:p>
      <w:pPr>
        <w:spacing w:after="0" w:line="117" w:lineRule="exact"/>
        <w:rPr>
          <w:rFonts w:ascii="Arial" w:cs="Arial" w:eastAsia="Arial" w:hAnsi="Arial"/>
          <w:sz w:val="17"/>
          <w:szCs w:val="17"/>
          <w:b w:val="1"/>
          <w:bCs w:val="1"/>
          <w:color w:val="auto"/>
        </w:rPr>
      </w:pPr>
    </w:p>
    <w:p>
      <w:pPr>
        <w:ind w:right="920" w:firstLine="957"/>
        <w:spacing w:after="0" w:line="287" w:lineRule="auto"/>
        <w:tabs>
          <w:tab w:leader="none" w:pos="119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the performance of its obligations will not conflict with such Party’s charter documents or any agreement, contract or other arrangement to which such Party is a party;</w:t>
      </w:r>
    </w:p>
    <w:p>
      <w:pPr>
        <w:spacing w:after="0" w:line="54" w:lineRule="exact"/>
        <w:rPr>
          <w:rFonts w:ascii="Arial" w:cs="Arial" w:eastAsia="Arial" w:hAnsi="Arial"/>
          <w:sz w:val="17"/>
          <w:szCs w:val="17"/>
          <w:b w:val="1"/>
          <w:bCs w:val="1"/>
          <w:color w:val="auto"/>
        </w:rPr>
      </w:pPr>
    </w:p>
    <w:p>
      <w:pPr>
        <w:ind w:right="240" w:firstLine="957"/>
        <w:spacing w:after="0" w:line="288" w:lineRule="auto"/>
        <w:tabs>
          <w:tab w:leader="none" w:pos="1176" w:val="left"/>
        </w:tabs>
        <w:numPr>
          <w:ilvl w:val="0"/>
          <w:numId w:val="331"/>
        </w:numPr>
        <w:rPr>
          <w:rFonts w:ascii="Arial" w:cs="Arial" w:eastAsia="Arial" w:hAnsi="Arial"/>
          <w:sz w:val="16"/>
          <w:szCs w:val="16"/>
          <w:b w:val="1"/>
          <w:bCs w:val="1"/>
          <w:color w:val="auto"/>
        </w:rPr>
      </w:pPr>
      <w:r>
        <w:rPr>
          <w:rFonts w:ascii="Arial" w:cs="Arial" w:eastAsia="Arial" w:hAnsi="Arial"/>
          <w:sz w:val="16"/>
          <w:szCs w:val="16"/>
          <w:color w:val="auto"/>
        </w:rPr>
        <w:t>its employees who are or will be involved in the Research Plan have executed an agreement or has an existing obligation under law requiring assignment to such Party of all intellectual property made during the course of and as the result of his, her or its association with such Party, including in relation to Keros Background Patents in Exhibit B that such Patents have been assigned by all inventors to Keros, and obligating such employee to maintain the confidentiality of Confidential Information to the extent required under Article 8; and</w:t>
      </w:r>
    </w:p>
    <w:p>
      <w:pPr>
        <w:spacing w:after="0" w:line="56" w:lineRule="exact"/>
        <w:rPr>
          <w:rFonts w:ascii="Arial" w:cs="Arial" w:eastAsia="Arial" w:hAnsi="Arial"/>
          <w:sz w:val="16"/>
          <w:szCs w:val="16"/>
          <w:b w:val="1"/>
          <w:bCs w:val="1"/>
          <w:color w:val="auto"/>
        </w:rPr>
      </w:pPr>
    </w:p>
    <w:p>
      <w:pPr>
        <w:ind w:right="80" w:firstLine="957"/>
        <w:spacing w:after="0" w:line="262" w:lineRule="auto"/>
        <w:tabs>
          <w:tab w:leader="none" w:pos="1205"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it has obtained all necessary consents, approvals and authorizations of all governmental authorities and other persons or entities required to be obtained by it in connection with this Agreement (as of the Effective Date) and the execution and delivery of this Agreement by it, the performance by it of its obligations hereunder and the consummation of the transactions contemplated hereby have been duly authorized by all requisite action on the part of the board of directors and stockholders of it, and no other action on the part of it or its board of directors or stockholders is necessary to authorize the execution and delivery of this Agreement by it or the consummation by it of the transactions contemplated hereby other than such actions which have been taken on or prior to the date hereof.</w:t>
      </w:r>
    </w:p>
    <w:p>
      <w:pPr>
        <w:spacing w:after="0" w:line="77" w:lineRule="exact"/>
        <w:rPr>
          <w:rFonts w:ascii="Arial" w:cs="Arial" w:eastAsia="Arial" w:hAnsi="Arial"/>
          <w:sz w:val="17"/>
          <w:szCs w:val="17"/>
          <w:b w:val="1"/>
          <w:bCs w:val="1"/>
          <w:color w:val="auto"/>
        </w:rPr>
      </w:pPr>
    </w:p>
    <w:p>
      <w:pPr>
        <w:ind w:right="20" w:firstLine="957"/>
        <w:spacing w:after="0" w:line="304" w:lineRule="auto"/>
        <w:tabs>
          <w:tab w:leader="none" w:pos="1215" w:val="left"/>
        </w:tabs>
        <w:numPr>
          <w:ilvl w:val="0"/>
          <w:numId w:val="331"/>
        </w:numPr>
        <w:rPr>
          <w:rFonts w:ascii="Arial" w:cs="Arial" w:eastAsia="Arial" w:hAnsi="Arial"/>
          <w:sz w:val="15"/>
          <w:szCs w:val="15"/>
          <w:b w:val="1"/>
          <w:bCs w:val="1"/>
          <w:color w:val="auto"/>
        </w:rPr>
      </w:pPr>
      <w:r>
        <w:rPr>
          <w:rFonts w:ascii="Arial" w:cs="Arial" w:eastAsia="Arial" w:hAnsi="Arial"/>
          <w:sz w:val="15"/>
          <w:szCs w:val="15"/>
          <w:color w:val="auto"/>
        </w:rPr>
        <w:t>It has not been debarred and in not subject to debarment, and it will not knowingly use in any capacity, in connection with any activities under this Agreement, the services of any Affiliate or Third Party who has been debarred pursuant to Section 306 of the United States Federal Food, Drug and Cosmetic Act, or who is the subject of a conviction described in such Section. Each Party agrees to inform the other Party promptly in writing if it or any Affiliate or Third Party who is performing services hereunder is debarred or is the subject of a conviction described in Section 306, or if any action, suit, claim, investigation or legal or administrative proceeding is pending, or to such Party’s or its Affiliates’ knowledge, is threatened, relating to debarment or conviction of such Party, or any Affiliate or Third Party performing services hereunder for the benefit of such Party.</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660"/>
          </w:cols>
          <w:pgMar w:left="620" w:top="264" w:right="619" w:bottom="1440" w:gutter="0" w:footer="0" w:header="0"/>
        </w:sectPr>
      </w:pPr>
    </w:p>
    <w:bookmarkStart w:id="377" w:name="page378"/>
    <w:bookmarkEnd w:id="377"/>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11.2 Keros’ Representations and Warranties</w:t>
      </w:r>
      <w:r>
        <w:rPr>
          <w:rFonts w:ascii="Arial" w:cs="Arial" w:eastAsia="Arial" w:hAnsi="Arial"/>
          <w:sz w:val="17"/>
          <w:szCs w:val="17"/>
          <w:color w:val="auto"/>
        </w:rPr>
        <w:t>. Keros represents and warrants to Novo Nordisk that as of the Effective Date:</w:t>
      </w:r>
    </w:p>
    <w:p>
      <w:pPr>
        <w:spacing w:after="0" w:line="124" w:lineRule="exact"/>
        <w:rPr>
          <w:sz w:val="20"/>
          <w:szCs w:val="20"/>
          <w:color w:val="auto"/>
        </w:rPr>
      </w:pPr>
    </w:p>
    <w:p>
      <w:pPr>
        <w:ind w:right="180" w:firstLine="957"/>
        <w:spacing w:after="0" w:line="287" w:lineRule="auto"/>
        <w:tabs>
          <w:tab w:leader="none" w:pos="120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it Controls the Keros Patents listed on Exhibit B and has the right to grant licenses under such Keros Patents (as are in existence as of the Effective Date) to Novo Nordisk as contemplated under this Agreement;</w:t>
      </w:r>
    </w:p>
    <w:p>
      <w:pPr>
        <w:spacing w:after="0" w:line="54" w:lineRule="exact"/>
        <w:rPr>
          <w:rFonts w:ascii="Arial" w:cs="Arial" w:eastAsia="Arial" w:hAnsi="Arial"/>
          <w:sz w:val="17"/>
          <w:szCs w:val="17"/>
          <w:b w:val="1"/>
          <w:bCs w:val="1"/>
          <w:color w:val="auto"/>
        </w:rPr>
      </w:pPr>
    </w:p>
    <w:p>
      <w:pPr>
        <w:jc w:val="both"/>
        <w:ind w:right="40" w:firstLine="957"/>
        <w:spacing w:after="0" w:line="272" w:lineRule="auto"/>
        <w:tabs>
          <w:tab w:leader="none" w:pos="121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the Keros Background IP that is in existence as of the Effective Date is free of any mortgages, pledges, charges, liens, security interests or other encumbrances of any kind, including but not limited to mortgages, pledges, charges, liens, security interests or other encumbrances provided by Keros to a creditor in connection with a loan, line of credit or other indebtedness;</w:t>
      </w:r>
    </w:p>
    <w:p>
      <w:pPr>
        <w:spacing w:after="0" w:line="66" w:lineRule="exact"/>
        <w:rPr>
          <w:rFonts w:ascii="Arial" w:cs="Arial" w:eastAsia="Arial" w:hAnsi="Arial"/>
          <w:sz w:val="17"/>
          <w:szCs w:val="17"/>
          <w:b w:val="1"/>
          <w:bCs w:val="1"/>
          <w:color w:val="auto"/>
        </w:rPr>
      </w:pPr>
    </w:p>
    <w:p>
      <w:pPr>
        <w:ind w:right="20" w:firstLine="957"/>
        <w:spacing w:after="0" w:line="287" w:lineRule="auto"/>
        <w:tabs>
          <w:tab w:leader="none" w:pos="119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there are no adverse proceedings, claims or actions pending, or, to Keros’ knowledge, threatened, with respect to the Keros Background IP that would prevent Keros’ performance of its obligations under this Agreement;</w:t>
      </w:r>
    </w:p>
    <w:p>
      <w:pPr>
        <w:spacing w:after="0" w:line="54" w:lineRule="exact"/>
        <w:rPr>
          <w:rFonts w:ascii="Arial" w:cs="Arial" w:eastAsia="Arial" w:hAnsi="Arial"/>
          <w:sz w:val="17"/>
          <w:szCs w:val="17"/>
          <w:b w:val="1"/>
          <w:bCs w:val="1"/>
          <w:color w:val="auto"/>
        </w:rPr>
      </w:pPr>
    </w:p>
    <w:p>
      <w:pPr>
        <w:ind w:right="320" w:firstLine="957"/>
        <w:spacing w:after="0" w:line="287" w:lineRule="auto"/>
        <w:tabs>
          <w:tab w:leader="none" w:pos="121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Keros does not Control Ligand Traps other than the Existing Ligand Traps and those Ligand Trap variants (as Keros can by written documentation demonstrate) that have been disclosed to Novo Nordisk prior to the Effective Date;</w:t>
      </w:r>
    </w:p>
    <w:p>
      <w:pPr>
        <w:spacing w:after="0" w:line="54" w:lineRule="exact"/>
        <w:rPr>
          <w:rFonts w:ascii="Arial" w:cs="Arial" w:eastAsia="Arial" w:hAnsi="Arial"/>
          <w:sz w:val="17"/>
          <w:szCs w:val="17"/>
          <w:b w:val="1"/>
          <w:bCs w:val="1"/>
          <w:color w:val="auto"/>
        </w:rPr>
      </w:pPr>
    </w:p>
    <w:p>
      <w:pPr>
        <w:ind w:right="80" w:firstLine="957"/>
        <w:spacing w:after="0" w:line="287" w:lineRule="auto"/>
        <w:tabs>
          <w:tab w:leader="none" w:pos="1195"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the rights granted to Novo Nordisk and its Affiliates hereunder do not conflict with, and are not inconsistent with any rights granted by Keros to any Third Party;</w:t>
      </w:r>
    </w:p>
    <w:p>
      <w:pPr>
        <w:spacing w:after="0" w:line="54" w:lineRule="exact"/>
        <w:rPr>
          <w:rFonts w:ascii="Arial" w:cs="Arial" w:eastAsia="Arial" w:hAnsi="Arial"/>
          <w:sz w:val="17"/>
          <w:szCs w:val="17"/>
          <w:b w:val="1"/>
          <w:bCs w:val="1"/>
          <w:color w:val="auto"/>
        </w:rPr>
      </w:pPr>
    </w:p>
    <w:p>
      <w:pPr>
        <w:ind w:right="720" w:firstLine="957"/>
        <w:spacing w:after="0" w:line="287" w:lineRule="auto"/>
        <w:tabs>
          <w:tab w:leader="none" w:pos="1176"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to the knowledge of Keros, except as otherwise noted in Exhibit B, each of the Keros Patents has been duly prosecuted and/or maintained and each of the issued Keros Patents is valid and enforceable; and</w:t>
      </w:r>
    </w:p>
    <w:p>
      <w:pPr>
        <w:spacing w:after="0" w:line="54" w:lineRule="exact"/>
        <w:rPr>
          <w:rFonts w:ascii="Arial" w:cs="Arial" w:eastAsia="Arial" w:hAnsi="Arial"/>
          <w:sz w:val="17"/>
          <w:szCs w:val="17"/>
          <w:b w:val="1"/>
          <w:bCs w:val="1"/>
          <w:color w:val="auto"/>
        </w:rPr>
      </w:pPr>
    </w:p>
    <w:p>
      <w:pPr>
        <w:ind w:right="260" w:firstLine="957"/>
        <w:spacing w:after="0" w:line="313" w:lineRule="auto"/>
        <w:tabs>
          <w:tab w:leader="none" w:pos="1205" w:val="left"/>
        </w:tabs>
        <w:numPr>
          <w:ilvl w:val="0"/>
          <w:numId w:val="332"/>
        </w:numPr>
        <w:rPr>
          <w:rFonts w:ascii="Arial" w:cs="Arial" w:eastAsia="Arial" w:hAnsi="Arial"/>
          <w:sz w:val="15"/>
          <w:szCs w:val="15"/>
          <w:b w:val="1"/>
          <w:bCs w:val="1"/>
          <w:color w:val="auto"/>
        </w:rPr>
      </w:pPr>
      <w:r>
        <w:rPr>
          <w:rFonts w:ascii="Arial" w:cs="Arial" w:eastAsia="Arial" w:hAnsi="Arial"/>
          <w:sz w:val="15"/>
          <w:szCs w:val="15"/>
          <w:color w:val="auto"/>
        </w:rPr>
        <w:t>to the knowledge of Keros, none of the Keros Patents set forth in Exhibit B is (i) subject to a pending interference action, opposition action, re-examination proceeding, inter partes review, litigation or other similar action by a Third Party challenging such Keros Patents, other than actions by patent authorities in connection with the prosecution of patent applications, or (ii) except as otherwise noted in Exhibit B, has been abandoned, or has been asserted to be invalid or unenforceable in a communication to Keros or is subject to any inventorship proceeding or dispute.</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11.3 Keros’ Covenants</w:t>
      </w:r>
      <w:r>
        <w:rPr>
          <w:rFonts w:ascii="Arial" w:cs="Arial" w:eastAsia="Arial" w:hAnsi="Arial"/>
          <w:sz w:val="17"/>
          <w:szCs w:val="17"/>
          <w:color w:val="auto"/>
        </w:rPr>
        <w:t>. Keros hereby covenants:</w:t>
      </w:r>
    </w:p>
    <w:p>
      <w:pPr>
        <w:spacing w:after="0" w:line="124" w:lineRule="exact"/>
        <w:rPr>
          <w:sz w:val="20"/>
          <w:szCs w:val="20"/>
          <w:color w:val="auto"/>
        </w:rPr>
      </w:pPr>
    </w:p>
    <w:p>
      <w:pPr>
        <w:ind w:right="540" w:firstLine="957"/>
        <w:spacing w:after="0" w:line="358" w:lineRule="auto"/>
        <w:tabs>
          <w:tab w:leader="none" w:pos="1205" w:val="left"/>
        </w:tabs>
        <w:numPr>
          <w:ilvl w:val="0"/>
          <w:numId w:val="333"/>
        </w:numPr>
        <w:rPr>
          <w:rFonts w:ascii="Arial" w:cs="Arial" w:eastAsia="Arial" w:hAnsi="Arial"/>
          <w:sz w:val="15"/>
          <w:szCs w:val="15"/>
          <w:b w:val="1"/>
          <w:bCs w:val="1"/>
          <w:color w:val="auto"/>
        </w:rPr>
      </w:pPr>
      <w:r>
        <w:rPr>
          <w:rFonts w:ascii="Arial" w:cs="Arial" w:eastAsia="Arial" w:hAnsi="Arial"/>
          <w:sz w:val="15"/>
          <w:szCs w:val="15"/>
          <w:color w:val="auto"/>
        </w:rPr>
        <w:t>Keros will not during the term of this Agreement enter into any mortgages, pledges, charges, liens, security interests or other encumbrances of any kind with respect to Selected Ligand Traps-Specific Patents and Collaboration IP in which Keros has an ownership interest;</w:t>
      </w:r>
    </w:p>
    <w:p>
      <w:pPr>
        <w:spacing w:after="0" w:line="7" w:lineRule="exact"/>
        <w:rPr>
          <w:rFonts w:ascii="Arial" w:cs="Arial" w:eastAsia="Arial" w:hAnsi="Arial"/>
          <w:sz w:val="15"/>
          <w:szCs w:val="15"/>
          <w:b w:val="1"/>
          <w:bCs w:val="1"/>
          <w:color w:val="auto"/>
        </w:rPr>
      </w:pPr>
    </w:p>
    <w:p>
      <w:pPr>
        <w:ind w:right="40" w:firstLine="957"/>
        <w:spacing w:after="0" w:line="320" w:lineRule="auto"/>
        <w:tabs>
          <w:tab w:leader="none" w:pos="1215" w:val="left"/>
        </w:tabs>
        <w:numPr>
          <w:ilvl w:val="0"/>
          <w:numId w:val="333"/>
        </w:numPr>
        <w:rPr>
          <w:rFonts w:ascii="Arial" w:cs="Arial" w:eastAsia="Arial" w:hAnsi="Arial"/>
          <w:sz w:val="16"/>
          <w:szCs w:val="16"/>
          <w:b w:val="1"/>
          <w:bCs w:val="1"/>
          <w:color w:val="auto"/>
        </w:rPr>
      </w:pPr>
      <w:r>
        <w:rPr>
          <w:rFonts w:ascii="Arial" w:cs="Arial" w:eastAsia="Arial" w:hAnsi="Arial"/>
          <w:sz w:val="16"/>
          <w:szCs w:val="16"/>
          <w:color w:val="auto"/>
        </w:rPr>
        <w:t>Keros shall, during the term of this Agreement, disclose to Novo Nordisk any such material adverse proceedings, claims or actions that arise with respect to the Keros Background IP, Keros New Ligand Trap IP or Collaboration IP in which Keros has an ownership interest; and</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60"/>
          </w:cols>
          <w:pgMar w:left="620" w:top="264" w:right="6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63" w:lineRule="exact"/>
        <w:rPr>
          <w:sz w:val="20"/>
          <w:szCs w:val="20"/>
          <w:color w:val="auto"/>
        </w:rPr>
      </w:pPr>
    </w:p>
    <w:p>
      <w:pPr>
        <w:ind w:right="80" w:firstLine="957"/>
        <w:spacing w:after="0" w:line="287" w:lineRule="auto"/>
        <w:tabs>
          <w:tab w:leader="none" w:pos="1195"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Keros will not, after the Effective Date, enter into any written or oral contractual obligation with a Third Party that would conflict with its obligations under this Agreement or that deprive Novo Nordisk of the benefits of or rights granted under this Agreement.</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11.4 Novo Nordisk’ Covenants</w:t>
      </w:r>
      <w:r>
        <w:rPr>
          <w:rFonts w:ascii="Arial" w:cs="Arial" w:eastAsia="Arial" w:hAnsi="Arial"/>
          <w:sz w:val="17"/>
          <w:szCs w:val="17"/>
          <w:color w:val="auto"/>
        </w:rPr>
        <w:t>. Novo Nordisk hereby covenants:</w:t>
      </w:r>
    </w:p>
    <w:p>
      <w:pPr>
        <w:spacing w:after="0" w:line="124" w:lineRule="exact"/>
        <w:rPr>
          <w:sz w:val="20"/>
          <w:szCs w:val="20"/>
          <w:color w:val="auto"/>
        </w:rPr>
      </w:pPr>
    </w:p>
    <w:p>
      <w:pPr>
        <w:ind w:right="200" w:firstLine="957"/>
        <w:spacing w:after="0" w:line="287" w:lineRule="auto"/>
        <w:tabs>
          <w:tab w:leader="none" w:pos="1205" w:val="left"/>
        </w:tabs>
        <w:numPr>
          <w:ilvl w:val="0"/>
          <w:numId w:val="335"/>
        </w:numPr>
        <w:rPr>
          <w:rFonts w:ascii="Arial" w:cs="Arial" w:eastAsia="Arial" w:hAnsi="Arial"/>
          <w:sz w:val="17"/>
          <w:szCs w:val="17"/>
          <w:b w:val="1"/>
          <w:bCs w:val="1"/>
          <w:color w:val="auto"/>
        </w:rPr>
      </w:pPr>
      <w:r>
        <w:rPr>
          <w:rFonts w:ascii="Arial" w:cs="Arial" w:eastAsia="Arial" w:hAnsi="Arial"/>
          <w:sz w:val="17"/>
          <w:szCs w:val="17"/>
          <w:color w:val="auto"/>
        </w:rPr>
        <w:t>Novo Nordisk will not during the term of this Agreement enter into any mortgages, pledges, charges, liens, security interests or other encumbrances of any kind with respect to Collaboration IP in which Novo Nordisk has an ownership interest;</w:t>
      </w:r>
    </w:p>
    <w:p>
      <w:pPr>
        <w:spacing w:after="0" w:line="54" w:lineRule="exact"/>
        <w:rPr>
          <w:rFonts w:ascii="Arial" w:cs="Arial" w:eastAsia="Arial" w:hAnsi="Arial"/>
          <w:sz w:val="17"/>
          <w:szCs w:val="17"/>
          <w:b w:val="1"/>
          <w:bCs w:val="1"/>
          <w:color w:val="auto"/>
        </w:rPr>
      </w:pPr>
    </w:p>
    <w:p>
      <w:pPr>
        <w:ind w:right="40" w:firstLine="957"/>
        <w:spacing w:after="0" w:line="287" w:lineRule="auto"/>
        <w:tabs>
          <w:tab w:leader="none" w:pos="1215" w:val="left"/>
        </w:tabs>
        <w:numPr>
          <w:ilvl w:val="0"/>
          <w:numId w:val="335"/>
        </w:numPr>
        <w:rPr>
          <w:rFonts w:ascii="Arial" w:cs="Arial" w:eastAsia="Arial" w:hAnsi="Arial"/>
          <w:sz w:val="17"/>
          <w:szCs w:val="17"/>
          <w:b w:val="1"/>
          <w:bCs w:val="1"/>
          <w:color w:val="auto"/>
        </w:rPr>
      </w:pPr>
      <w:r>
        <w:rPr>
          <w:rFonts w:ascii="Arial" w:cs="Arial" w:eastAsia="Arial" w:hAnsi="Arial"/>
          <w:sz w:val="17"/>
          <w:szCs w:val="17"/>
          <w:color w:val="auto"/>
        </w:rPr>
        <w:t>Novo Nordisk shall, during the term of this Agreement, disclose to Keros any such material adverse proceedings, claims or actions that arise with respect to the Keros New Ligand Trap IP or Collaboration IP in which Novo Nordisk has an ownership interest; and</w:t>
      </w:r>
    </w:p>
    <w:p>
      <w:pPr>
        <w:spacing w:after="0" w:line="54" w:lineRule="exact"/>
        <w:rPr>
          <w:rFonts w:ascii="Arial" w:cs="Arial" w:eastAsia="Arial" w:hAnsi="Arial"/>
          <w:sz w:val="17"/>
          <w:szCs w:val="17"/>
          <w:b w:val="1"/>
          <w:bCs w:val="1"/>
          <w:color w:val="auto"/>
        </w:rPr>
      </w:pPr>
    </w:p>
    <w:p>
      <w:pPr>
        <w:ind w:right="440" w:firstLine="957"/>
        <w:spacing w:after="0" w:line="320" w:lineRule="auto"/>
        <w:tabs>
          <w:tab w:leader="none" w:pos="1195" w:val="left"/>
        </w:tabs>
        <w:numPr>
          <w:ilvl w:val="0"/>
          <w:numId w:val="335"/>
        </w:numPr>
        <w:rPr>
          <w:rFonts w:ascii="Arial" w:cs="Arial" w:eastAsia="Arial" w:hAnsi="Arial"/>
          <w:sz w:val="16"/>
          <w:szCs w:val="16"/>
          <w:b w:val="1"/>
          <w:bCs w:val="1"/>
          <w:color w:val="auto"/>
        </w:rPr>
      </w:pPr>
      <w:r>
        <w:rPr>
          <w:rFonts w:ascii="Arial" w:cs="Arial" w:eastAsia="Arial" w:hAnsi="Arial"/>
          <w:sz w:val="16"/>
          <w:szCs w:val="16"/>
          <w:color w:val="auto"/>
        </w:rPr>
        <w:t>Novo Nordisk will not, after the Effective Date, enter into any written or oral contractual obligation with a Third Party that would conflict with its obligations under this Agreement or that is intended to deprive Keros of the benefits of or rights granted under this Agreement.</w:t>
      </w:r>
    </w:p>
    <w:p>
      <w:pPr>
        <w:spacing w:after="0" w:line="26" w:lineRule="exact"/>
        <w:rPr>
          <w:sz w:val="20"/>
          <w:szCs w:val="20"/>
          <w:color w:val="auto"/>
        </w:rPr>
      </w:pPr>
    </w:p>
    <w:p>
      <w:pPr>
        <w:ind w:right="340" w:firstLine="426"/>
        <w:spacing w:after="0" w:line="291" w:lineRule="auto"/>
        <w:rPr>
          <w:sz w:val="20"/>
          <w:szCs w:val="20"/>
          <w:color w:val="auto"/>
        </w:rPr>
      </w:pPr>
      <w:r>
        <w:rPr>
          <w:rFonts w:ascii="Arial" w:cs="Arial" w:eastAsia="Arial" w:hAnsi="Arial"/>
          <w:sz w:val="16"/>
          <w:szCs w:val="16"/>
          <w:b w:val="1"/>
          <w:bCs w:val="1"/>
          <w:color w:val="auto"/>
        </w:rPr>
        <w:t>11.5 Disclaimers</w:t>
      </w:r>
      <w:r>
        <w:rPr>
          <w:rFonts w:ascii="Arial" w:cs="Arial" w:eastAsia="Arial" w:hAnsi="Arial"/>
          <w:sz w:val="16"/>
          <w:szCs w:val="16"/>
          <w:color w:val="auto"/>
        </w:rPr>
        <w:t>. EXCEPT AS OTHERWISE EXPRESSLY PROVIDED IN THIS AGREEMENT NEITHER PARTY MAKES ANY</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OR WARRANTY OF ANY KIND WITH RESPECT TO MATERIALS OR INFORMATION SUPPLIED BY IT TO THE OTHER PARTY HEREUNDER, AND EXPRESSLY DISCLAIMS ALL WARRANTIES, EXPRESS OR IMPLIED, INCLUDING BUT NOT LIMITED TO IMPLIED WARRANTIES OF MERCHANTABILITY, FITNESS FOR A PARTICULAR PURPOSE AND NON-INFRINGEMENT.</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12</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Indemnification; Limitation on Liability; Insurance</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12.1 Indemnification</w:t>
      </w:r>
      <w:r>
        <w:rPr>
          <w:rFonts w:ascii="Arial" w:cs="Arial" w:eastAsia="Arial" w:hAnsi="Arial"/>
          <w:sz w:val="17"/>
          <w:szCs w:val="17"/>
          <w:color w:val="auto"/>
        </w:rPr>
        <w:t>.</w:t>
      </w:r>
    </w:p>
    <w:p>
      <w:pPr>
        <w:spacing w:after="0" w:line="118" w:lineRule="exact"/>
        <w:rPr>
          <w:sz w:val="20"/>
          <w:szCs w:val="20"/>
          <w:color w:val="auto"/>
        </w:rPr>
      </w:pPr>
    </w:p>
    <w:p>
      <w:pPr>
        <w:ind w:left="1200" w:hanging="243"/>
        <w:spacing w:after="0"/>
        <w:tabs>
          <w:tab w:leader="none" w:pos="1200" w:val="left"/>
        </w:tabs>
        <w:numPr>
          <w:ilvl w:val="0"/>
          <w:numId w:val="33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The following definitions are for purposes of Section 12.1:</w:t>
      </w:r>
    </w:p>
    <w:p>
      <w:pPr>
        <w:spacing w:after="0" w:line="117" w:lineRule="exact"/>
        <w:rPr>
          <w:rFonts w:ascii="Arial" w:cs="Arial" w:eastAsia="Arial" w:hAnsi="Arial"/>
          <w:sz w:val="17"/>
          <w:szCs w:val="17"/>
          <w:b w:val="1"/>
          <w:bCs w:val="1"/>
          <w:color w:val="auto"/>
        </w:rPr>
      </w:pPr>
    </w:p>
    <w:p>
      <w:pPr>
        <w:ind w:left="1600" w:hanging="217"/>
        <w:spacing w:after="0"/>
        <w:tabs>
          <w:tab w:leader="none" w:pos="1600" w:val="left"/>
        </w:tabs>
        <w:numPr>
          <w:ilvl w:val="1"/>
          <w:numId w:val="3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claims, suits, actions, demands or other proceedings by any Third Party.</w:t>
      </w:r>
    </w:p>
    <w:p>
      <w:pPr>
        <w:spacing w:after="0" w:line="117" w:lineRule="exact"/>
        <w:rPr>
          <w:rFonts w:ascii="Arial" w:cs="Arial" w:eastAsia="Arial" w:hAnsi="Arial"/>
          <w:sz w:val="17"/>
          <w:szCs w:val="17"/>
          <w:b w:val="1"/>
          <w:bCs w:val="1"/>
          <w:color w:val="auto"/>
        </w:rPr>
      </w:pPr>
    </w:p>
    <w:p>
      <w:pPr>
        <w:ind w:left="1640" w:hanging="257"/>
        <w:spacing w:after="0"/>
        <w:tabs>
          <w:tab w:leader="none" w:pos="1640" w:val="left"/>
        </w:tabs>
        <w:numPr>
          <w:ilvl w:val="1"/>
          <w:numId w:val="336"/>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Indemnitee</w:t>
      </w:r>
      <w:r>
        <w:rPr>
          <w:rFonts w:ascii="Arial" w:cs="Arial" w:eastAsia="Arial" w:hAnsi="Arial"/>
          <w:sz w:val="15"/>
          <w:szCs w:val="15"/>
          <w:color w:val="auto"/>
        </w:rPr>
        <w:t>” means, as applicable, a Keros Indemnitee (as defined in Section 12.1(b) or a Novo Nordisk Indemnitee (as defined</w:t>
      </w:r>
    </w:p>
    <w:p>
      <w:pPr>
        <w:spacing w:after="0" w:line="5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in Section 12.1 (c)).</w:t>
      </w:r>
    </w:p>
    <w:p>
      <w:pPr>
        <w:spacing w:after="0" w:line="99" w:lineRule="exact"/>
        <w:rPr>
          <w:rFonts w:ascii="Arial" w:cs="Arial" w:eastAsia="Arial" w:hAnsi="Arial"/>
          <w:sz w:val="15"/>
          <w:szCs w:val="15"/>
          <w:b w:val="1"/>
          <w:bCs w:val="1"/>
          <w:color w:val="auto"/>
        </w:rPr>
      </w:pPr>
    </w:p>
    <w:p>
      <w:pPr>
        <w:ind w:right="40" w:firstLine="1383"/>
        <w:spacing w:after="0" w:line="295" w:lineRule="auto"/>
        <w:tabs>
          <w:tab w:leader="none" w:pos="1689" w:val="left"/>
        </w:tabs>
        <w:numPr>
          <w:ilvl w:val="1"/>
          <w:numId w:val="3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means any and all liabilities, damages, settlements, penalties, fines, costs or expenses (including, reasonable attorneys’ fees and other expenses of litigation).</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60"/>
          </w:cols>
          <w:pgMar w:left="620" w:top="264" w:right="6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120" w:firstLine="957"/>
        <w:spacing w:after="0" w:line="261" w:lineRule="auto"/>
        <w:tabs>
          <w:tab w:leader="none" w:pos="1215"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by Novo Nordisk</w:t>
      </w:r>
      <w:r>
        <w:rPr>
          <w:rFonts w:ascii="Arial" w:cs="Arial" w:eastAsia="Arial" w:hAnsi="Arial"/>
          <w:sz w:val="17"/>
          <w:szCs w:val="17"/>
          <w:color w:val="auto"/>
        </w:rPr>
        <w:t>. Novo Nordisk hereby agrees to indemnify, defend and hold harmless each of Keros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directors, employees and agents (for purposes of Section 12.1, each, a “</w:t>
      </w:r>
      <w:r>
        <w:rPr>
          <w:rFonts w:ascii="Arial" w:cs="Arial" w:eastAsia="Arial" w:hAnsi="Arial"/>
          <w:sz w:val="17"/>
          <w:szCs w:val="17"/>
          <w:b w:val="1"/>
          <w:bCs w:val="1"/>
          <w:color w:val="auto"/>
        </w:rPr>
        <w:t>Keros Indemnitee</w:t>
      </w:r>
      <w:r>
        <w:rPr>
          <w:rFonts w:ascii="Arial" w:cs="Arial" w:eastAsia="Arial" w:hAnsi="Arial"/>
          <w:sz w:val="17"/>
          <w:szCs w:val="17"/>
          <w:color w:val="auto"/>
        </w:rPr>
        <w:t>”) from and against Losses resulting directly from Claims arising out of (i) Novo Nordisk’s breach of its representations or warranties under Section 11 of this Agreement; or (ii) the negligence or willful misconduct in performing the activities to be performed by Novo Nordisk under this Agreement, including the manufacture, storage, use, Development or Commercialization of Ligands Traps or Licensed Product (including product liability claims), in each case by Novo Nordisk or its Affiliates or its contractors. Novo Nordisk’s obligations under this Section 12.1 (b) shall not apply to the extent that any such Losses are attributable to (A) Keros’ material breach of this Agreement, including breach of its representations or warranties under this Agreement or (B) the gross negligence or willful misconduct of any Keros Indemnitee.</w:t>
      </w:r>
    </w:p>
    <w:p>
      <w:pPr>
        <w:spacing w:after="0" w:line="74" w:lineRule="exact"/>
        <w:rPr>
          <w:rFonts w:ascii="Arial" w:cs="Arial" w:eastAsia="Arial" w:hAnsi="Arial"/>
          <w:sz w:val="17"/>
          <w:szCs w:val="17"/>
          <w:b w:val="1"/>
          <w:bCs w:val="1"/>
          <w:color w:val="auto"/>
        </w:rPr>
      </w:pPr>
    </w:p>
    <w:p>
      <w:pPr>
        <w:ind w:right="20" w:firstLine="957"/>
        <w:spacing w:after="0" w:line="261" w:lineRule="auto"/>
        <w:tabs>
          <w:tab w:leader="none" w:pos="1195"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by Keros</w:t>
      </w:r>
      <w:r>
        <w:rPr>
          <w:rFonts w:ascii="Arial" w:cs="Arial" w:eastAsia="Arial" w:hAnsi="Arial"/>
          <w:sz w:val="17"/>
          <w:szCs w:val="17"/>
          <w:color w:val="auto"/>
        </w:rPr>
        <w:t>. Keros hereby agrees to indemnify, defend and hold harmless each of Novo Nordisk and its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employees and agents (for purposes of Section 12.1, each, a “</w:t>
      </w:r>
      <w:r>
        <w:rPr>
          <w:rFonts w:ascii="Arial" w:cs="Arial" w:eastAsia="Arial" w:hAnsi="Arial"/>
          <w:sz w:val="17"/>
          <w:szCs w:val="17"/>
          <w:b w:val="1"/>
          <w:bCs w:val="1"/>
          <w:color w:val="auto"/>
        </w:rPr>
        <w:t>Novo Nordisk Indemnitee</w:t>
      </w:r>
      <w:r>
        <w:rPr>
          <w:rFonts w:ascii="Arial" w:cs="Arial" w:eastAsia="Arial" w:hAnsi="Arial"/>
          <w:sz w:val="17"/>
          <w:szCs w:val="17"/>
          <w:color w:val="auto"/>
        </w:rPr>
        <w:t>”) from and against Losses resulting directly from Claims arising out of (i) Keros’ breach of its representations or warranties under Section 11 of this Agreement; or (ii) the negligence or willful misconduct in performing the activities to be performed by Keros under this Agreement, including the manufacture, storage, use, Development or Commercialization of Ligands Traps or Licensed Product (including product liability claims), in each case by Keros or its Affiliates or its contractors. Keros’ obligations under this Section 12.1 (c) shall not apply to the extent that any such Losses are attributable to (A) Novo Nordisk’s material breach of this Agreement, including breach of its representations or warranties under this Agreement or (B) the gross negligence or willful misconduct of any Novo Nordisk Indemnitee.</w:t>
      </w:r>
    </w:p>
    <w:p>
      <w:pPr>
        <w:spacing w:after="0" w:line="74" w:lineRule="exact"/>
        <w:rPr>
          <w:rFonts w:ascii="Arial" w:cs="Arial" w:eastAsia="Arial" w:hAnsi="Arial"/>
          <w:sz w:val="17"/>
          <w:szCs w:val="17"/>
          <w:b w:val="1"/>
          <w:bCs w:val="1"/>
          <w:color w:val="auto"/>
        </w:rPr>
      </w:pPr>
    </w:p>
    <w:p>
      <w:pPr>
        <w:ind w:right="280" w:firstLine="957"/>
        <w:spacing w:after="0" w:line="264" w:lineRule="auto"/>
        <w:tabs>
          <w:tab w:leader="none" w:pos="1215"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Procedures</w:t>
      </w:r>
      <w:r>
        <w:rPr>
          <w:rFonts w:ascii="Arial" w:cs="Arial" w:eastAsia="Arial" w:hAnsi="Arial"/>
          <w:sz w:val="17"/>
          <w:szCs w:val="17"/>
          <w:color w:val="auto"/>
        </w:rPr>
        <w:t>. The Indemnitee shall (i) notify the indemnifying Party (the “</w:t>
      </w:r>
      <w:r>
        <w:rPr>
          <w:rFonts w:ascii="Arial" w:cs="Arial" w:eastAsia="Arial" w:hAnsi="Arial"/>
          <w:sz w:val="17"/>
          <w:szCs w:val="17"/>
          <w:b w:val="1"/>
          <w:bCs w:val="1"/>
          <w:color w:val="auto"/>
        </w:rPr>
        <w:t>Indemnitor</w:t>
      </w:r>
      <w:r>
        <w:rPr>
          <w:rFonts w:ascii="Arial" w:cs="Arial" w:eastAsia="Arial" w:hAnsi="Arial"/>
          <w:sz w:val="17"/>
          <w:szCs w:val="17"/>
          <w:color w:val="auto"/>
        </w:rPr>
        <w:t>”) of any Claim for which it</w:t>
      </w:r>
      <w:r>
        <w:rPr>
          <w:rFonts w:ascii="Arial" w:cs="Arial" w:eastAsia="Arial" w:hAnsi="Arial"/>
          <w:sz w:val="17"/>
          <w:szCs w:val="17"/>
          <w:b w:val="1"/>
          <w:bCs w:val="1"/>
          <w:color w:val="auto"/>
        </w:rPr>
        <w:t xml:space="preserve"> </w:t>
      </w:r>
      <w:r>
        <w:rPr>
          <w:rFonts w:ascii="Arial" w:cs="Arial" w:eastAsia="Arial" w:hAnsi="Arial"/>
          <w:sz w:val="17"/>
          <w:szCs w:val="17"/>
          <w:color w:val="auto"/>
        </w:rPr>
        <w:t>seeks to exercise its rights under Section 12.1 (b) or (c) promptly after it receives notice of such Claim; (ii) permit the Indemnitor to assume the sole control of the defense thereof, including the right to settle or conclude such defense (so long as such settlement does not, without the Indemnitee’s consent, admit liability or impose any obligation on the part of the Indemnitee), with counsel mutually satisfactory to the Parties; (iii) cooperate as reasonably requested (at the expense of Indemnitor) in the defense of such Claim; and (iv) not settle such Claim without the express, prior written consent of the Indemnitor.</w:t>
      </w:r>
    </w:p>
    <w:p>
      <w:pPr>
        <w:spacing w:after="0" w:line="67" w:lineRule="exact"/>
        <w:rPr>
          <w:rFonts w:ascii="Arial" w:cs="Arial" w:eastAsia="Arial" w:hAnsi="Arial"/>
          <w:sz w:val="17"/>
          <w:szCs w:val="17"/>
          <w:b w:val="1"/>
          <w:bCs w:val="1"/>
          <w:color w:val="auto"/>
        </w:rPr>
      </w:pPr>
    </w:p>
    <w:p>
      <w:pPr>
        <w:ind w:right="160" w:firstLine="957"/>
        <w:spacing w:after="0" w:line="315" w:lineRule="auto"/>
        <w:tabs>
          <w:tab w:leader="none" w:pos="1195" w:val="left"/>
        </w:tabs>
        <w:numPr>
          <w:ilvl w:val="0"/>
          <w:numId w:val="337"/>
        </w:numPr>
        <w:rPr>
          <w:rFonts w:ascii="Arial" w:cs="Arial" w:eastAsia="Arial" w:hAnsi="Arial"/>
          <w:sz w:val="15"/>
          <w:szCs w:val="15"/>
          <w:b w:val="1"/>
          <w:bCs w:val="1"/>
          <w:color w:val="auto"/>
        </w:rPr>
      </w:pPr>
      <w:r>
        <w:rPr>
          <w:rFonts w:ascii="Arial" w:cs="Arial" w:eastAsia="Arial" w:hAnsi="Arial"/>
          <w:sz w:val="15"/>
          <w:szCs w:val="15"/>
          <w:b w:val="1"/>
          <w:bCs w:val="1"/>
          <w:color w:val="auto"/>
        </w:rPr>
        <w:t>Limitations</w:t>
      </w:r>
      <w:r>
        <w:rPr>
          <w:rFonts w:ascii="Arial" w:cs="Arial" w:eastAsia="Arial" w:hAnsi="Arial"/>
          <w:sz w:val="15"/>
          <w:szCs w:val="15"/>
          <w:color w:val="auto"/>
        </w:rPr>
        <w:t>. The failure of an Indemnitee to deliver notice to the Indemnitor promptly after the commencement of any Claim for</w:t>
      </w:r>
      <w:r>
        <w:rPr>
          <w:rFonts w:ascii="Arial" w:cs="Arial" w:eastAsia="Arial" w:hAnsi="Arial"/>
          <w:sz w:val="15"/>
          <w:szCs w:val="15"/>
          <w:b w:val="1"/>
          <w:bCs w:val="1"/>
          <w:color w:val="auto"/>
        </w:rPr>
        <w:t xml:space="preserve"> </w:t>
      </w:r>
      <w:r>
        <w:rPr>
          <w:rFonts w:ascii="Arial" w:cs="Arial" w:eastAsia="Arial" w:hAnsi="Arial"/>
          <w:sz w:val="15"/>
          <w:szCs w:val="15"/>
          <w:color w:val="auto"/>
        </w:rPr>
        <w:t>which such Indemnitee seeks to exercise its rights under Section 12.1, to the extent prejudicial to the Indemnitor’s ability to defend such Claim, shall relieve the Indemnitor of its obligation to the Indemnitees under Section 12.1. The Parties agree that only Keros or Novo Nordisk may seek to exercise the rights under Section 12.1 (on its own behalf or on behalf of its Indemnitees), and other Indemnitees may not directly seek to exercise such rights.</w:t>
      </w:r>
    </w:p>
    <w:p>
      <w:pPr>
        <w:spacing w:after="0" w:line="34" w:lineRule="exact"/>
        <w:rPr>
          <w:sz w:val="20"/>
          <w:szCs w:val="20"/>
          <w:color w:val="auto"/>
        </w:rPr>
      </w:pPr>
    </w:p>
    <w:p>
      <w:pPr>
        <w:ind w:right="360" w:firstLine="426"/>
        <w:spacing w:after="0" w:line="266" w:lineRule="auto"/>
        <w:rPr>
          <w:sz w:val="20"/>
          <w:szCs w:val="20"/>
          <w:color w:val="auto"/>
        </w:rPr>
      </w:pPr>
      <w:r>
        <w:rPr>
          <w:rFonts w:ascii="Arial" w:cs="Arial" w:eastAsia="Arial" w:hAnsi="Arial"/>
          <w:sz w:val="17"/>
          <w:szCs w:val="17"/>
          <w:b w:val="1"/>
          <w:bCs w:val="1"/>
          <w:color w:val="auto"/>
        </w:rPr>
        <w:t>12.2 Exclusion of Consequential Damages</w:t>
      </w:r>
      <w:r>
        <w:rPr>
          <w:rFonts w:ascii="Arial" w:cs="Arial" w:eastAsia="Arial" w:hAnsi="Arial"/>
          <w:sz w:val="17"/>
          <w:szCs w:val="17"/>
          <w:color w:val="auto"/>
        </w:rPr>
        <w:t>. IN NO EVENT SHALL EITHER PARTY BE LIABLE TO THE OTHER PARTY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CONSEQUENTIAL, INDIRECT, INCIDENTAL OR PUNITIVE DAMAGES, INCLUDING LOST PROFITS, HOWEVER CAUSED, ARISING FROM OR RELATING TO THIS AGREEMENT OR ANY BREACH OF THIS AGREEMENT OR ANY CLAIM ARISING HEREUNDER,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NOTHING IN THIS SECTION 12.2 IS INTENDED TO LIMIT THE RIGHTS OR OBLIGATIONS OF EITHER</w:t>
      </w:r>
      <w:r>
        <w:rPr>
          <w:rFonts w:ascii="Arial" w:cs="Arial" w:eastAsia="Arial" w:hAnsi="Arial"/>
          <w:sz w:val="17"/>
          <w:szCs w:val="17"/>
          <w:i w:val="1"/>
          <w:iCs w:val="1"/>
          <w:color w:val="auto"/>
        </w:rPr>
        <w:t xml:space="preserve"> </w:t>
      </w:r>
      <w:r>
        <w:rPr>
          <w:rFonts w:ascii="Arial" w:cs="Arial" w:eastAsia="Arial" w:hAnsi="Arial"/>
          <w:sz w:val="17"/>
          <w:szCs w:val="17"/>
          <w:color w:val="auto"/>
        </w:rPr>
        <w:t>PARTY UNDER SECTION 12.1.</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60"/>
          </w:cols>
          <w:pgMar w:left="620" w:top="264" w:right="6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13</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Dispute Resolution</w:t>
      </w:r>
    </w:p>
    <w:p>
      <w:pPr>
        <w:spacing w:after="0" w:line="204" w:lineRule="exact"/>
        <w:rPr>
          <w:sz w:val="20"/>
          <w:szCs w:val="20"/>
          <w:color w:val="auto"/>
        </w:rPr>
      </w:pPr>
    </w:p>
    <w:p>
      <w:pPr>
        <w:ind w:right="220" w:firstLine="426"/>
        <w:spacing w:after="0" w:line="283" w:lineRule="auto"/>
        <w:rPr>
          <w:sz w:val="20"/>
          <w:szCs w:val="20"/>
          <w:color w:val="auto"/>
        </w:rPr>
      </w:pPr>
      <w:r>
        <w:rPr>
          <w:rFonts w:ascii="Arial" w:cs="Arial" w:eastAsia="Arial" w:hAnsi="Arial"/>
          <w:sz w:val="16"/>
          <w:szCs w:val="16"/>
          <w:b w:val="1"/>
          <w:bCs w:val="1"/>
          <w:color w:val="auto"/>
        </w:rPr>
        <w:t>13.1 Internal Resolution</w:t>
      </w:r>
      <w:r>
        <w:rPr>
          <w:rFonts w:ascii="Arial" w:cs="Arial" w:eastAsia="Arial" w:hAnsi="Arial"/>
          <w:sz w:val="16"/>
          <w:szCs w:val="16"/>
          <w:color w:val="auto"/>
        </w:rPr>
        <w:t>. Except as otherwise expressly provided in this Agreement, any Dispute shall be first referred to an Executive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resolution, prior to proceeding under the other provisions of this Article 13. A Dispute shall be referred to such Executives upon one Party providing the other Party with written notice that such Dispute exists, and such Executives shall attempt to resolve such Dispute through good faith discussions. In the event that such Dispute is not resolved within [***] of such other Party’s receipt of such notice, either Party may initiate by written notice to the other the Dispute resolution provisions in Section 13.2. The Parties agree that any discussions between such Executives regarding such Dispute will not constitute settlement discussions, unless the Parties agree otherwise in writing.</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13.2 Arbitration</w:t>
      </w:r>
      <w:r>
        <w:rPr>
          <w:rFonts w:ascii="Arial" w:cs="Arial" w:eastAsia="Arial" w:hAnsi="Arial"/>
          <w:sz w:val="17"/>
          <w:szCs w:val="17"/>
          <w:color w:val="auto"/>
        </w:rPr>
        <w:t>.</w:t>
      </w:r>
    </w:p>
    <w:p>
      <w:pPr>
        <w:spacing w:after="0" w:line="118" w:lineRule="exact"/>
        <w:rPr>
          <w:sz w:val="20"/>
          <w:szCs w:val="20"/>
          <w:color w:val="auto"/>
        </w:rPr>
      </w:pPr>
    </w:p>
    <w:p>
      <w:pPr>
        <w:ind w:right="120" w:firstLine="957"/>
        <w:spacing w:after="0" w:line="262" w:lineRule="auto"/>
        <w:tabs>
          <w:tab w:leader="none" w:pos="1205"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Rules</w:t>
      </w:r>
      <w:r>
        <w:rPr>
          <w:rFonts w:ascii="Arial" w:cs="Arial" w:eastAsia="Arial" w:hAnsi="Arial"/>
          <w:sz w:val="17"/>
          <w:szCs w:val="17"/>
          <w:color w:val="auto"/>
        </w:rPr>
        <w:t>. Except as otherwise expressly provided in this Agreement, the Parties agree that any Dispute not resolved internally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pursuant to Section 13.1 shall be resolved through binding arbitration under the Rules of Arbitration of the International Chamber of Commerce (for purposes of Article 13, the “</w:t>
      </w:r>
      <w:r>
        <w:rPr>
          <w:rFonts w:ascii="Arial" w:cs="Arial" w:eastAsia="Arial" w:hAnsi="Arial"/>
          <w:sz w:val="17"/>
          <w:szCs w:val="17"/>
          <w:b w:val="1"/>
          <w:bCs w:val="1"/>
          <w:color w:val="auto"/>
        </w:rPr>
        <w:t>Rules</w:t>
      </w:r>
      <w:r>
        <w:rPr>
          <w:rFonts w:ascii="Arial" w:cs="Arial" w:eastAsia="Arial" w:hAnsi="Arial"/>
          <w:sz w:val="17"/>
          <w:szCs w:val="17"/>
          <w:color w:val="auto"/>
        </w:rPr>
        <w:t>”) by a single arbitrator appointed in accordance with the said Rules, applying the substantive law specified in Section 14.2. The demand for arbitration and counterclaim shall each include a statement setting forth the issues in dispute that are being presented for resolution through binding arbitration. In no event shall a demand for arbitration be made after the date when institution of a legal or equitable proceeding based upon such Dispute would be barred by the applicable statute of limitations as determined from the date such Dispute was referred to the arbitrator in accordance with this Section 13.2.</w:t>
      </w:r>
    </w:p>
    <w:p>
      <w:pPr>
        <w:spacing w:after="0" w:line="72" w:lineRule="exact"/>
        <w:rPr>
          <w:rFonts w:ascii="Arial" w:cs="Arial" w:eastAsia="Arial" w:hAnsi="Arial"/>
          <w:sz w:val="17"/>
          <w:szCs w:val="17"/>
          <w:b w:val="1"/>
          <w:bCs w:val="1"/>
          <w:color w:val="auto"/>
        </w:rPr>
      </w:pPr>
    </w:p>
    <w:p>
      <w:pPr>
        <w:jc w:val="both"/>
        <w:ind w:right="380" w:firstLine="957"/>
        <w:spacing w:after="0" w:line="328" w:lineRule="auto"/>
        <w:tabs>
          <w:tab w:leader="none" w:pos="1215"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color w:val="auto"/>
        </w:rPr>
        <w:t>Arbitrator; Location</w:t>
      </w:r>
      <w:r>
        <w:rPr>
          <w:rFonts w:ascii="Arial" w:cs="Arial" w:eastAsia="Arial" w:hAnsi="Arial"/>
          <w:sz w:val="15"/>
          <w:szCs w:val="15"/>
          <w:color w:val="auto"/>
        </w:rPr>
        <w:t>. Unless otherwise agreed by the Parties, the arbitrator shall be appointed in accordance with the Rules. The</w:t>
      </w:r>
      <w:r>
        <w:rPr>
          <w:rFonts w:ascii="Arial" w:cs="Arial" w:eastAsia="Arial" w:hAnsi="Arial"/>
          <w:sz w:val="15"/>
          <w:szCs w:val="15"/>
          <w:b w:val="1"/>
          <w:bCs w:val="1"/>
          <w:color w:val="auto"/>
        </w:rPr>
        <w:t xml:space="preserve"> </w:t>
      </w:r>
      <w:r>
        <w:rPr>
          <w:rFonts w:ascii="Arial" w:cs="Arial" w:eastAsia="Arial" w:hAnsi="Arial"/>
          <w:sz w:val="15"/>
          <w:szCs w:val="15"/>
          <w:color w:val="auto"/>
        </w:rPr>
        <w:t>arbitration proceedings shall be conducted in New York, New York, USA. The Parties shall take all reasonable actions to commence the proceeding under this Section 13.2 as promptly as possible but in no event later than [***] after the initiation of any Dispute under this Section 13.2.</w:t>
      </w:r>
    </w:p>
    <w:p>
      <w:pPr>
        <w:spacing w:after="0" w:line="23" w:lineRule="exact"/>
        <w:rPr>
          <w:rFonts w:ascii="Arial" w:cs="Arial" w:eastAsia="Arial" w:hAnsi="Arial"/>
          <w:sz w:val="15"/>
          <w:szCs w:val="15"/>
          <w:b w:val="1"/>
          <w:bCs w:val="1"/>
          <w:color w:val="auto"/>
        </w:rPr>
      </w:pPr>
    </w:p>
    <w:p>
      <w:pPr>
        <w:ind w:right="20" w:firstLine="957"/>
        <w:spacing w:after="0" w:line="301" w:lineRule="auto"/>
        <w:tabs>
          <w:tab w:leader="none" w:pos="1195"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color w:val="auto"/>
        </w:rPr>
        <w:t>Procedures; Awards</w:t>
      </w:r>
      <w:r>
        <w:rPr>
          <w:rFonts w:ascii="Arial" w:cs="Arial" w:eastAsia="Arial" w:hAnsi="Arial"/>
          <w:sz w:val="15"/>
          <w:szCs w:val="15"/>
          <w:color w:val="auto"/>
        </w:rPr>
        <w:t>. Each Party agrees to use reasonable efforts to make all of its current employees available, if reasonably needed,</w:t>
      </w:r>
      <w:r>
        <w:rPr>
          <w:rFonts w:ascii="Arial" w:cs="Arial" w:eastAsia="Arial" w:hAnsi="Arial"/>
          <w:sz w:val="15"/>
          <w:szCs w:val="15"/>
          <w:b w:val="1"/>
          <w:bCs w:val="1"/>
          <w:color w:val="auto"/>
        </w:rPr>
        <w:t xml:space="preserve"> </w:t>
      </w:r>
      <w:r>
        <w:rPr>
          <w:rFonts w:ascii="Arial" w:cs="Arial" w:eastAsia="Arial" w:hAnsi="Arial"/>
          <w:sz w:val="15"/>
          <w:szCs w:val="15"/>
          <w:color w:val="auto"/>
        </w:rPr>
        <w:t>and agrees that the arbitrator may deem any party as “necessary.” Following the request by either Party, the arbitrator shall make a determination regarding reasonable production by the Parties of documents relevant to the Dispute. The arbitrator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after conclusion of the hearing, unless otherwise agreed by the Parties. Judgment upon such award may be entered in any competent court or application may be made to any competent court for judicial acceptance of such an award and order for enforcement. Each Party agrees that, notwithstanding any provision of applicable law or of this Agreement, it will not request, and the arbitrator shall have no authority to award, punitive or exemplary damages against any Party.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60"/>
          </w:cols>
          <w:pgMar w:left="620" w:top="264" w:right="6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1220" w:hanging="263"/>
        <w:spacing w:after="0"/>
        <w:tabs>
          <w:tab w:leader="none" w:pos="1220"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Costs</w:t>
      </w:r>
      <w:r>
        <w:rPr>
          <w:rFonts w:ascii="Arial" w:cs="Arial" w:eastAsia="Arial" w:hAnsi="Arial"/>
          <w:sz w:val="17"/>
          <w:szCs w:val="17"/>
          <w:color w:val="auto"/>
        </w:rPr>
        <w:t>. [***].</w:t>
      </w:r>
    </w:p>
    <w:p>
      <w:pPr>
        <w:spacing w:after="0" w:line="117" w:lineRule="exact"/>
        <w:rPr>
          <w:rFonts w:ascii="Arial" w:cs="Arial" w:eastAsia="Arial" w:hAnsi="Arial"/>
          <w:sz w:val="17"/>
          <w:szCs w:val="17"/>
          <w:b w:val="1"/>
          <w:bCs w:val="1"/>
          <w:color w:val="auto"/>
        </w:rPr>
      </w:pPr>
    </w:p>
    <w:p>
      <w:pPr>
        <w:ind w:right="120" w:firstLine="957"/>
        <w:spacing w:after="0" w:line="266" w:lineRule="auto"/>
        <w:tabs>
          <w:tab w:leader="none" w:pos="1195"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Interim Equitable Relief</w:t>
      </w:r>
      <w:r>
        <w:rPr>
          <w:rFonts w:ascii="Arial" w:cs="Arial" w:eastAsia="Arial" w:hAnsi="Arial"/>
          <w:sz w:val="17"/>
          <w:szCs w:val="17"/>
          <w:color w:val="auto"/>
        </w:rPr>
        <w:t>. Notwithstanding anything to the contrary in this Section 13.2, in the event that a Party reasonably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relief on a more expedited basis than would be possible pursuant to the procedure set forth in this Article 13, such Party may seek a temporary injunction or other interim equitable relief or bring an action in aid of arbitration in a court of competent jurisdiction pending the opportunity of the arbitrator to review the decision under this Section 13.2. Such court shall have no jurisdiction or ability to resolve Disputes beyond the specific issue of temporary injunction or other interim equitable relief.</w:t>
      </w:r>
    </w:p>
    <w:p>
      <w:pPr>
        <w:spacing w:after="0" w:line="65" w:lineRule="exact"/>
        <w:rPr>
          <w:rFonts w:ascii="Arial" w:cs="Arial" w:eastAsia="Arial" w:hAnsi="Arial"/>
          <w:sz w:val="17"/>
          <w:szCs w:val="17"/>
          <w:b w:val="1"/>
          <w:bCs w:val="1"/>
          <w:color w:val="auto"/>
        </w:rPr>
      </w:pPr>
    </w:p>
    <w:p>
      <w:pPr>
        <w:jc w:val="both"/>
        <w:ind w:right="220" w:firstLine="957"/>
        <w:spacing w:after="0" w:line="275" w:lineRule="auto"/>
        <w:tabs>
          <w:tab w:leader="none" w:pos="1176"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Protective Orders; Arbitrability</w:t>
      </w:r>
      <w:r>
        <w:rPr>
          <w:rFonts w:ascii="Arial" w:cs="Arial" w:eastAsia="Arial" w:hAnsi="Arial"/>
          <w:sz w:val="17"/>
          <w:szCs w:val="17"/>
          <w:color w:val="auto"/>
        </w:rPr>
        <w:t>. At the request of either Party, the arbitrator shall enter an appropriate protective order to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confidentiality of information produced or exchanged in the course of the arbitration proceedings. The arbitrator shall have the power to decide all questions of arbitrability.</w:t>
      </w:r>
    </w:p>
    <w:p>
      <w:pPr>
        <w:spacing w:after="0" w:line="59" w:lineRule="exact"/>
        <w:rPr>
          <w:rFonts w:ascii="Arial" w:cs="Arial" w:eastAsia="Arial" w:hAnsi="Arial"/>
          <w:sz w:val="17"/>
          <w:szCs w:val="17"/>
          <w:b w:val="1"/>
          <w:bCs w:val="1"/>
          <w:color w:val="auto"/>
        </w:rPr>
      </w:pPr>
    </w:p>
    <w:p>
      <w:pPr>
        <w:ind w:right="20" w:firstLine="957"/>
        <w:spacing w:after="0" w:line="275" w:lineRule="auto"/>
        <w:tabs>
          <w:tab w:leader="none" w:pos="1205"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Internation Arbitration Treaty</w:t>
      </w:r>
      <w:r>
        <w:rPr>
          <w:rFonts w:ascii="Arial" w:cs="Arial" w:eastAsia="Arial" w:hAnsi="Arial"/>
          <w:sz w:val="17"/>
          <w:szCs w:val="17"/>
          <w:color w:val="auto"/>
        </w:rPr>
        <w:t>. The Parties intend that each award by an arbitrator in an arbitration pursuant to this Section 13.2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rendered in accordance with the United Nations Convention on the Recognition and Enforcement of Arbitral Awards and shall be enforceable in accordance therewith.</w:t>
      </w:r>
    </w:p>
    <w:p>
      <w:pPr>
        <w:spacing w:after="0" w:line="372"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ARTICLE 14</w:t>
      </w:r>
    </w:p>
    <w:p>
      <w:pPr>
        <w:spacing w:after="0" w:line="3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Miscellaneous</w:t>
      </w:r>
    </w:p>
    <w:p>
      <w:pPr>
        <w:spacing w:after="0" w:line="204" w:lineRule="exact"/>
        <w:rPr>
          <w:sz w:val="20"/>
          <w:szCs w:val="20"/>
          <w:color w:val="auto"/>
        </w:rPr>
      </w:pPr>
    </w:p>
    <w:p>
      <w:pPr>
        <w:ind w:right="80" w:firstLine="426"/>
        <w:spacing w:after="0" w:line="309" w:lineRule="auto"/>
        <w:rPr>
          <w:sz w:val="20"/>
          <w:szCs w:val="20"/>
          <w:color w:val="auto"/>
        </w:rPr>
      </w:pPr>
      <w:r>
        <w:rPr>
          <w:rFonts w:ascii="Arial" w:cs="Arial" w:eastAsia="Arial" w:hAnsi="Arial"/>
          <w:sz w:val="15"/>
          <w:szCs w:val="15"/>
          <w:b w:val="1"/>
          <w:bCs w:val="1"/>
          <w:color w:val="auto"/>
        </w:rPr>
        <w:t>14.1 Notices</w:t>
      </w:r>
      <w:r>
        <w:rPr>
          <w:rFonts w:ascii="Arial" w:cs="Arial" w:eastAsia="Arial" w:hAnsi="Arial"/>
          <w:sz w:val="15"/>
          <w:szCs w:val="15"/>
          <w:color w:val="auto"/>
        </w:rPr>
        <w:t>. Except as otherwise expressly provided in this Agreement, any notice required under this Agreement shall be in writing, shall</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specifically refer to this Agreement and shall be sent in accordance with the provisions of this Section 14.1. Notices shall be sent via one of the following means and will be effective (a) on the date of delivery, if delivered in person; or (b) on the date of receipt, if sent by private express courier or by first class certified mail, return receipt requested (or its equivalent). Notices shall be sent to the other Party at the addresses set forth below. Either Party may change its addresses for purposes of this Section 14.1 by sending written notice to the other Party in accordance with this Section 14.1.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to Keros:</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Keros Therapeutics, Inc.</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99 Hayden Avenue, Building E, Suite 120</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Lexington, Massachusetts 02142 USA</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Attn: CEO</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cc: Alliance Manager</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60"/>
          </w:cols>
          <w:pgMar w:left="620" w:top="264" w:right="6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 a required copy to:</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Faber Daeufer &amp; Itrato PC</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890 Winter Street</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Suite 315</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Waltham, MA 02451 USA</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Attn: [***]</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to Novo Nordisk:</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Novo Nordisk A/S</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Novo Allé</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DK-2880 Bagsværd</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Denmark</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Attn: Head of Business Development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 a required copy to:</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Novo Nordisk A/S</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Novo Alle</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DK-2880 Bagsværd</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Denmark</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Attn: General Counsel</w:t>
      </w:r>
    </w:p>
    <w:p>
      <w:pPr>
        <w:spacing w:after="0" w:line="100" w:lineRule="exact"/>
        <w:rPr>
          <w:sz w:val="20"/>
          <w:szCs w:val="20"/>
          <w:color w:val="auto"/>
        </w:rPr>
      </w:pPr>
    </w:p>
    <w:p>
      <w:pPr>
        <w:jc w:val="both"/>
        <w:ind w:right="440" w:firstLine="426"/>
        <w:spacing w:after="0" w:line="275" w:lineRule="auto"/>
        <w:rPr>
          <w:sz w:val="20"/>
          <w:szCs w:val="20"/>
          <w:color w:val="auto"/>
        </w:rPr>
      </w:pPr>
      <w:r>
        <w:rPr>
          <w:rFonts w:ascii="Arial" w:cs="Arial" w:eastAsia="Arial" w:hAnsi="Arial"/>
          <w:sz w:val="17"/>
          <w:szCs w:val="17"/>
          <w:b w:val="1"/>
          <w:bCs w:val="1"/>
          <w:color w:val="auto"/>
        </w:rPr>
        <w:t>14.2 Governing Law</w:t>
      </w:r>
      <w:r>
        <w:rPr>
          <w:rFonts w:ascii="Arial" w:cs="Arial" w:eastAsia="Arial" w:hAnsi="Arial"/>
          <w:sz w:val="17"/>
          <w:szCs w:val="17"/>
          <w:color w:val="auto"/>
        </w:rPr>
        <w:t>. This Agreement shall be governed by and construed under the laws of the State of New York, USA, without regard to</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of laws principles. The Parties hereby exclude from this Agreement the application of the United Nations Convention on Contracts for the International Sale of Goods.</w:t>
      </w:r>
    </w:p>
    <w:p>
      <w:pPr>
        <w:spacing w:after="0" w:line="59" w:lineRule="exact"/>
        <w:rPr>
          <w:sz w:val="20"/>
          <w:szCs w:val="20"/>
          <w:color w:val="auto"/>
        </w:rPr>
      </w:pPr>
    </w:p>
    <w:p>
      <w:pPr>
        <w:ind w:right="60" w:firstLine="426"/>
        <w:spacing w:after="0" w:line="264" w:lineRule="auto"/>
        <w:rPr>
          <w:sz w:val="20"/>
          <w:szCs w:val="20"/>
          <w:color w:val="auto"/>
        </w:rPr>
      </w:pPr>
      <w:r>
        <w:rPr>
          <w:rFonts w:ascii="Arial" w:cs="Arial" w:eastAsia="Arial" w:hAnsi="Arial"/>
          <w:sz w:val="17"/>
          <w:szCs w:val="17"/>
          <w:b w:val="1"/>
          <w:bCs w:val="1"/>
          <w:color w:val="auto"/>
        </w:rPr>
        <w:t>14.3 Assignment</w:t>
      </w:r>
      <w:r>
        <w:rPr>
          <w:rFonts w:ascii="Arial" w:cs="Arial" w:eastAsia="Arial" w:hAnsi="Arial"/>
          <w:sz w:val="17"/>
          <w:szCs w:val="17"/>
          <w:color w:val="auto"/>
        </w:rPr>
        <w:t>. Neither Party shall be allowed to assign or transfer any of its rights and/or obligations arising out of this Agreement, either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or in part, to any Third Party without prior written consent of the other Party, provided however, that each Party may assign this Agreement (a) to an Affiliate, or (b) to a Third Party that acquires, by merger, sale of assets or otherwise, all or substantially all of the equity of Keros or all or substantially all of the assets or business of Keros to which the subject matter of this Agreement relates. This Agreement shall also be binding upon the legal successors of the Parties. No assignment and transfer shall be valid and effective unless and until the assignee/transferee shall agree in writing to be bound by the provisions of this Agreement.</w:t>
      </w:r>
    </w:p>
    <w:p>
      <w:pPr>
        <w:spacing w:after="0" w:line="67" w:lineRule="exact"/>
        <w:rPr>
          <w:sz w:val="20"/>
          <w:szCs w:val="20"/>
          <w:color w:val="auto"/>
        </w:rPr>
      </w:pPr>
    </w:p>
    <w:p>
      <w:pPr>
        <w:jc w:val="both"/>
        <w:ind w:right="120" w:firstLine="426"/>
        <w:spacing w:after="0" w:line="269" w:lineRule="auto"/>
        <w:rPr>
          <w:sz w:val="20"/>
          <w:szCs w:val="20"/>
          <w:color w:val="auto"/>
        </w:rPr>
      </w:pPr>
      <w:r>
        <w:rPr>
          <w:rFonts w:ascii="Arial" w:cs="Arial" w:eastAsia="Arial" w:hAnsi="Arial"/>
          <w:sz w:val="17"/>
          <w:szCs w:val="17"/>
          <w:b w:val="1"/>
          <w:bCs w:val="1"/>
          <w:color w:val="auto"/>
        </w:rPr>
        <w:t>14.4 Force Majeure</w:t>
      </w:r>
      <w:r>
        <w:rPr>
          <w:rFonts w:ascii="Arial" w:cs="Arial" w:eastAsia="Arial" w:hAnsi="Arial"/>
          <w:sz w:val="17"/>
          <w:szCs w:val="17"/>
          <w:color w:val="auto"/>
        </w:rPr>
        <w:t>. Neither Party shall be deemed to have breached this Agreement for failure to perform its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such failure results from causes beyond the reasonable control of the affected Party, such causes including acts of God, earthquakes, fires, floods, embargoes, wars, acts of terrorism, insurrections, riots, civil commotions, omissions or delays in action by any governmental authority, acts of a government</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60"/>
          </w:cols>
          <w:pgMar w:left="620" w:top="264" w:right="619" w:bottom="1440" w:gutter="0" w:footer="0" w:header="0"/>
        </w:sectPr>
      </w:pPr>
    </w:p>
    <w:bookmarkStart w:id="383" w:name="page384"/>
    <w:bookmarkEnd w:id="383"/>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6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or agency thereof and judicial orders or decrees. If a force majeure event occurs, the Party unable to perform shall promptly notify the other Party of the occurrence of such event, and the Parties shall meet (in person or telephonically) promptly thereafter to discuss the circumstances relating thereto. The Party unable to perform shall (a) provide reasonable status updates to the other Party from time to time; (b) use commercially reasonable efforts to mitigate any adverse consequences arising out of its failure to perform; and (c) resume performance as promptly as possible.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14.5 Animal Welfare</w:t>
      </w:r>
      <w:r>
        <w:rPr>
          <w:rFonts w:ascii="Arial" w:cs="Arial" w:eastAsia="Arial" w:hAnsi="Arial"/>
          <w:sz w:val="17"/>
          <w:szCs w:val="17"/>
          <w:color w:val="auto"/>
        </w:rPr>
        <w:t>.</w:t>
      </w:r>
    </w:p>
    <w:p>
      <w:pPr>
        <w:spacing w:after="0" w:line="124" w:lineRule="exact"/>
        <w:rPr>
          <w:sz w:val="20"/>
          <w:szCs w:val="20"/>
          <w:color w:val="auto"/>
        </w:rPr>
      </w:pPr>
    </w:p>
    <w:p>
      <w:pPr>
        <w:ind w:right="20" w:firstLine="957"/>
        <w:spacing w:after="0" w:line="282" w:lineRule="auto"/>
        <w:tabs>
          <w:tab w:leader="none" w:pos="1205" w:val="left"/>
        </w:tabs>
        <w:numPr>
          <w:ilvl w:val="0"/>
          <w:numId w:val="340"/>
        </w:numPr>
        <w:rPr>
          <w:rFonts w:ascii="Arial" w:cs="Arial" w:eastAsia="Arial" w:hAnsi="Arial"/>
          <w:sz w:val="16"/>
          <w:szCs w:val="16"/>
          <w:b w:val="1"/>
          <w:bCs w:val="1"/>
          <w:color w:val="auto"/>
        </w:rPr>
      </w:pPr>
      <w:r>
        <w:rPr>
          <w:rFonts w:ascii="Arial" w:cs="Arial" w:eastAsia="Arial" w:hAnsi="Arial"/>
          <w:sz w:val="16"/>
          <w:szCs w:val="16"/>
          <w:color w:val="auto"/>
        </w:rPr>
        <w:t xml:space="preserve">Keros certifies that it is regularly engaged in conducting tests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Further, Keros certifies that in the Research Collaboration, the Ligand Traps will be used by it only for tests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laboratory research animals pursuant to the Research Plan and will not be administered to humans. The Parties agree to ensure high welfare standards for experimental animals. Keros acknowledges that it has read and understood the Novo Nordisk Principles for the Use of Animals attached hereto as Exhibit E and agrees to adhere to and comply with these obligations. Keros must promptly notify Novo Nordisk in the event of any unexpected issues in relation to animal welfare or bioethical concerns that occur under the Research Collaboration during the Collaboration Term. The Parties agree to collaborate to address any such issues and concerns.</w:t>
      </w:r>
    </w:p>
    <w:p>
      <w:pPr>
        <w:spacing w:after="0" w:line="60" w:lineRule="exact"/>
        <w:rPr>
          <w:rFonts w:ascii="Arial" w:cs="Arial" w:eastAsia="Arial" w:hAnsi="Arial"/>
          <w:sz w:val="16"/>
          <w:szCs w:val="16"/>
          <w:b w:val="1"/>
          <w:bCs w:val="1"/>
          <w:color w:val="auto"/>
        </w:rPr>
      </w:pPr>
    </w:p>
    <w:p>
      <w:pPr>
        <w:ind w:right="260" w:firstLine="957"/>
        <w:spacing w:after="0" w:line="272" w:lineRule="auto"/>
        <w:tabs>
          <w:tab w:leader="none" w:pos="1215" w:val="left"/>
        </w:tabs>
        <w:numPr>
          <w:ilvl w:val="0"/>
          <w:numId w:val="340"/>
        </w:numPr>
        <w:rPr>
          <w:rFonts w:ascii="Arial" w:cs="Arial" w:eastAsia="Arial" w:hAnsi="Arial"/>
          <w:sz w:val="17"/>
          <w:szCs w:val="17"/>
          <w:b w:val="1"/>
          <w:bCs w:val="1"/>
          <w:color w:val="auto"/>
        </w:rPr>
      </w:pPr>
      <w:r>
        <w:rPr>
          <w:rFonts w:ascii="Arial" w:cs="Arial" w:eastAsia="Arial" w:hAnsi="Arial"/>
          <w:sz w:val="17"/>
          <w:szCs w:val="17"/>
          <w:color w:val="auto"/>
        </w:rPr>
        <w:t>Novo Nordisk i) will review the Research Plan and ii) may require an on-site animal welfare inspection prior to approval of the Research Plan. In the event that Novo Nordisk wishes to perform an animal welfare inspection during the Collaboration Term, Keros must give Novo Nordisk access to its site upon reasonable notice of no less than [***].</w:t>
      </w:r>
    </w:p>
    <w:p>
      <w:pPr>
        <w:spacing w:after="0" w:line="60" w:lineRule="exact"/>
        <w:rPr>
          <w:sz w:val="20"/>
          <w:szCs w:val="20"/>
          <w:color w:val="auto"/>
        </w:rPr>
      </w:pPr>
    </w:p>
    <w:p>
      <w:pPr>
        <w:ind w:right="80" w:firstLine="426"/>
        <w:spacing w:after="0" w:line="295" w:lineRule="auto"/>
        <w:rPr>
          <w:sz w:val="20"/>
          <w:szCs w:val="20"/>
          <w:color w:val="auto"/>
        </w:rPr>
      </w:pPr>
      <w:r>
        <w:rPr>
          <w:rFonts w:ascii="Arial" w:cs="Arial" w:eastAsia="Arial" w:hAnsi="Arial"/>
          <w:sz w:val="17"/>
          <w:szCs w:val="17"/>
          <w:b w:val="1"/>
          <w:bCs w:val="1"/>
          <w:color w:val="auto"/>
        </w:rPr>
        <w:t>14.6 Relationship of the Parties</w:t>
      </w:r>
      <w:r>
        <w:rPr>
          <w:rFonts w:ascii="Arial" w:cs="Arial" w:eastAsia="Arial" w:hAnsi="Arial"/>
          <w:sz w:val="17"/>
          <w:szCs w:val="17"/>
          <w:color w:val="auto"/>
        </w:rPr>
        <w:t>. The Parties are independent contractors, and nothing contained in this Agreement shall be deemed or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to create a partnership, joint venture, employment, franchise, agency or fiduciary relationship between the Parties.</w:t>
      </w:r>
    </w:p>
    <w:p>
      <w:pPr>
        <w:spacing w:after="0" w:line="42" w:lineRule="exact"/>
        <w:rPr>
          <w:sz w:val="20"/>
          <w:szCs w:val="20"/>
          <w:color w:val="auto"/>
        </w:rPr>
      </w:pPr>
    </w:p>
    <w:p>
      <w:pPr>
        <w:ind w:right="80" w:firstLine="426"/>
        <w:spacing w:after="0" w:line="269" w:lineRule="auto"/>
        <w:rPr>
          <w:sz w:val="20"/>
          <w:szCs w:val="20"/>
          <w:color w:val="auto"/>
        </w:rPr>
      </w:pPr>
      <w:r>
        <w:rPr>
          <w:rFonts w:ascii="Arial" w:cs="Arial" w:eastAsia="Arial" w:hAnsi="Arial"/>
          <w:sz w:val="17"/>
          <w:szCs w:val="17"/>
          <w:b w:val="1"/>
          <w:bCs w:val="1"/>
          <w:color w:val="auto"/>
        </w:rPr>
        <w:t>14.7 Amendment; Waiver</w:t>
      </w:r>
      <w:r>
        <w:rPr>
          <w:rFonts w:ascii="Arial" w:cs="Arial" w:eastAsia="Arial" w:hAnsi="Arial"/>
          <w:sz w:val="17"/>
          <w:szCs w:val="17"/>
          <w:color w:val="auto"/>
        </w:rPr>
        <w:t>. Except as otherwise expressly provided in this Agreement, no amendment to this Agreement shall be effective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writing and executed by an authorized representative of each Party. A Party’s failure to exercise, or delay in exercising, any right, power, privilege or remedy under this Agreement shall not (a) operate as a waiver thereof or (b) operate as a waiver of any other right, power, privilege or remedy. A waiver will be effective only upon the written consent of the Party granting such waiver.</w:t>
      </w:r>
    </w:p>
    <w:p>
      <w:pPr>
        <w:spacing w:after="0" w:line="63" w:lineRule="exact"/>
        <w:rPr>
          <w:sz w:val="20"/>
          <w:szCs w:val="20"/>
          <w:color w:val="auto"/>
        </w:rPr>
      </w:pPr>
    </w:p>
    <w:p>
      <w:pPr>
        <w:jc w:val="both"/>
        <w:ind w:right="60" w:firstLine="426"/>
        <w:spacing w:after="0" w:line="275" w:lineRule="auto"/>
        <w:rPr>
          <w:sz w:val="20"/>
          <w:szCs w:val="20"/>
          <w:color w:val="auto"/>
        </w:rPr>
      </w:pPr>
      <w:r>
        <w:rPr>
          <w:rFonts w:ascii="Arial" w:cs="Arial" w:eastAsia="Arial" w:hAnsi="Arial"/>
          <w:sz w:val="17"/>
          <w:szCs w:val="17"/>
          <w:b w:val="1"/>
          <w:bCs w:val="1"/>
          <w:color w:val="auto"/>
        </w:rPr>
        <w:t>14.8 Severability</w:t>
      </w:r>
      <w:r>
        <w:rPr>
          <w:rFonts w:ascii="Arial" w:cs="Arial" w:eastAsia="Arial" w:hAnsi="Arial"/>
          <w:sz w:val="17"/>
          <w:szCs w:val="17"/>
          <w:color w:val="auto"/>
        </w:rPr>
        <w:t>. If any of the provisions of this Agreement are held to be illegal, invalid or unenforceable, such illegal, invalid or unenforceable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shall be replaced by legal, valid and enforceable provisions that will achieve to the maximum extent possible the intent of the Parties, and the other provisions of this Agreement shall remain in full force and effect.</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60"/>
          </w:cols>
          <w:pgMar w:left="620" w:top="264" w:right="619" w:bottom="1440" w:gutter="0" w:footer="0" w:header="0"/>
        </w:sectPr>
      </w:pPr>
    </w:p>
    <w:bookmarkStart w:id="384" w:name="page385"/>
    <w:bookmarkEnd w:id="384"/>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right="100" w:firstLine="426"/>
        <w:spacing w:after="0" w:line="275" w:lineRule="auto"/>
        <w:rPr>
          <w:sz w:val="20"/>
          <w:szCs w:val="20"/>
          <w:color w:val="auto"/>
        </w:rPr>
      </w:pPr>
      <w:r>
        <w:rPr>
          <w:rFonts w:ascii="Arial" w:cs="Arial" w:eastAsia="Arial" w:hAnsi="Arial"/>
          <w:sz w:val="17"/>
          <w:szCs w:val="17"/>
          <w:b w:val="1"/>
          <w:bCs w:val="1"/>
          <w:color w:val="auto"/>
        </w:rPr>
        <w:t>14.9 Entire Agreement</w:t>
      </w:r>
      <w:r>
        <w:rPr>
          <w:rFonts w:ascii="Arial" w:cs="Arial" w:eastAsia="Arial" w:hAnsi="Arial"/>
          <w:sz w:val="17"/>
          <w:szCs w:val="17"/>
          <w:color w:val="auto"/>
        </w:rPr>
        <w:t>. This Agreement contains the entire understanding between the Parties with respect to the subject matter 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 and terminate all prior agreements, understandings and arrangements between the Parties with respect to such subject matter, whether written or oral.</w:t>
      </w:r>
    </w:p>
    <w:p>
      <w:pPr>
        <w:spacing w:after="0" w:line="59" w:lineRule="exact"/>
        <w:rPr>
          <w:sz w:val="20"/>
          <w:szCs w:val="20"/>
          <w:color w:val="auto"/>
        </w:rPr>
      </w:pPr>
    </w:p>
    <w:p>
      <w:pPr>
        <w:ind w:right="260" w:firstLine="426"/>
        <w:spacing w:after="0" w:line="275" w:lineRule="auto"/>
        <w:rPr>
          <w:sz w:val="20"/>
          <w:szCs w:val="20"/>
          <w:color w:val="auto"/>
        </w:rPr>
      </w:pPr>
      <w:r>
        <w:rPr>
          <w:rFonts w:ascii="Arial" w:cs="Arial" w:eastAsia="Arial" w:hAnsi="Arial"/>
          <w:sz w:val="17"/>
          <w:szCs w:val="17"/>
          <w:b w:val="1"/>
          <w:bCs w:val="1"/>
          <w:color w:val="auto"/>
        </w:rPr>
        <w:t>14.10 Counterparts</w:t>
      </w:r>
      <w:r>
        <w:rPr>
          <w:rFonts w:ascii="Arial" w:cs="Arial" w:eastAsia="Arial" w:hAnsi="Arial"/>
          <w:sz w:val="17"/>
          <w:szCs w:val="17"/>
          <w:color w:val="auto"/>
        </w:rPr>
        <w:t>. This Agreement may be executed in two (2) or more counterparts, each of which will be deemed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will constitute one and the same instrument. A pdf file contained in an email, of this Agreement, including the signature pages hereto, will be deemed to be an original.</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60"/>
          </w:cols>
          <w:pgMar w:left="620" w:top="264" w:right="619" w:bottom="1440" w:gutter="0" w:footer="0" w:header="0"/>
        </w:sectPr>
      </w:pPr>
    </w:p>
    <w:bookmarkStart w:id="385" w:name="page386"/>
    <w:bookmarkEnd w:id="385"/>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Agreement to be executed by their respective duly authorized representatives as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gridSpan w:val="2"/>
          </w:tcPr>
          <w:p>
            <w:pPr>
              <w:spacing w:after="0"/>
              <w:rPr>
                <w:sz w:val="20"/>
                <w:szCs w:val="20"/>
                <w:color w:val="auto"/>
              </w:rPr>
            </w:pPr>
            <w:r>
              <w:rPr>
                <w:rFonts w:ascii="Arial" w:cs="Arial" w:eastAsia="Arial" w:hAnsi="Arial"/>
                <w:sz w:val="17"/>
                <w:szCs w:val="17"/>
                <w:b w:val="1"/>
                <w:bCs w:val="1"/>
                <w:color w:val="auto"/>
              </w:rPr>
              <w:t>Keros Therapeutics, Inc.</w:t>
            </w:r>
          </w:p>
        </w:tc>
        <w:tc>
          <w:tcPr>
            <w:tcW w:w="5520" w:type="dxa"/>
            <w:vAlign w:val="bottom"/>
            <w:gridSpan w:val="2"/>
          </w:tcPr>
          <w:p>
            <w:pPr>
              <w:ind w:left="620"/>
              <w:spacing w:after="0"/>
              <w:rPr>
                <w:sz w:val="20"/>
                <w:szCs w:val="20"/>
                <w:color w:val="auto"/>
              </w:rPr>
            </w:pPr>
            <w:r>
              <w:rPr>
                <w:rFonts w:ascii="Arial" w:cs="Arial" w:eastAsia="Arial" w:hAnsi="Arial"/>
                <w:sz w:val="17"/>
                <w:szCs w:val="17"/>
                <w:b w:val="1"/>
                <w:bCs w:val="1"/>
                <w:color w:val="auto"/>
              </w:rPr>
              <w:t>Novo Nordisk A/S</w:t>
            </w:r>
          </w:p>
        </w:tc>
      </w:tr>
      <w:tr>
        <w:trPr>
          <w:trHeight w:val="418"/>
        </w:trPr>
        <w:tc>
          <w:tcPr>
            <w:tcW w:w="760" w:type="dxa"/>
            <w:vAlign w:val="bottom"/>
          </w:tcPr>
          <w:p>
            <w:pPr>
              <w:spacing w:after="0"/>
              <w:rPr>
                <w:sz w:val="20"/>
                <w:szCs w:val="20"/>
                <w:color w:val="auto"/>
              </w:rPr>
            </w:pPr>
            <w:r>
              <w:rPr>
                <w:rFonts w:ascii="Arial" w:cs="Arial" w:eastAsia="Arial" w:hAnsi="Arial"/>
                <w:sz w:val="17"/>
                <w:szCs w:val="17"/>
                <w:color w:val="auto"/>
              </w:rPr>
              <w:t>Signed:</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Jasbir S. Seehra</w:t>
            </w:r>
          </w:p>
        </w:tc>
        <w:tc>
          <w:tcPr>
            <w:tcW w:w="1360" w:type="dxa"/>
            <w:vAlign w:val="bottom"/>
          </w:tcPr>
          <w:p>
            <w:pPr>
              <w:ind w:left="620"/>
              <w:spacing w:after="0"/>
              <w:rPr>
                <w:sz w:val="20"/>
                <w:szCs w:val="20"/>
                <w:color w:val="auto"/>
              </w:rPr>
            </w:pPr>
            <w:r>
              <w:rPr>
                <w:rFonts w:ascii="Arial" w:cs="Arial" w:eastAsia="Arial" w:hAnsi="Arial"/>
                <w:sz w:val="17"/>
                <w:szCs w:val="17"/>
                <w:color w:val="auto"/>
              </w:rPr>
              <w:t>Signed:</w:t>
            </w: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Mads Krogsgaard Thomsen</w:t>
            </w:r>
          </w:p>
        </w:tc>
      </w:tr>
      <w:tr>
        <w:trPr>
          <w:trHeight w:val="203"/>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380" w:type="dxa"/>
            <w:vAlign w:val="bottom"/>
          </w:tcPr>
          <w:p>
            <w:pPr>
              <w:spacing w:after="0"/>
              <w:rPr>
                <w:sz w:val="20"/>
                <w:szCs w:val="20"/>
                <w:color w:val="auto"/>
              </w:rPr>
            </w:pPr>
            <w:r>
              <w:rPr>
                <w:rFonts w:ascii="Arial" w:cs="Arial" w:eastAsia="Arial" w:hAnsi="Arial"/>
                <w:sz w:val="17"/>
                <w:szCs w:val="17"/>
                <w:color w:val="auto"/>
              </w:rPr>
              <w:t>Jasbir S. Seehra</w:t>
            </w:r>
          </w:p>
        </w:tc>
        <w:tc>
          <w:tcPr>
            <w:tcW w:w="1360" w:type="dxa"/>
            <w:vAlign w:val="bottom"/>
          </w:tcPr>
          <w:p>
            <w:pPr>
              <w:ind w:left="620"/>
              <w:spacing w:after="0"/>
              <w:rPr>
                <w:sz w:val="20"/>
                <w:szCs w:val="20"/>
                <w:color w:val="auto"/>
              </w:rPr>
            </w:pPr>
            <w:r>
              <w:rPr>
                <w:rFonts w:ascii="Arial" w:cs="Arial" w:eastAsia="Arial" w:hAnsi="Arial"/>
                <w:sz w:val="17"/>
                <w:szCs w:val="17"/>
                <w:color w:val="auto"/>
              </w:rPr>
              <w:t>Name:</w:t>
            </w:r>
          </w:p>
        </w:tc>
        <w:tc>
          <w:tcPr>
            <w:tcW w:w="4160" w:type="dxa"/>
            <w:vAlign w:val="bottom"/>
          </w:tcPr>
          <w:p>
            <w:pPr>
              <w:spacing w:after="0"/>
              <w:rPr>
                <w:sz w:val="20"/>
                <w:szCs w:val="20"/>
                <w:color w:val="auto"/>
              </w:rPr>
            </w:pPr>
            <w:r>
              <w:rPr>
                <w:rFonts w:ascii="Arial" w:cs="Arial" w:eastAsia="Arial" w:hAnsi="Arial"/>
                <w:sz w:val="17"/>
                <w:szCs w:val="17"/>
                <w:color w:val="auto"/>
              </w:rPr>
              <w:t>Mads Krogsgaard Thomsen</w:t>
            </w:r>
          </w:p>
        </w:tc>
      </w:tr>
      <w:tr>
        <w:trPr>
          <w:trHeight w:val="209"/>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380" w:type="dxa"/>
            <w:vAlign w:val="bottom"/>
          </w:tcPr>
          <w:p>
            <w:pPr>
              <w:spacing w:after="0"/>
              <w:rPr>
                <w:sz w:val="20"/>
                <w:szCs w:val="20"/>
                <w:color w:val="auto"/>
              </w:rPr>
            </w:pPr>
            <w:r>
              <w:rPr>
                <w:rFonts w:ascii="Arial" w:cs="Arial" w:eastAsia="Arial" w:hAnsi="Arial"/>
                <w:sz w:val="17"/>
                <w:szCs w:val="17"/>
                <w:color w:val="auto"/>
              </w:rPr>
              <w:t>CEO</w:t>
            </w:r>
          </w:p>
        </w:tc>
        <w:tc>
          <w:tcPr>
            <w:tcW w:w="1360" w:type="dxa"/>
            <w:vAlign w:val="bottom"/>
          </w:tcPr>
          <w:p>
            <w:pPr>
              <w:ind w:left="620"/>
              <w:spacing w:after="0"/>
              <w:rPr>
                <w:sz w:val="20"/>
                <w:szCs w:val="20"/>
                <w:color w:val="auto"/>
              </w:rPr>
            </w:pPr>
            <w:r>
              <w:rPr>
                <w:rFonts w:ascii="Arial" w:cs="Arial" w:eastAsia="Arial" w:hAnsi="Arial"/>
                <w:sz w:val="17"/>
                <w:szCs w:val="17"/>
                <w:color w:val="auto"/>
              </w:rPr>
              <w:t>Title:</w:t>
            </w:r>
          </w:p>
        </w:tc>
        <w:tc>
          <w:tcPr>
            <w:tcW w:w="4160" w:type="dxa"/>
            <w:vAlign w:val="bottom"/>
          </w:tcPr>
          <w:p>
            <w:pPr>
              <w:spacing w:after="0"/>
              <w:rPr>
                <w:sz w:val="20"/>
                <w:szCs w:val="20"/>
                <w:color w:val="auto"/>
              </w:rPr>
            </w:pPr>
            <w:r>
              <w:rPr>
                <w:rFonts w:ascii="Arial" w:cs="Arial" w:eastAsia="Arial" w:hAnsi="Arial"/>
                <w:sz w:val="17"/>
                <w:szCs w:val="17"/>
                <w:color w:val="auto"/>
              </w:rPr>
              <w:t>Chief Science Officer</w:t>
            </w:r>
          </w:p>
        </w:tc>
      </w:tr>
      <w:tr>
        <w:trPr>
          <w:trHeight w:val="221"/>
        </w:trPr>
        <w:tc>
          <w:tcPr>
            <w:tcW w:w="7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Novo Nordisk NS</w:t>
            </w:r>
          </w:p>
        </w:tc>
      </w:tr>
      <w:tr>
        <w:trPr>
          <w:trHeight w:val="418"/>
        </w:trPr>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60" w:type="dxa"/>
            <w:vAlign w:val="bottom"/>
          </w:tcPr>
          <w:p>
            <w:pPr>
              <w:ind w:left="620"/>
              <w:spacing w:after="0"/>
              <w:rPr>
                <w:sz w:val="20"/>
                <w:szCs w:val="20"/>
                <w:color w:val="auto"/>
              </w:rPr>
            </w:pPr>
            <w:r>
              <w:rPr>
                <w:rFonts w:ascii="Arial" w:cs="Arial" w:eastAsia="Arial" w:hAnsi="Arial"/>
                <w:sz w:val="17"/>
                <w:szCs w:val="17"/>
                <w:color w:val="auto"/>
              </w:rPr>
              <w:t>Signed:</w:t>
            </w: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Lars Fruergaard Jørgensen</w:t>
            </w:r>
          </w:p>
        </w:tc>
      </w:tr>
      <w:tr>
        <w:trPr>
          <w:trHeight w:val="203"/>
        </w:trPr>
        <w:tc>
          <w:tcPr>
            <w:tcW w:w="7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360" w:type="dxa"/>
            <w:vAlign w:val="bottom"/>
          </w:tcPr>
          <w:p>
            <w:pPr>
              <w:ind w:left="620"/>
              <w:spacing w:after="0"/>
              <w:rPr>
                <w:sz w:val="20"/>
                <w:szCs w:val="20"/>
                <w:color w:val="auto"/>
              </w:rPr>
            </w:pPr>
            <w:r>
              <w:rPr>
                <w:rFonts w:ascii="Arial" w:cs="Arial" w:eastAsia="Arial" w:hAnsi="Arial"/>
                <w:sz w:val="17"/>
                <w:szCs w:val="17"/>
                <w:color w:val="auto"/>
              </w:rPr>
              <w:t>Name:</w:t>
            </w:r>
          </w:p>
        </w:tc>
        <w:tc>
          <w:tcPr>
            <w:tcW w:w="4160" w:type="dxa"/>
            <w:vAlign w:val="bottom"/>
          </w:tcPr>
          <w:p>
            <w:pPr>
              <w:spacing w:after="0"/>
              <w:rPr>
                <w:sz w:val="20"/>
                <w:szCs w:val="20"/>
                <w:color w:val="auto"/>
              </w:rPr>
            </w:pPr>
            <w:r>
              <w:rPr>
                <w:rFonts w:ascii="Arial" w:cs="Arial" w:eastAsia="Arial" w:hAnsi="Arial"/>
                <w:sz w:val="17"/>
                <w:szCs w:val="17"/>
                <w:color w:val="auto"/>
              </w:rPr>
              <w:t>Lars Fruergaard Jørgensen</w:t>
            </w:r>
          </w:p>
        </w:tc>
      </w:tr>
      <w:tr>
        <w:trPr>
          <w:trHeight w:val="209"/>
        </w:trPr>
        <w:tc>
          <w:tcPr>
            <w:tcW w:w="7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60" w:type="dxa"/>
            <w:vAlign w:val="bottom"/>
          </w:tcPr>
          <w:p>
            <w:pPr>
              <w:ind w:left="620"/>
              <w:spacing w:after="0"/>
              <w:rPr>
                <w:sz w:val="20"/>
                <w:szCs w:val="20"/>
                <w:color w:val="auto"/>
              </w:rPr>
            </w:pPr>
            <w:r>
              <w:rPr>
                <w:rFonts w:ascii="Arial" w:cs="Arial" w:eastAsia="Arial" w:hAnsi="Arial"/>
                <w:sz w:val="17"/>
                <w:szCs w:val="17"/>
                <w:color w:val="auto"/>
              </w:rPr>
              <w:t>Title:</w:t>
            </w:r>
          </w:p>
        </w:tc>
        <w:tc>
          <w:tcPr>
            <w:tcW w:w="4160" w:type="dxa"/>
            <w:vAlign w:val="bottom"/>
          </w:tcPr>
          <w:p>
            <w:pPr>
              <w:spacing w:after="0"/>
              <w:rPr>
                <w:sz w:val="20"/>
                <w:szCs w:val="20"/>
                <w:color w:val="auto"/>
              </w:rPr>
            </w:pPr>
            <w:r>
              <w:rPr>
                <w:rFonts w:ascii="Arial" w:cs="Arial" w:eastAsia="Arial" w:hAnsi="Arial"/>
                <w:sz w:val="17"/>
                <w:szCs w:val="17"/>
                <w:color w:val="auto"/>
              </w:rPr>
              <w:t>President &amp; CEO</w:t>
            </w:r>
          </w:p>
        </w:tc>
      </w:tr>
      <w:tr>
        <w:trPr>
          <w:trHeight w:val="221"/>
        </w:trPr>
        <w:tc>
          <w:tcPr>
            <w:tcW w:w="7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Novo Nordisk NS</w:t>
            </w:r>
          </w:p>
        </w:tc>
      </w:tr>
      <w:tr>
        <w:trPr>
          <w:trHeight w:val="352"/>
        </w:trPr>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7"/>
                <w:szCs w:val="17"/>
                <w:color w:val="auto"/>
              </w:rPr>
              <w:t>42.</w:t>
            </w:r>
          </w:p>
        </w:tc>
        <w:tc>
          <w:tcPr>
            <w:tcW w:w="4160" w:type="dxa"/>
            <w:vAlign w:val="bottom"/>
          </w:tcPr>
          <w:p>
            <w:pPr>
              <w:spacing w:after="0"/>
              <w:rPr>
                <w:sz w:val="24"/>
                <w:szCs w:val="24"/>
                <w:color w:val="auto"/>
              </w:rPr>
            </w:pPr>
          </w:p>
        </w:tc>
      </w:tr>
    </w:tbl>
    <w:p>
      <w:pPr>
        <w:sectPr>
          <w:pgSz w:w="11900" w:h="16838" w:orient="portrait"/>
          <w:cols w:equalWidth="0" w:num="1">
            <w:col w:w="10660"/>
          </w:cols>
          <w:pgMar w:left="620" w:top="264" w:right="6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A: EXISTING LIGAND TRAPS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Existing Ligand Traps are the following: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660"/>
          </w:cols>
          <w:pgMar w:left="620" w:top="264" w:right="619" w:bottom="1440" w:gutter="0" w:footer="0" w:header="0"/>
        </w:sectPr>
      </w:pPr>
    </w:p>
    <w:bookmarkStart w:id="387" w:name="page388"/>
    <w:bookmarkEnd w:id="387"/>
    <w:p>
      <w:pPr>
        <w:ind w:left="87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B: KEROS BACKGROUND PATENTS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Serial No. / Publication No. / Patent No.</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7"/>
              </w:rPr>
              <w:t>Territory</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Status</w:t>
            </w:r>
          </w:p>
        </w:tc>
      </w:tr>
      <w:tr>
        <w:trPr>
          <w:trHeight w:val="190"/>
        </w:trPr>
        <w:tc>
          <w:tcPr>
            <w:tcW w:w="20" w:type="dxa"/>
            <w:vAlign w:val="bottom"/>
          </w:tcPr>
          <w:p>
            <w:pPr>
              <w:spacing w:after="0"/>
              <w:rPr>
                <w:sz w:val="16"/>
                <w:szCs w:val="16"/>
                <w:color w:val="auto"/>
              </w:rPr>
            </w:pPr>
          </w:p>
        </w:tc>
        <w:tc>
          <w:tcPr>
            <w:tcW w:w="350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r>
      <w:tr>
        <w:trPr>
          <w:trHeight w:val="209"/>
        </w:trPr>
        <w:tc>
          <w:tcPr>
            <w:tcW w:w="352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352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0660"/>
          </w:cols>
          <w:pgMar w:left="620" w:top="264" w:right="6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Research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660"/>
          </w:cols>
          <w:pgMar w:left="620" w:top="264" w:right="619" w:bottom="1440" w:gutter="0" w:footer="0" w:header="0"/>
        </w:sectPr>
      </w:pPr>
    </w:p>
    <w:bookmarkStart w:id="389" w:name="page390"/>
    <w:bookmarkEnd w:id="38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New Ligand Traps Information package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660"/>
          </w:cols>
          <w:pgMar w:left="620" w:top="264" w:right="6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NOVO NORDISK POLICY FOR USE OF ANIMALS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Novo Nordisk considers the use of animals to be essential for the discovery, development and production of pharmaceutical and medical products.</w:t>
      </w:r>
    </w:p>
    <w:p>
      <w:pPr>
        <w:spacing w:after="0" w:line="234" w:lineRule="exact"/>
        <w:rPr>
          <w:sz w:val="20"/>
          <w:szCs w:val="20"/>
          <w:color w:val="auto"/>
        </w:rPr>
      </w:pPr>
    </w:p>
    <w:p>
      <w:pPr>
        <w:ind w:right="660"/>
        <w:spacing w:after="0" w:line="287" w:lineRule="auto"/>
        <w:rPr>
          <w:sz w:val="20"/>
          <w:szCs w:val="20"/>
          <w:color w:val="auto"/>
        </w:rPr>
      </w:pPr>
      <w:r>
        <w:rPr>
          <w:rFonts w:ascii="Arial" w:cs="Arial" w:eastAsia="Arial" w:hAnsi="Arial"/>
          <w:sz w:val="17"/>
          <w:szCs w:val="17"/>
          <w:color w:val="auto"/>
        </w:rPr>
        <w:t>Ethical considerations and animal welfare are given high priority at Novo Nordisk. As an integral part of our approach to animal testing, we are constantly looking for new ways to replace, reduce and refine the use of animals for testing.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Animals will be used only where no available and acceptable alternatives exist.</w:t>
      </w:r>
    </w:p>
    <w:p>
      <w:pPr>
        <w:spacing w:after="0" w:line="22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To ensure uniform standards, the following principles must be adhered to throughout Novo Nordisk and all our external collaborators including contract laboratories, research laboratories, partners and suppliers:</w:t>
      </w:r>
    </w:p>
    <w:p>
      <w:pPr>
        <w:spacing w:after="0" w:line="68" w:lineRule="exact"/>
        <w:rPr>
          <w:sz w:val="20"/>
          <w:szCs w:val="20"/>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All activities involving animals must be conducted strictly in accordance with present legislation</w:t>
      </w:r>
    </w:p>
    <w:p>
      <w:pPr>
        <w:spacing w:after="0" w:line="130" w:lineRule="exact"/>
        <w:rPr>
          <w:rFonts w:ascii="Arial" w:cs="Arial" w:eastAsia="Arial" w:hAnsi="Arial"/>
          <w:sz w:val="17"/>
          <w:szCs w:val="17"/>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Alternatives to animal experiments must be used whenever possible</w:t>
      </w:r>
    </w:p>
    <w:p>
      <w:pPr>
        <w:spacing w:after="0" w:line="130" w:lineRule="exact"/>
        <w:rPr>
          <w:rFonts w:ascii="Arial" w:cs="Arial" w:eastAsia="Arial" w:hAnsi="Arial"/>
          <w:sz w:val="17"/>
          <w:szCs w:val="17"/>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Transgenic animals may be used for testing and experiments when this model is justified</w:t>
      </w:r>
    </w:p>
    <w:p>
      <w:pPr>
        <w:spacing w:after="0" w:line="130" w:lineRule="exact"/>
        <w:rPr>
          <w:rFonts w:ascii="Arial" w:cs="Arial" w:eastAsia="Arial" w:hAnsi="Arial"/>
          <w:sz w:val="17"/>
          <w:szCs w:val="17"/>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Animals bred specifically for experimental purposes must be used unless special conditions are in evidence</w:t>
      </w:r>
    </w:p>
    <w:p>
      <w:pPr>
        <w:spacing w:after="0" w:line="130" w:lineRule="exact"/>
        <w:rPr>
          <w:rFonts w:ascii="Arial" w:cs="Arial" w:eastAsia="Arial" w:hAnsi="Arial"/>
          <w:sz w:val="17"/>
          <w:szCs w:val="17"/>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Housing, husbandry and transportation of animals must as a minimum comply with internationally approved standards</w:t>
      </w:r>
    </w:p>
    <w:p>
      <w:pPr>
        <w:spacing w:after="0" w:line="130" w:lineRule="exact"/>
        <w:rPr>
          <w:rFonts w:ascii="Arial" w:cs="Arial" w:eastAsia="Arial" w:hAnsi="Arial"/>
          <w:sz w:val="17"/>
          <w:szCs w:val="17"/>
          <w:color w:val="auto"/>
        </w:rPr>
      </w:pPr>
    </w:p>
    <w:p>
      <w:pPr>
        <w:ind w:left="1360" w:hanging="305"/>
        <w:spacing w:after="0"/>
        <w:tabs>
          <w:tab w:leader="none" w:pos="136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Housing conditions must take into consideration the special needs of the animal species in question</w:t>
      </w:r>
    </w:p>
    <w:p>
      <w:pPr>
        <w:spacing w:after="0" w:line="130" w:lineRule="exact"/>
        <w:rPr>
          <w:rFonts w:ascii="Arial" w:cs="Arial" w:eastAsia="Arial" w:hAnsi="Arial"/>
          <w:sz w:val="17"/>
          <w:szCs w:val="17"/>
          <w:color w:val="auto"/>
        </w:rPr>
      </w:pPr>
    </w:p>
    <w:p>
      <w:pPr>
        <w:ind w:left="1360" w:right="360" w:hanging="305"/>
        <w:spacing w:after="0" w:line="287" w:lineRule="auto"/>
        <w:tabs>
          <w:tab w:leader="none" w:pos="136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Housing, husbandry and care of animals must be undertaken by personnel having received adequate and relevant education. The level of education must be documented</w:t>
      </w:r>
    </w:p>
    <w:p>
      <w:pPr>
        <w:spacing w:after="0" w:line="67" w:lineRule="exact"/>
        <w:rPr>
          <w:rFonts w:ascii="Arial" w:cs="Arial" w:eastAsia="Arial" w:hAnsi="Arial"/>
          <w:sz w:val="17"/>
          <w:szCs w:val="17"/>
          <w:color w:val="auto"/>
        </w:rPr>
      </w:pPr>
    </w:p>
    <w:p>
      <w:pPr>
        <w:ind w:left="1360" w:hanging="305"/>
        <w:spacing w:after="0"/>
        <w:tabs>
          <w:tab w:leader="none" w:pos="136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Health control should be supervised by a veterinary officer experienced in regard to laboratory animals</w:t>
      </w:r>
    </w:p>
    <w:p>
      <w:pPr>
        <w:spacing w:after="0" w:line="130" w:lineRule="exact"/>
        <w:rPr>
          <w:rFonts w:ascii="Arial" w:cs="Arial" w:eastAsia="Arial" w:hAnsi="Arial"/>
          <w:sz w:val="17"/>
          <w:szCs w:val="17"/>
          <w:color w:val="auto"/>
        </w:rPr>
      </w:pPr>
    </w:p>
    <w:p>
      <w:pPr>
        <w:ind w:left="1360" w:hanging="305"/>
        <w:spacing w:after="0"/>
        <w:tabs>
          <w:tab w:leader="none" w:pos="136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Transportation of animals must be as lenient as possible, taking into consideration the special needs of the animal species in question</w:t>
      </w:r>
    </w:p>
    <w:p>
      <w:pPr>
        <w:spacing w:after="0" w:line="153" w:lineRule="exact"/>
        <w:rPr>
          <w:rFonts w:ascii="Arial" w:cs="Arial" w:eastAsia="Arial" w:hAnsi="Arial"/>
          <w:sz w:val="15"/>
          <w:szCs w:val="15"/>
          <w:color w:val="auto"/>
        </w:rPr>
      </w:pPr>
    </w:p>
    <w:p>
      <w:pPr>
        <w:ind w:left="940" w:hanging="420"/>
        <w:spacing w:after="0"/>
        <w:tabs>
          <w:tab w:leader="none" w:pos="94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All precautions must be taken to reduce suffering and distress</w:t>
      </w:r>
    </w:p>
    <w:p>
      <w:pPr>
        <w:spacing w:after="0" w:line="130" w:lineRule="exact"/>
        <w:rPr>
          <w:rFonts w:ascii="Arial" w:cs="Arial" w:eastAsia="Arial" w:hAnsi="Arial"/>
          <w:sz w:val="17"/>
          <w:szCs w:val="17"/>
          <w:color w:val="auto"/>
        </w:rPr>
      </w:pPr>
    </w:p>
    <w:p>
      <w:pPr>
        <w:ind w:left="1360" w:hanging="305"/>
        <w:spacing w:after="0"/>
        <w:tabs>
          <w:tab w:leader="none" w:pos="136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Procedures for monitoring and evaluation of the well-being of the animals as well as treatment must be implemented</w:t>
      </w:r>
    </w:p>
    <w:p>
      <w:pPr>
        <w:spacing w:after="0" w:line="2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Novo Nordisk records are kept updated on the type of experiment, animal species and number of animals used in accordance with the authorities’ and the requirements of Novo Nordisk. The number of animals used internally as well as at facilities run by external collaborators will be published in the Annual Novo Nordisk Sustainability Report.</w:t>
      </w:r>
    </w:p>
    <w:p>
      <w:pPr>
        <w:sectPr>
          <w:pgSz w:w="11900" w:h="16838" w:orient="portrait"/>
          <w:cols w:equalWidth="0" w:num="1">
            <w:col w:w="10660"/>
          </w:cols>
          <w:pgMar w:left="620" w:top="264" w:right="619" w:bottom="1440" w:gutter="0" w:footer="0" w:header="0"/>
        </w:sectPr>
      </w:pPr>
    </w:p>
    <w:bookmarkStart w:id="391" w:name="page392"/>
    <w:bookmarkEnd w:id="39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EXECUTION VERSION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F: NOVO NORDISK A/S’ INVOICING INSTRUCTIONS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660"/>
          </w:cols>
          <w:pgMar w:left="620" w:top="264" w:right="619" w:bottom="1440" w:gutter="0" w:footer="0" w:header="0"/>
        </w:sectPr>
      </w:pPr>
    </w:p>
    <w:bookmarkStart w:id="392" w:name="page393"/>
    <w:bookmarkEnd w:id="392"/>
    <w:p>
      <w:pPr>
        <w:jc w:val="right"/>
        <w:spacing w:after="0"/>
        <w:rPr>
          <w:sz w:val="20"/>
          <w:szCs w:val="20"/>
          <w:color w:val="auto"/>
        </w:rPr>
      </w:pPr>
      <w:r>
        <w:rPr>
          <w:rFonts w:ascii="Arial" w:cs="Arial" w:eastAsia="Arial" w:hAnsi="Arial"/>
          <w:sz w:val="17"/>
          <w:szCs w:val="17"/>
          <w:b w:val="1"/>
          <w:bCs w:val="1"/>
          <w:color w:val="auto"/>
        </w:rPr>
        <w:t>Exhibit 10.12</w:t>
      </w:r>
    </w:p>
    <w:p>
      <w:pPr>
        <w:spacing w:after="0" w:line="228"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Keros Therapeutics, Inc., Tenant</w:t>
      </w:r>
    </w:p>
    <w:p>
      <w:pPr>
        <w:spacing w:after="0" w:line="222"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LEDGEMONT TECHNOLOGY CENTER</w:t>
      </w:r>
    </w:p>
    <w:p>
      <w:pPr>
        <w:spacing w:after="0" w:line="23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LEXINGTON, MA</w:t>
      </w:r>
    </w:p>
    <w:p>
      <w:pPr>
        <w:sectPr>
          <w:pgSz w:w="11900" w:h="16838" w:orient="portrait"/>
          <w:cols w:equalWidth="0" w:num="1">
            <w:col w:w="9840"/>
          </w:cols>
          <w:pgMar w:left="1440" w:top="121" w:right="61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19"/>
                <w:szCs w:val="19"/>
                <w:color w:val="auto"/>
              </w:rPr>
            </w:pPr>
          </w:p>
        </w:tc>
        <w:tc>
          <w:tcPr>
            <w:tcW w:w="7580" w:type="dxa"/>
            <w:vAlign w:val="bottom"/>
          </w:tcPr>
          <w:p>
            <w:pPr>
              <w:ind w:left="3980"/>
              <w:spacing w:after="0"/>
              <w:rPr>
                <w:sz w:val="20"/>
                <w:szCs w:val="20"/>
                <w:color w:val="auto"/>
              </w:rPr>
            </w:pPr>
            <w:r>
              <w:rPr>
                <w:rFonts w:ascii="Arial" w:cs="Arial" w:eastAsia="Arial" w:hAnsi="Arial"/>
                <w:sz w:val="17"/>
                <w:szCs w:val="17"/>
                <w:b w:val="1"/>
                <w:bCs w:val="1"/>
                <w:color w:val="auto"/>
              </w:rPr>
              <w:t>Table of Contents</w:t>
            </w:r>
          </w:p>
        </w:tc>
        <w:tc>
          <w:tcPr>
            <w:tcW w:w="2340" w:type="dxa"/>
            <w:vAlign w:val="bottom"/>
          </w:tcPr>
          <w:p>
            <w:pPr>
              <w:spacing w:after="0"/>
              <w:rPr>
                <w:sz w:val="19"/>
                <w:szCs w:val="19"/>
                <w:color w:val="auto"/>
              </w:rPr>
            </w:pPr>
          </w:p>
        </w:tc>
      </w:tr>
      <w:tr>
        <w:trPr>
          <w:trHeight w:val="366"/>
        </w:trPr>
        <w:tc>
          <w:tcPr>
            <w:tcW w:w="6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1"/>
        </w:trPr>
        <w:tc>
          <w:tcPr>
            <w:tcW w:w="8260" w:type="dxa"/>
            <w:vAlign w:val="bottom"/>
            <w:gridSpan w:val="2"/>
          </w:tcPr>
          <w:p>
            <w:pPr>
              <w:spacing w:after="0"/>
              <w:rPr>
                <w:sz w:val="20"/>
                <w:szCs w:val="20"/>
                <w:color w:val="auto"/>
              </w:rPr>
            </w:pPr>
            <w:r>
              <w:rPr>
                <w:rFonts w:ascii="Arial" w:cs="Arial" w:eastAsia="Arial" w:hAnsi="Arial"/>
                <w:sz w:val="17"/>
                <w:szCs w:val="17"/>
                <w:color w:val="auto"/>
              </w:rPr>
              <w:t>ARTICLE 1: BASIC TERMS</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2: PREMISES AND APPURTENANT RIGHTS</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2.01</w:t>
            </w:r>
          </w:p>
        </w:tc>
        <w:tc>
          <w:tcPr>
            <w:tcW w:w="7580" w:type="dxa"/>
            <w:vAlign w:val="bottom"/>
          </w:tcPr>
          <w:p>
            <w:pPr>
              <w:ind w:left="20"/>
              <w:spacing w:after="0"/>
              <w:rPr>
                <w:sz w:val="20"/>
                <w:szCs w:val="20"/>
                <w:color w:val="auto"/>
              </w:rPr>
            </w:pPr>
            <w:r>
              <w:rPr>
                <w:rFonts w:ascii="Arial" w:cs="Arial" w:eastAsia="Arial" w:hAnsi="Arial"/>
                <w:sz w:val="17"/>
                <w:szCs w:val="17"/>
                <w:color w:val="auto"/>
              </w:rPr>
              <w:t>Lease of Premises; Appurtenant Rights</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2.02</w:t>
            </w:r>
          </w:p>
        </w:tc>
        <w:tc>
          <w:tcPr>
            <w:tcW w:w="7580" w:type="dxa"/>
            <w:vAlign w:val="bottom"/>
          </w:tcPr>
          <w:p>
            <w:pPr>
              <w:ind w:left="20"/>
              <w:spacing w:after="0"/>
              <w:rPr>
                <w:sz w:val="20"/>
                <w:szCs w:val="20"/>
                <w:color w:val="auto"/>
              </w:rPr>
            </w:pPr>
            <w:r>
              <w:rPr>
                <w:rFonts w:ascii="Arial" w:cs="Arial" w:eastAsia="Arial" w:hAnsi="Arial"/>
                <w:sz w:val="17"/>
                <w:szCs w:val="17"/>
                <w:color w:val="auto"/>
              </w:rPr>
              <w:t>Roof License</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3: LEASE TERM</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3.01</w:t>
            </w:r>
          </w:p>
        </w:tc>
        <w:tc>
          <w:tcPr>
            <w:tcW w:w="7580" w:type="dxa"/>
            <w:vAlign w:val="bottom"/>
          </w:tcPr>
          <w:p>
            <w:pPr>
              <w:ind w:left="20"/>
              <w:spacing w:after="0"/>
              <w:rPr>
                <w:sz w:val="20"/>
                <w:szCs w:val="20"/>
                <w:color w:val="auto"/>
              </w:rPr>
            </w:pPr>
            <w:r>
              <w:rPr>
                <w:rFonts w:ascii="Arial" w:cs="Arial" w:eastAsia="Arial" w:hAnsi="Arial"/>
                <w:sz w:val="17"/>
                <w:szCs w:val="17"/>
                <w:color w:val="auto"/>
              </w:rPr>
              <w:t>Lease Term</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3.02</w:t>
            </w:r>
          </w:p>
        </w:tc>
        <w:tc>
          <w:tcPr>
            <w:tcW w:w="7580" w:type="dxa"/>
            <w:vAlign w:val="bottom"/>
          </w:tcPr>
          <w:p>
            <w:pPr>
              <w:ind w:left="20"/>
              <w:spacing w:after="0"/>
              <w:rPr>
                <w:sz w:val="20"/>
                <w:szCs w:val="20"/>
                <w:color w:val="auto"/>
              </w:rPr>
            </w:pPr>
            <w:r>
              <w:rPr>
                <w:rFonts w:ascii="Arial" w:cs="Arial" w:eastAsia="Arial" w:hAnsi="Arial"/>
                <w:sz w:val="17"/>
                <w:szCs w:val="17"/>
                <w:color w:val="auto"/>
              </w:rPr>
              <w:t>Hold Over</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3.03</w:t>
            </w:r>
          </w:p>
        </w:tc>
        <w:tc>
          <w:tcPr>
            <w:tcW w:w="7580" w:type="dxa"/>
            <w:vAlign w:val="bottom"/>
          </w:tcPr>
          <w:p>
            <w:pPr>
              <w:ind w:left="20"/>
              <w:spacing w:after="0"/>
              <w:rPr>
                <w:sz w:val="20"/>
                <w:szCs w:val="20"/>
                <w:color w:val="auto"/>
              </w:rPr>
            </w:pPr>
            <w:r>
              <w:rPr>
                <w:rFonts w:ascii="Arial" w:cs="Arial" w:eastAsia="Arial" w:hAnsi="Arial"/>
                <w:sz w:val="17"/>
                <w:szCs w:val="17"/>
                <w:color w:val="auto"/>
              </w:rPr>
              <w:t>Right to Extend</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4: RENT</w:t>
            </w:r>
          </w:p>
        </w:tc>
        <w:tc>
          <w:tcPr>
            <w:tcW w:w="2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4.01</w:t>
            </w:r>
          </w:p>
        </w:tc>
        <w:tc>
          <w:tcPr>
            <w:tcW w:w="7580" w:type="dxa"/>
            <w:vAlign w:val="bottom"/>
          </w:tcPr>
          <w:p>
            <w:pPr>
              <w:ind w:left="20"/>
              <w:spacing w:after="0"/>
              <w:rPr>
                <w:sz w:val="20"/>
                <w:szCs w:val="20"/>
                <w:color w:val="auto"/>
              </w:rPr>
            </w:pPr>
            <w:r>
              <w:rPr>
                <w:rFonts w:ascii="Arial" w:cs="Arial" w:eastAsia="Arial" w:hAnsi="Arial"/>
                <w:sz w:val="17"/>
                <w:szCs w:val="17"/>
                <w:color w:val="auto"/>
              </w:rPr>
              <w:t>Base Rent</w:t>
            </w:r>
          </w:p>
        </w:tc>
        <w:tc>
          <w:tcPr>
            <w:tcW w:w="2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4.02</w:t>
            </w:r>
          </w:p>
        </w:tc>
        <w:tc>
          <w:tcPr>
            <w:tcW w:w="7580" w:type="dxa"/>
            <w:vAlign w:val="bottom"/>
          </w:tcPr>
          <w:p>
            <w:pPr>
              <w:ind w:left="20"/>
              <w:spacing w:after="0"/>
              <w:rPr>
                <w:sz w:val="20"/>
                <w:szCs w:val="20"/>
                <w:color w:val="auto"/>
              </w:rPr>
            </w:pPr>
            <w:r>
              <w:rPr>
                <w:rFonts w:ascii="Arial" w:cs="Arial" w:eastAsia="Arial" w:hAnsi="Arial"/>
                <w:sz w:val="17"/>
                <w:szCs w:val="17"/>
                <w:color w:val="auto"/>
              </w:rPr>
              <w:t>Additional Rent</w:t>
            </w:r>
          </w:p>
        </w:tc>
        <w:tc>
          <w:tcPr>
            <w:tcW w:w="2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4.03</w:t>
            </w:r>
          </w:p>
        </w:tc>
        <w:tc>
          <w:tcPr>
            <w:tcW w:w="7580" w:type="dxa"/>
            <w:vAlign w:val="bottom"/>
          </w:tcPr>
          <w:p>
            <w:pPr>
              <w:ind w:left="20"/>
              <w:spacing w:after="0"/>
              <w:rPr>
                <w:sz w:val="20"/>
                <w:szCs w:val="20"/>
                <w:color w:val="auto"/>
              </w:rPr>
            </w:pPr>
            <w:r>
              <w:rPr>
                <w:rFonts w:ascii="Arial" w:cs="Arial" w:eastAsia="Arial" w:hAnsi="Arial"/>
                <w:sz w:val="17"/>
                <w:szCs w:val="17"/>
                <w:color w:val="auto"/>
              </w:rPr>
              <w:t>Late Charge</w:t>
            </w:r>
          </w:p>
        </w:tc>
        <w:tc>
          <w:tcPr>
            <w:tcW w:w="2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4.04</w:t>
            </w:r>
          </w:p>
        </w:tc>
        <w:tc>
          <w:tcPr>
            <w:tcW w:w="7580" w:type="dxa"/>
            <w:vAlign w:val="bottom"/>
          </w:tcPr>
          <w:p>
            <w:pPr>
              <w:ind w:left="20"/>
              <w:spacing w:after="0"/>
              <w:rPr>
                <w:sz w:val="20"/>
                <w:szCs w:val="20"/>
                <w:color w:val="auto"/>
              </w:rPr>
            </w:pPr>
            <w:r>
              <w:rPr>
                <w:rFonts w:ascii="Arial" w:cs="Arial" w:eastAsia="Arial" w:hAnsi="Arial"/>
                <w:sz w:val="17"/>
                <w:szCs w:val="17"/>
                <w:color w:val="auto"/>
              </w:rPr>
              <w:t>Interest</w:t>
            </w:r>
          </w:p>
        </w:tc>
        <w:tc>
          <w:tcPr>
            <w:tcW w:w="2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4.05</w:t>
            </w:r>
          </w:p>
        </w:tc>
        <w:tc>
          <w:tcPr>
            <w:tcW w:w="7580" w:type="dxa"/>
            <w:vAlign w:val="bottom"/>
          </w:tcPr>
          <w:p>
            <w:pPr>
              <w:ind w:left="20"/>
              <w:spacing w:after="0"/>
              <w:rPr>
                <w:sz w:val="20"/>
                <w:szCs w:val="20"/>
                <w:color w:val="auto"/>
              </w:rPr>
            </w:pPr>
            <w:r>
              <w:rPr>
                <w:rFonts w:ascii="Arial" w:cs="Arial" w:eastAsia="Arial" w:hAnsi="Arial"/>
                <w:sz w:val="17"/>
                <w:szCs w:val="17"/>
                <w:color w:val="auto"/>
              </w:rPr>
              <w:t>Method of Payment</w:t>
            </w:r>
          </w:p>
        </w:tc>
        <w:tc>
          <w:tcPr>
            <w:tcW w:w="2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4.06</w:t>
            </w:r>
          </w:p>
        </w:tc>
        <w:tc>
          <w:tcPr>
            <w:tcW w:w="7580" w:type="dxa"/>
            <w:vAlign w:val="bottom"/>
          </w:tcPr>
          <w:p>
            <w:pPr>
              <w:ind w:left="20"/>
              <w:spacing w:after="0"/>
              <w:rPr>
                <w:sz w:val="20"/>
                <w:szCs w:val="20"/>
                <w:color w:val="auto"/>
              </w:rPr>
            </w:pPr>
            <w:r>
              <w:rPr>
                <w:rFonts w:ascii="Arial" w:cs="Arial" w:eastAsia="Arial" w:hAnsi="Arial"/>
                <w:sz w:val="17"/>
                <w:szCs w:val="17"/>
                <w:color w:val="auto"/>
              </w:rPr>
              <w:t>Tenant’s Pro Rata Share</w:t>
            </w:r>
          </w:p>
        </w:tc>
        <w:tc>
          <w:tcPr>
            <w:tcW w:w="2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5: TAXES</w:t>
            </w:r>
          </w:p>
        </w:tc>
        <w:tc>
          <w:tcPr>
            <w:tcW w:w="2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5.01</w:t>
            </w:r>
          </w:p>
        </w:tc>
        <w:tc>
          <w:tcPr>
            <w:tcW w:w="7580" w:type="dxa"/>
            <w:vAlign w:val="bottom"/>
          </w:tcPr>
          <w:p>
            <w:pPr>
              <w:ind w:left="20"/>
              <w:spacing w:after="0"/>
              <w:rPr>
                <w:sz w:val="20"/>
                <w:szCs w:val="20"/>
                <w:color w:val="auto"/>
              </w:rPr>
            </w:pPr>
            <w:r>
              <w:rPr>
                <w:rFonts w:ascii="Arial" w:cs="Arial" w:eastAsia="Arial" w:hAnsi="Arial"/>
                <w:sz w:val="17"/>
                <w:szCs w:val="17"/>
                <w:color w:val="auto"/>
              </w:rPr>
              <w:t>Taxes</w:t>
            </w:r>
          </w:p>
        </w:tc>
        <w:tc>
          <w:tcPr>
            <w:tcW w:w="2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5.02</w:t>
            </w:r>
          </w:p>
        </w:tc>
        <w:tc>
          <w:tcPr>
            <w:tcW w:w="7580" w:type="dxa"/>
            <w:vAlign w:val="bottom"/>
          </w:tcPr>
          <w:p>
            <w:pPr>
              <w:ind w:left="20"/>
              <w:spacing w:after="0"/>
              <w:rPr>
                <w:sz w:val="20"/>
                <w:szCs w:val="20"/>
                <w:color w:val="auto"/>
              </w:rPr>
            </w:pPr>
            <w:r>
              <w:rPr>
                <w:rFonts w:ascii="Arial" w:cs="Arial" w:eastAsia="Arial" w:hAnsi="Arial"/>
                <w:sz w:val="17"/>
                <w:szCs w:val="17"/>
                <w:color w:val="auto"/>
              </w:rPr>
              <w:t>Definition of “Taxes.”</w:t>
            </w:r>
          </w:p>
        </w:tc>
        <w:tc>
          <w:tcPr>
            <w:tcW w:w="2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5.03</w:t>
            </w:r>
          </w:p>
        </w:tc>
        <w:tc>
          <w:tcPr>
            <w:tcW w:w="7580" w:type="dxa"/>
            <w:vAlign w:val="bottom"/>
          </w:tcPr>
          <w:p>
            <w:pPr>
              <w:ind w:left="20"/>
              <w:spacing w:after="0"/>
              <w:rPr>
                <w:sz w:val="20"/>
                <w:szCs w:val="20"/>
                <w:color w:val="auto"/>
              </w:rPr>
            </w:pPr>
            <w:r>
              <w:rPr>
                <w:rFonts w:ascii="Arial" w:cs="Arial" w:eastAsia="Arial" w:hAnsi="Arial"/>
                <w:sz w:val="17"/>
                <w:szCs w:val="17"/>
                <w:color w:val="auto"/>
              </w:rPr>
              <w:t>Personal Property Taxes</w:t>
            </w:r>
          </w:p>
        </w:tc>
        <w:tc>
          <w:tcPr>
            <w:tcW w:w="2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6: UTILITIES AND LANDLORD SERVICES</w:t>
            </w:r>
          </w:p>
        </w:tc>
        <w:tc>
          <w:tcPr>
            <w:tcW w:w="2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6.01</w:t>
            </w:r>
          </w:p>
        </w:tc>
        <w:tc>
          <w:tcPr>
            <w:tcW w:w="7580" w:type="dxa"/>
            <w:vAlign w:val="bottom"/>
          </w:tcPr>
          <w:p>
            <w:pPr>
              <w:ind w:left="20"/>
              <w:spacing w:after="0"/>
              <w:rPr>
                <w:sz w:val="20"/>
                <w:szCs w:val="20"/>
                <w:color w:val="auto"/>
              </w:rPr>
            </w:pPr>
            <w:r>
              <w:rPr>
                <w:rFonts w:ascii="Arial" w:cs="Arial" w:eastAsia="Arial" w:hAnsi="Arial"/>
                <w:sz w:val="17"/>
                <w:szCs w:val="17"/>
                <w:color w:val="auto"/>
              </w:rPr>
              <w:t>Utility Services</w:t>
            </w:r>
          </w:p>
        </w:tc>
        <w:tc>
          <w:tcPr>
            <w:tcW w:w="2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6.02</w:t>
            </w:r>
          </w:p>
        </w:tc>
        <w:tc>
          <w:tcPr>
            <w:tcW w:w="7580" w:type="dxa"/>
            <w:vAlign w:val="bottom"/>
          </w:tcPr>
          <w:p>
            <w:pPr>
              <w:ind w:left="20"/>
              <w:spacing w:after="0"/>
              <w:rPr>
                <w:sz w:val="20"/>
                <w:szCs w:val="20"/>
                <w:color w:val="auto"/>
              </w:rPr>
            </w:pPr>
            <w:r>
              <w:rPr>
                <w:rFonts w:ascii="Arial" w:cs="Arial" w:eastAsia="Arial" w:hAnsi="Arial"/>
                <w:sz w:val="17"/>
                <w:szCs w:val="17"/>
                <w:color w:val="auto"/>
              </w:rPr>
              <w:t>Landlord Services</w:t>
            </w:r>
          </w:p>
        </w:tc>
        <w:tc>
          <w:tcPr>
            <w:tcW w:w="2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6.03</w:t>
            </w:r>
          </w:p>
        </w:tc>
        <w:tc>
          <w:tcPr>
            <w:tcW w:w="7580" w:type="dxa"/>
            <w:vAlign w:val="bottom"/>
          </w:tcPr>
          <w:p>
            <w:pPr>
              <w:ind w:left="20"/>
              <w:spacing w:after="0"/>
              <w:rPr>
                <w:sz w:val="20"/>
                <w:szCs w:val="20"/>
                <w:color w:val="auto"/>
              </w:rPr>
            </w:pPr>
            <w:r>
              <w:rPr>
                <w:rFonts w:ascii="Arial" w:cs="Arial" w:eastAsia="Arial" w:hAnsi="Arial"/>
                <w:sz w:val="17"/>
                <w:szCs w:val="17"/>
                <w:color w:val="auto"/>
              </w:rPr>
              <w:t>Excess Usage by Tenant</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7: INSURANCE</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7.01</w:t>
            </w:r>
          </w:p>
        </w:tc>
        <w:tc>
          <w:tcPr>
            <w:tcW w:w="7580" w:type="dxa"/>
            <w:vAlign w:val="bottom"/>
          </w:tcPr>
          <w:p>
            <w:pPr>
              <w:ind w:left="20"/>
              <w:spacing w:after="0"/>
              <w:rPr>
                <w:sz w:val="20"/>
                <w:szCs w:val="20"/>
                <w:color w:val="auto"/>
              </w:rPr>
            </w:pPr>
            <w:r>
              <w:rPr>
                <w:rFonts w:ascii="Arial" w:cs="Arial" w:eastAsia="Arial" w:hAnsi="Arial"/>
                <w:sz w:val="17"/>
                <w:szCs w:val="17"/>
                <w:color w:val="auto"/>
              </w:rPr>
              <w:t>Coverages</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7.02</w:t>
            </w:r>
          </w:p>
        </w:tc>
        <w:tc>
          <w:tcPr>
            <w:tcW w:w="7580" w:type="dxa"/>
            <w:vAlign w:val="bottom"/>
          </w:tcPr>
          <w:p>
            <w:pPr>
              <w:ind w:left="20"/>
              <w:spacing w:after="0"/>
              <w:rPr>
                <w:sz w:val="20"/>
                <w:szCs w:val="20"/>
                <w:color w:val="auto"/>
              </w:rPr>
            </w:pPr>
            <w:r>
              <w:rPr>
                <w:rFonts w:ascii="Arial" w:cs="Arial" w:eastAsia="Arial" w:hAnsi="Arial"/>
                <w:sz w:val="17"/>
                <w:szCs w:val="17"/>
                <w:color w:val="auto"/>
              </w:rPr>
              <w:t>Avoid Action Increasing Rates</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7.03</w:t>
            </w:r>
          </w:p>
        </w:tc>
        <w:tc>
          <w:tcPr>
            <w:tcW w:w="7580" w:type="dxa"/>
            <w:vAlign w:val="bottom"/>
          </w:tcPr>
          <w:p>
            <w:pPr>
              <w:ind w:left="20"/>
              <w:spacing w:after="0"/>
              <w:rPr>
                <w:sz w:val="20"/>
                <w:szCs w:val="20"/>
                <w:color w:val="auto"/>
              </w:rPr>
            </w:pPr>
            <w:r>
              <w:rPr>
                <w:rFonts w:ascii="Arial" w:cs="Arial" w:eastAsia="Arial" w:hAnsi="Arial"/>
                <w:sz w:val="17"/>
                <w:szCs w:val="17"/>
                <w:color w:val="auto"/>
              </w:rPr>
              <w:t>Waiver of Subrogation</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7.04</w:t>
            </w:r>
          </w:p>
        </w:tc>
        <w:tc>
          <w:tcPr>
            <w:tcW w:w="7580" w:type="dxa"/>
            <w:vAlign w:val="bottom"/>
          </w:tcPr>
          <w:p>
            <w:pPr>
              <w:ind w:left="20"/>
              <w:spacing w:after="0"/>
              <w:rPr>
                <w:sz w:val="20"/>
                <w:szCs w:val="20"/>
                <w:color w:val="auto"/>
              </w:rPr>
            </w:pPr>
            <w:r>
              <w:rPr>
                <w:rFonts w:ascii="Arial" w:cs="Arial" w:eastAsia="Arial" w:hAnsi="Arial"/>
                <w:sz w:val="17"/>
                <w:szCs w:val="17"/>
                <w:color w:val="auto"/>
              </w:rPr>
              <w:t>Landlord’s Insurance</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8: OPERATING EXPENSES</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3"/>
        </w:trPr>
        <w:tc>
          <w:tcPr>
            <w:tcW w:w="680" w:type="dxa"/>
            <w:vAlign w:val="bottom"/>
          </w:tcPr>
          <w:p>
            <w:pPr>
              <w:ind w:left="340"/>
              <w:spacing w:after="0"/>
              <w:rPr>
                <w:sz w:val="20"/>
                <w:szCs w:val="20"/>
                <w:color w:val="auto"/>
              </w:rPr>
            </w:pPr>
            <w:r>
              <w:rPr>
                <w:rFonts w:ascii="Arial" w:cs="Arial" w:eastAsia="Arial" w:hAnsi="Arial"/>
                <w:sz w:val="17"/>
                <w:szCs w:val="17"/>
                <w:color w:val="auto"/>
                <w:w w:val="96"/>
              </w:rPr>
              <w:t>8.01</w:t>
            </w:r>
          </w:p>
        </w:tc>
        <w:tc>
          <w:tcPr>
            <w:tcW w:w="7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9: USE OF PREMISES</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01"/>
        </w:trPr>
        <w:tc>
          <w:tcPr>
            <w:tcW w:w="680" w:type="dxa"/>
            <w:vAlign w:val="bottom"/>
          </w:tcPr>
          <w:p>
            <w:pPr>
              <w:ind w:left="340"/>
              <w:spacing w:after="0"/>
              <w:rPr>
                <w:sz w:val="20"/>
                <w:szCs w:val="20"/>
                <w:color w:val="auto"/>
              </w:rPr>
            </w:pPr>
            <w:r>
              <w:rPr>
                <w:rFonts w:ascii="Arial" w:cs="Arial" w:eastAsia="Arial" w:hAnsi="Arial"/>
                <w:sz w:val="17"/>
                <w:szCs w:val="17"/>
                <w:color w:val="auto"/>
                <w:w w:val="96"/>
              </w:rPr>
              <w:t>9.01</w:t>
            </w:r>
          </w:p>
        </w:tc>
        <w:tc>
          <w:tcPr>
            <w:tcW w:w="7580" w:type="dxa"/>
            <w:vAlign w:val="bottom"/>
          </w:tcPr>
          <w:p>
            <w:pPr>
              <w:ind w:left="20"/>
              <w:spacing w:after="0"/>
              <w:rPr>
                <w:sz w:val="20"/>
                <w:szCs w:val="20"/>
                <w:color w:val="auto"/>
              </w:rPr>
            </w:pPr>
            <w:r>
              <w:rPr>
                <w:rFonts w:ascii="Arial" w:cs="Arial" w:eastAsia="Arial" w:hAnsi="Arial"/>
                <w:sz w:val="17"/>
                <w:szCs w:val="17"/>
                <w:color w:val="auto"/>
              </w:rPr>
              <w:t>Permitted Uses</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9.02</w:t>
            </w:r>
          </w:p>
        </w:tc>
        <w:tc>
          <w:tcPr>
            <w:tcW w:w="7580" w:type="dxa"/>
            <w:vAlign w:val="bottom"/>
          </w:tcPr>
          <w:p>
            <w:pPr>
              <w:ind w:left="20"/>
              <w:spacing w:after="0"/>
              <w:rPr>
                <w:sz w:val="20"/>
                <w:szCs w:val="20"/>
                <w:color w:val="auto"/>
              </w:rPr>
            </w:pPr>
            <w:r>
              <w:rPr>
                <w:rFonts w:ascii="Arial" w:cs="Arial" w:eastAsia="Arial" w:hAnsi="Arial"/>
                <w:sz w:val="17"/>
                <w:szCs w:val="17"/>
                <w:color w:val="auto"/>
              </w:rPr>
              <w:t>Indemnification</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9.03</w:t>
            </w:r>
          </w:p>
        </w:tc>
        <w:tc>
          <w:tcPr>
            <w:tcW w:w="7580" w:type="dxa"/>
            <w:vAlign w:val="bottom"/>
          </w:tcPr>
          <w:p>
            <w:pPr>
              <w:ind w:left="20"/>
              <w:spacing w:after="0"/>
              <w:rPr>
                <w:sz w:val="20"/>
                <w:szCs w:val="20"/>
                <w:color w:val="auto"/>
              </w:rPr>
            </w:pPr>
            <w:r>
              <w:rPr>
                <w:rFonts w:ascii="Arial" w:cs="Arial" w:eastAsia="Arial" w:hAnsi="Arial"/>
                <w:sz w:val="17"/>
                <w:szCs w:val="17"/>
                <w:color w:val="auto"/>
              </w:rPr>
              <w:t>Compliance With Legal Requirements</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9.04</w:t>
            </w:r>
          </w:p>
        </w:tc>
        <w:tc>
          <w:tcPr>
            <w:tcW w:w="7580" w:type="dxa"/>
            <w:vAlign w:val="bottom"/>
          </w:tcPr>
          <w:p>
            <w:pPr>
              <w:ind w:left="20"/>
              <w:spacing w:after="0"/>
              <w:rPr>
                <w:sz w:val="20"/>
                <w:szCs w:val="20"/>
                <w:color w:val="auto"/>
              </w:rPr>
            </w:pPr>
            <w:r>
              <w:rPr>
                <w:rFonts w:ascii="Arial" w:cs="Arial" w:eastAsia="Arial" w:hAnsi="Arial"/>
                <w:sz w:val="17"/>
                <w:szCs w:val="17"/>
                <w:color w:val="auto"/>
              </w:rPr>
              <w:t>Environmental Substances</w:t>
            </w:r>
          </w:p>
        </w:tc>
        <w:tc>
          <w:tcPr>
            <w:tcW w:w="23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680" w:type="dxa"/>
            <w:vAlign w:val="bottom"/>
          </w:tcPr>
          <w:p>
            <w:pPr>
              <w:ind w:left="340"/>
              <w:spacing w:after="0"/>
              <w:rPr>
                <w:sz w:val="20"/>
                <w:szCs w:val="20"/>
                <w:color w:val="auto"/>
              </w:rPr>
            </w:pPr>
            <w:r>
              <w:rPr>
                <w:rFonts w:ascii="Arial" w:cs="Arial" w:eastAsia="Arial" w:hAnsi="Arial"/>
                <w:sz w:val="17"/>
                <w:szCs w:val="17"/>
                <w:color w:val="auto"/>
                <w:w w:val="96"/>
              </w:rPr>
              <w:t>9.05</w:t>
            </w:r>
          </w:p>
        </w:tc>
        <w:tc>
          <w:tcPr>
            <w:tcW w:w="7580" w:type="dxa"/>
            <w:vAlign w:val="bottom"/>
          </w:tcPr>
          <w:p>
            <w:pPr>
              <w:ind w:left="20"/>
              <w:spacing w:after="0"/>
              <w:rPr>
                <w:sz w:val="20"/>
                <w:szCs w:val="20"/>
                <w:color w:val="auto"/>
              </w:rPr>
            </w:pPr>
            <w:r>
              <w:rPr>
                <w:rFonts w:ascii="Arial" w:cs="Arial" w:eastAsia="Arial" w:hAnsi="Arial"/>
                <w:sz w:val="17"/>
                <w:szCs w:val="17"/>
                <w:color w:val="auto"/>
              </w:rPr>
              <w:t>Signs and Auctions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1"/>
        </w:trPr>
        <w:tc>
          <w:tcPr>
            <w:tcW w:w="680" w:type="dxa"/>
            <w:vAlign w:val="bottom"/>
          </w:tcPr>
          <w:p>
            <w:pPr>
              <w:ind w:left="340"/>
              <w:spacing w:after="0"/>
              <w:rPr>
                <w:sz w:val="20"/>
                <w:szCs w:val="20"/>
                <w:color w:val="auto"/>
              </w:rPr>
            </w:pPr>
            <w:r>
              <w:rPr>
                <w:rFonts w:ascii="Arial" w:cs="Arial" w:eastAsia="Arial" w:hAnsi="Arial"/>
                <w:sz w:val="17"/>
                <w:szCs w:val="17"/>
                <w:color w:val="auto"/>
                <w:w w:val="96"/>
              </w:rPr>
              <w:t>9.06</w:t>
            </w:r>
          </w:p>
        </w:tc>
        <w:tc>
          <w:tcPr>
            <w:tcW w:w="7580" w:type="dxa"/>
            <w:vAlign w:val="bottom"/>
          </w:tcPr>
          <w:p>
            <w:pPr>
              <w:ind w:left="20"/>
              <w:spacing w:after="0"/>
              <w:rPr>
                <w:sz w:val="20"/>
                <w:szCs w:val="20"/>
                <w:color w:val="auto"/>
              </w:rPr>
            </w:pPr>
            <w:r>
              <w:rPr>
                <w:rFonts w:ascii="Arial" w:cs="Arial" w:eastAsia="Arial" w:hAnsi="Arial"/>
                <w:sz w:val="17"/>
                <w:szCs w:val="17"/>
                <w:color w:val="auto"/>
              </w:rPr>
              <w:t>Landlord’s Access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3"/>
        </w:trPr>
        <w:tc>
          <w:tcPr>
            <w:tcW w:w="8260" w:type="dxa"/>
            <w:vAlign w:val="bottom"/>
            <w:gridSpan w:val="2"/>
          </w:tcPr>
          <w:p>
            <w:pPr>
              <w:spacing w:after="0"/>
              <w:rPr>
                <w:sz w:val="20"/>
                <w:szCs w:val="20"/>
                <w:color w:val="auto"/>
              </w:rPr>
            </w:pPr>
            <w:r>
              <w:rPr>
                <w:rFonts w:ascii="Arial" w:cs="Arial" w:eastAsia="Arial" w:hAnsi="Arial"/>
                <w:sz w:val="17"/>
                <w:szCs w:val="17"/>
                <w:color w:val="auto"/>
              </w:rPr>
              <w:t>ARTICLE 10: CONDITION AND MAINTENANCE OF PREMISES AND PROPERTY</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01"/>
        </w:trPr>
        <w:tc>
          <w:tcPr>
            <w:tcW w:w="8260" w:type="dxa"/>
            <w:vAlign w:val="bottom"/>
            <w:gridSpan w:val="2"/>
          </w:tcPr>
          <w:p>
            <w:pPr>
              <w:ind w:left="340"/>
              <w:spacing w:after="0"/>
              <w:rPr>
                <w:sz w:val="20"/>
                <w:szCs w:val="20"/>
                <w:color w:val="auto"/>
              </w:rPr>
            </w:pPr>
            <w:r>
              <w:rPr>
                <w:rFonts w:ascii="Arial" w:cs="Arial" w:eastAsia="Arial" w:hAnsi="Arial"/>
                <w:sz w:val="17"/>
                <w:szCs w:val="17"/>
                <w:color w:val="auto"/>
              </w:rPr>
              <w:t>10.01 Existing Conditions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8260" w:type="dxa"/>
            <w:vAlign w:val="bottom"/>
            <w:gridSpan w:val="2"/>
          </w:tcPr>
          <w:p>
            <w:pPr>
              <w:ind w:left="340"/>
              <w:spacing w:after="0"/>
              <w:rPr>
                <w:sz w:val="20"/>
                <w:szCs w:val="20"/>
                <w:color w:val="auto"/>
              </w:rPr>
            </w:pPr>
            <w:r>
              <w:rPr>
                <w:rFonts w:ascii="Arial" w:cs="Arial" w:eastAsia="Arial" w:hAnsi="Arial"/>
                <w:sz w:val="17"/>
                <w:szCs w:val="17"/>
                <w:color w:val="auto"/>
              </w:rPr>
              <w:t>10.02 Exemption and Limitation of Landlord’s Liability</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8260" w:type="dxa"/>
            <w:vAlign w:val="bottom"/>
            <w:gridSpan w:val="2"/>
          </w:tcPr>
          <w:p>
            <w:pPr>
              <w:ind w:left="340"/>
              <w:spacing w:after="0"/>
              <w:rPr>
                <w:sz w:val="20"/>
                <w:szCs w:val="20"/>
                <w:color w:val="auto"/>
              </w:rPr>
            </w:pPr>
            <w:r>
              <w:rPr>
                <w:rFonts w:ascii="Arial" w:cs="Arial" w:eastAsia="Arial" w:hAnsi="Arial"/>
                <w:sz w:val="17"/>
                <w:szCs w:val="17"/>
                <w:color w:val="auto"/>
              </w:rPr>
              <w:t>10.03 Landlord’s Obligations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9"/>
        </w:trPr>
        <w:tc>
          <w:tcPr>
            <w:tcW w:w="8260" w:type="dxa"/>
            <w:vAlign w:val="bottom"/>
            <w:gridSpan w:val="2"/>
          </w:tcPr>
          <w:p>
            <w:pPr>
              <w:ind w:left="340"/>
              <w:spacing w:after="0"/>
              <w:rPr>
                <w:sz w:val="20"/>
                <w:szCs w:val="20"/>
                <w:color w:val="auto"/>
              </w:rPr>
            </w:pPr>
            <w:r>
              <w:rPr>
                <w:rFonts w:ascii="Arial" w:cs="Arial" w:eastAsia="Arial" w:hAnsi="Arial"/>
                <w:sz w:val="17"/>
                <w:szCs w:val="17"/>
                <w:color w:val="auto"/>
              </w:rPr>
              <w:t>10.04 Tenant’s Obligations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1"/>
        </w:trPr>
        <w:tc>
          <w:tcPr>
            <w:tcW w:w="8260" w:type="dxa"/>
            <w:vAlign w:val="bottom"/>
            <w:gridSpan w:val="2"/>
          </w:tcPr>
          <w:p>
            <w:pPr>
              <w:ind w:left="340"/>
              <w:spacing w:after="0"/>
              <w:rPr>
                <w:sz w:val="20"/>
                <w:szCs w:val="20"/>
                <w:color w:val="auto"/>
              </w:rPr>
            </w:pPr>
            <w:r>
              <w:rPr>
                <w:rFonts w:ascii="Arial" w:cs="Arial" w:eastAsia="Arial" w:hAnsi="Arial"/>
                <w:sz w:val="17"/>
                <w:szCs w:val="17"/>
                <w:color w:val="auto"/>
              </w:rPr>
              <w:t>10.05 Tenant Work</w:t>
            </w:r>
          </w:p>
        </w:tc>
        <w:tc>
          <w:tcPr>
            <w:tcW w:w="234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675" cy="368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600"/>
          </w:cols>
          <w:pgMar w:left="620" w:top="264" w:right="67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10.06</w:t>
            </w:r>
          </w:p>
        </w:tc>
        <w:tc>
          <w:tcPr>
            <w:tcW w:w="6860" w:type="dxa"/>
            <w:vAlign w:val="bottom"/>
          </w:tcPr>
          <w:p>
            <w:pPr>
              <w:ind w:left="20"/>
              <w:spacing w:after="0"/>
              <w:rPr>
                <w:sz w:val="20"/>
                <w:szCs w:val="20"/>
                <w:color w:val="auto"/>
              </w:rPr>
            </w:pPr>
            <w:r>
              <w:rPr>
                <w:rFonts w:ascii="Arial" w:cs="Arial" w:eastAsia="Arial" w:hAnsi="Arial"/>
                <w:sz w:val="17"/>
                <w:szCs w:val="17"/>
                <w:color w:val="auto"/>
              </w:rPr>
              <w:t>Condition upon Termination</w:t>
            </w:r>
          </w:p>
        </w:tc>
        <w:tc>
          <w:tcPr>
            <w:tcW w:w="29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10.07</w:t>
            </w:r>
          </w:p>
        </w:tc>
        <w:tc>
          <w:tcPr>
            <w:tcW w:w="6860" w:type="dxa"/>
            <w:vAlign w:val="bottom"/>
          </w:tcPr>
          <w:p>
            <w:pPr>
              <w:ind w:left="20"/>
              <w:spacing w:after="0"/>
              <w:rPr>
                <w:sz w:val="20"/>
                <w:szCs w:val="20"/>
                <w:color w:val="auto"/>
              </w:rPr>
            </w:pPr>
            <w:r>
              <w:rPr>
                <w:rFonts w:ascii="Arial" w:cs="Arial" w:eastAsia="Arial" w:hAnsi="Arial"/>
                <w:sz w:val="17"/>
                <w:szCs w:val="17"/>
                <w:color w:val="auto"/>
              </w:rPr>
              <w:t>Decommissioning of the Premises</w:t>
            </w:r>
          </w:p>
        </w:tc>
        <w:tc>
          <w:tcPr>
            <w:tcW w:w="29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11: INITIAL TENANT IMPROVEMENTS</w:t>
            </w:r>
          </w:p>
        </w:tc>
        <w:tc>
          <w:tcPr>
            <w:tcW w:w="29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12: DAMAGE OR DESTRUCTION; CONDEMNATION</w:t>
            </w:r>
          </w:p>
        </w:tc>
        <w:tc>
          <w:tcPr>
            <w:tcW w:w="29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01"/>
        </w:trPr>
        <w:tc>
          <w:tcPr>
            <w:tcW w:w="760" w:type="dxa"/>
            <w:vAlign w:val="bottom"/>
          </w:tcPr>
          <w:p>
            <w:pPr>
              <w:ind w:left="340"/>
              <w:spacing w:after="0"/>
              <w:rPr>
                <w:sz w:val="20"/>
                <w:szCs w:val="20"/>
                <w:color w:val="auto"/>
              </w:rPr>
            </w:pPr>
            <w:r>
              <w:rPr>
                <w:rFonts w:ascii="Arial" w:cs="Arial" w:eastAsia="Arial" w:hAnsi="Arial"/>
                <w:sz w:val="17"/>
                <w:szCs w:val="17"/>
                <w:color w:val="auto"/>
                <w:w w:val="93"/>
              </w:rPr>
              <w:t>12.01</w:t>
            </w:r>
          </w:p>
        </w:tc>
        <w:tc>
          <w:tcPr>
            <w:tcW w:w="6860" w:type="dxa"/>
            <w:vAlign w:val="bottom"/>
          </w:tcPr>
          <w:p>
            <w:pPr>
              <w:ind w:left="20"/>
              <w:spacing w:after="0"/>
              <w:rPr>
                <w:sz w:val="20"/>
                <w:szCs w:val="20"/>
                <w:color w:val="auto"/>
              </w:rPr>
            </w:pPr>
            <w:r>
              <w:rPr>
                <w:rFonts w:ascii="Arial" w:cs="Arial" w:eastAsia="Arial" w:hAnsi="Arial"/>
                <w:sz w:val="17"/>
                <w:szCs w:val="17"/>
                <w:color w:val="auto"/>
              </w:rPr>
              <w:t>Damage or Destruction of Premises</w:t>
            </w:r>
          </w:p>
        </w:tc>
        <w:tc>
          <w:tcPr>
            <w:tcW w:w="29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12.02</w:t>
            </w:r>
          </w:p>
        </w:tc>
        <w:tc>
          <w:tcPr>
            <w:tcW w:w="6860" w:type="dxa"/>
            <w:vAlign w:val="bottom"/>
          </w:tcPr>
          <w:p>
            <w:pPr>
              <w:ind w:left="20"/>
              <w:spacing w:after="0"/>
              <w:rPr>
                <w:sz w:val="20"/>
                <w:szCs w:val="20"/>
                <w:color w:val="auto"/>
              </w:rPr>
            </w:pPr>
            <w:r>
              <w:rPr>
                <w:rFonts w:ascii="Arial" w:cs="Arial" w:eastAsia="Arial" w:hAnsi="Arial"/>
                <w:sz w:val="17"/>
                <w:szCs w:val="17"/>
                <w:color w:val="auto"/>
              </w:rPr>
              <w:t>Eminent Domain</w:t>
            </w:r>
          </w:p>
        </w:tc>
        <w:tc>
          <w:tcPr>
            <w:tcW w:w="29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13: ASSIGNMENT AND SUBLETTING</w:t>
            </w:r>
          </w:p>
        </w:tc>
        <w:tc>
          <w:tcPr>
            <w:tcW w:w="29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01"/>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13.01</w:t>
            </w:r>
          </w:p>
        </w:tc>
        <w:tc>
          <w:tcPr>
            <w:tcW w:w="6860" w:type="dxa"/>
            <w:vAlign w:val="bottom"/>
          </w:tcPr>
          <w:p>
            <w:pPr>
              <w:ind w:left="20"/>
              <w:spacing w:after="0"/>
              <w:rPr>
                <w:sz w:val="20"/>
                <w:szCs w:val="20"/>
                <w:color w:val="auto"/>
              </w:rPr>
            </w:pPr>
            <w:r>
              <w:rPr>
                <w:rFonts w:ascii="Arial" w:cs="Arial" w:eastAsia="Arial" w:hAnsi="Arial"/>
                <w:sz w:val="17"/>
                <w:szCs w:val="17"/>
                <w:color w:val="auto"/>
              </w:rPr>
              <w:t>Landlord’s Consent Required</w:t>
            </w:r>
          </w:p>
        </w:tc>
        <w:tc>
          <w:tcPr>
            <w:tcW w:w="29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13.02</w:t>
            </w:r>
          </w:p>
        </w:tc>
        <w:tc>
          <w:tcPr>
            <w:tcW w:w="6860" w:type="dxa"/>
            <w:vAlign w:val="bottom"/>
          </w:tcPr>
          <w:p>
            <w:pPr>
              <w:ind w:left="20"/>
              <w:spacing w:after="0"/>
              <w:rPr>
                <w:sz w:val="20"/>
                <w:szCs w:val="20"/>
                <w:color w:val="auto"/>
              </w:rPr>
            </w:pPr>
            <w:r>
              <w:rPr>
                <w:rFonts w:ascii="Arial" w:cs="Arial" w:eastAsia="Arial" w:hAnsi="Arial"/>
                <w:sz w:val="17"/>
                <w:szCs w:val="17"/>
                <w:color w:val="auto"/>
              </w:rPr>
              <w:t>Terms</w:t>
            </w:r>
          </w:p>
        </w:tc>
        <w:tc>
          <w:tcPr>
            <w:tcW w:w="29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13.03</w:t>
            </w:r>
          </w:p>
        </w:tc>
        <w:tc>
          <w:tcPr>
            <w:tcW w:w="6860" w:type="dxa"/>
            <w:vAlign w:val="bottom"/>
          </w:tcPr>
          <w:p>
            <w:pPr>
              <w:ind w:left="20"/>
              <w:spacing w:after="0"/>
              <w:rPr>
                <w:sz w:val="20"/>
                <w:szCs w:val="20"/>
                <w:color w:val="auto"/>
              </w:rPr>
            </w:pPr>
            <w:r>
              <w:rPr>
                <w:rFonts w:ascii="Arial" w:cs="Arial" w:eastAsia="Arial" w:hAnsi="Arial"/>
                <w:sz w:val="17"/>
                <w:szCs w:val="17"/>
                <w:color w:val="auto"/>
              </w:rPr>
              <w:t>Right of Termination or Recapture</w:t>
            </w:r>
          </w:p>
        </w:tc>
        <w:tc>
          <w:tcPr>
            <w:tcW w:w="2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13.04</w:t>
            </w:r>
          </w:p>
        </w:tc>
        <w:tc>
          <w:tcPr>
            <w:tcW w:w="6860" w:type="dxa"/>
            <w:vAlign w:val="bottom"/>
          </w:tcPr>
          <w:p>
            <w:pPr>
              <w:ind w:left="20"/>
              <w:spacing w:after="0"/>
              <w:rPr>
                <w:sz w:val="20"/>
                <w:szCs w:val="20"/>
                <w:color w:val="auto"/>
              </w:rPr>
            </w:pPr>
            <w:r>
              <w:rPr>
                <w:rFonts w:ascii="Arial" w:cs="Arial" w:eastAsia="Arial" w:hAnsi="Arial"/>
                <w:sz w:val="17"/>
                <w:szCs w:val="17"/>
                <w:color w:val="auto"/>
              </w:rPr>
              <w:t>Procedures</w:t>
            </w:r>
          </w:p>
        </w:tc>
        <w:tc>
          <w:tcPr>
            <w:tcW w:w="2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13.05</w:t>
            </w:r>
          </w:p>
        </w:tc>
        <w:tc>
          <w:tcPr>
            <w:tcW w:w="6860" w:type="dxa"/>
            <w:vAlign w:val="bottom"/>
          </w:tcPr>
          <w:p>
            <w:pPr>
              <w:ind w:left="20"/>
              <w:spacing w:after="0"/>
              <w:rPr>
                <w:sz w:val="20"/>
                <w:szCs w:val="20"/>
                <w:color w:val="auto"/>
              </w:rPr>
            </w:pPr>
            <w:r>
              <w:rPr>
                <w:rFonts w:ascii="Arial" w:cs="Arial" w:eastAsia="Arial" w:hAnsi="Arial"/>
                <w:sz w:val="17"/>
                <w:szCs w:val="17"/>
                <w:color w:val="auto"/>
              </w:rPr>
              <w:t>Excess Rents</w:t>
            </w:r>
          </w:p>
        </w:tc>
        <w:tc>
          <w:tcPr>
            <w:tcW w:w="29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13.06</w:t>
            </w:r>
          </w:p>
        </w:tc>
        <w:tc>
          <w:tcPr>
            <w:tcW w:w="6860" w:type="dxa"/>
            <w:vAlign w:val="bottom"/>
          </w:tcPr>
          <w:p>
            <w:pPr>
              <w:ind w:left="20"/>
              <w:spacing w:after="0"/>
              <w:rPr>
                <w:sz w:val="20"/>
                <w:szCs w:val="20"/>
                <w:color w:val="auto"/>
              </w:rPr>
            </w:pPr>
            <w:r>
              <w:rPr>
                <w:rFonts w:ascii="Arial" w:cs="Arial" w:eastAsia="Arial" w:hAnsi="Arial"/>
                <w:sz w:val="17"/>
                <w:szCs w:val="17"/>
                <w:color w:val="auto"/>
              </w:rPr>
              <w:t>No Release</w:t>
            </w:r>
          </w:p>
        </w:tc>
        <w:tc>
          <w:tcPr>
            <w:tcW w:w="29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13.07</w:t>
            </w:r>
          </w:p>
        </w:tc>
        <w:tc>
          <w:tcPr>
            <w:tcW w:w="6860" w:type="dxa"/>
            <w:vAlign w:val="bottom"/>
          </w:tcPr>
          <w:p>
            <w:pPr>
              <w:ind w:left="20"/>
              <w:spacing w:after="0"/>
              <w:rPr>
                <w:sz w:val="20"/>
                <w:szCs w:val="20"/>
                <w:color w:val="auto"/>
              </w:rPr>
            </w:pPr>
            <w:r>
              <w:rPr>
                <w:rFonts w:ascii="Arial" w:cs="Arial" w:eastAsia="Arial" w:hAnsi="Arial"/>
                <w:sz w:val="17"/>
                <w:szCs w:val="17"/>
                <w:color w:val="auto"/>
              </w:rPr>
              <w:t>Certain Additional Rights</w:t>
            </w:r>
          </w:p>
        </w:tc>
        <w:tc>
          <w:tcPr>
            <w:tcW w:w="29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14: EVENTS OF DEFAULT AND REMEDIES</w:t>
            </w:r>
          </w:p>
        </w:tc>
        <w:tc>
          <w:tcPr>
            <w:tcW w:w="29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01"/>
        </w:trPr>
        <w:tc>
          <w:tcPr>
            <w:tcW w:w="760" w:type="dxa"/>
            <w:vAlign w:val="bottom"/>
          </w:tcPr>
          <w:p>
            <w:pPr>
              <w:ind w:left="340"/>
              <w:spacing w:after="0"/>
              <w:rPr>
                <w:sz w:val="20"/>
                <w:szCs w:val="20"/>
                <w:color w:val="auto"/>
              </w:rPr>
            </w:pPr>
            <w:r>
              <w:rPr>
                <w:rFonts w:ascii="Arial" w:cs="Arial" w:eastAsia="Arial" w:hAnsi="Arial"/>
                <w:sz w:val="17"/>
                <w:szCs w:val="17"/>
                <w:color w:val="auto"/>
                <w:w w:val="93"/>
              </w:rPr>
              <w:t>14.01</w:t>
            </w:r>
          </w:p>
        </w:tc>
        <w:tc>
          <w:tcPr>
            <w:tcW w:w="6860" w:type="dxa"/>
            <w:vAlign w:val="bottom"/>
          </w:tcPr>
          <w:p>
            <w:pPr>
              <w:ind w:left="20"/>
              <w:spacing w:after="0"/>
              <w:rPr>
                <w:sz w:val="20"/>
                <w:szCs w:val="20"/>
                <w:color w:val="auto"/>
              </w:rPr>
            </w:pPr>
            <w:r>
              <w:rPr>
                <w:rFonts w:ascii="Arial" w:cs="Arial" w:eastAsia="Arial" w:hAnsi="Arial"/>
                <w:sz w:val="17"/>
                <w:szCs w:val="17"/>
                <w:color w:val="auto"/>
              </w:rPr>
              <w:t>Events of Default</w:t>
            </w:r>
          </w:p>
        </w:tc>
        <w:tc>
          <w:tcPr>
            <w:tcW w:w="29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14.02</w:t>
            </w:r>
          </w:p>
        </w:tc>
        <w:tc>
          <w:tcPr>
            <w:tcW w:w="6860" w:type="dxa"/>
            <w:vAlign w:val="bottom"/>
          </w:tcPr>
          <w:p>
            <w:pPr>
              <w:ind w:left="20"/>
              <w:spacing w:after="0"/>
              <w:rPr>
                <w:sz w:val="20"/>
                <w:szCs w:val="20"/>
                <w:color w:val="auto"/>
              </w:rPr>
            </w:pPr>
            <w:r>
              <w:rPr>
                <w:rFonts w:ascii="Arial" w:cs="Arial" w:eastAsia="Arial" w:hAnsi="Arial"/>
                <w:sz w:val="17"/>
                <w:szCs w:val="17"/>
                <w:color w:val="auto"/>
              </w:rPr>
              <w:t>Remedies for Default</w:t>
            </w:r>
          </w:p>
        </w:tc>
        <w:tc>
          <w:tcPr>
            <w:tcW w:w="29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15: SECURITY DEPOSIT/LETTER OF CREDIT</w:t>
            </w:r>
          </w:p>
        </w:tc>
        <w:tc>
          <w:tcPr>
            <w:tcW w:w="2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16: PROTECTION OF LENDERS</w:t>
            </w:r>
          </w:p>
        </w:tc>
        <w:tc>
          <w:tcPr>
            <w:tcW w:w="29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01"/>
        </w:trPr>
        <w:tc>
          <w:tcPr>
            <w:tcW w:w="760" w:type="dxa"/>
            <w:vAlign w:val="bottom"/>
          </w:tcPr>
          <w:p>
            <w:pPr>
              <w:ind w:left="340"/>
              <w:spacing w:after="0"/>
              <w:rPr>
                <w:sz w:val="20"/>
                <w:szCs w:val="20"/>
                <w:color w:val="auto"/>
              </w:rPr>
            </w:pPr>
            <w:r>
              <w:rPr>
                <w:rFonts w:ascii="Arial" w:cs="Arial" w:eastAsia="Arial" w:hAnsi="Arial"/>
                <w:sz w:val="17"/>
                <w:szCs w:val="17"/>
                <w:color w:val="auto"/>
                <w:w w:val="93"/>
              </w:rPr>
              <w:t>16.01</w:t>
            </w:r>
          </w:p>
        </w:tc>
        <w:tc>
          <w:tcPr>
            <w:tcW w:w="6860" w:type="dxa"/>
            <w:vAlign w:val="bottom"/>
          </w:tcPr>
          <w:p>
            <w:pPr>
              <w:ind w:left="20"/>
              <w:spacing w:after="0"/>
              <w:rPr>
                <w:sz w:val="20"/>
                <w:szCs w:val="20"/>
                <w:color w:val="auto"/>
              </w:rPr>
            </w:pPr>
            <w:r>
              <w:rPr>
                <w:rFonts w:ascii="Arial" w:cs="Arial" w:eastAsia="Arial" w:hAnsi="Arial"/>
                <w:sz w:val="17"/>
                <w:szCs w:val="17"/>
                <w:color w:val="auto"/>
              </w:rPr>
              <w:t>Subordination and Superiority of Lease</w:t>
            </w:r>
          </w:p>
        </w:tc>
        <w:tc>
          <w:tcPr>
            <w:tcW w:w="29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16.02</w:t>
            </w:r>
          </w:p>
        </w:tc>
        <w:tc>
          <w:tcPr>
            <w:tcW w:w="6860" w:type="dxa"/>
            <w:vAlign w:val="bottom"/>
          </w:tcPr>
          <w:p>
            <w:pPr>
              <w:ind w:left="20"/>
              <w:spacing w:after="0"/>
              <w:rPr>
                <w:sz w:val="20"/>
                <w:szCs w:val="20"/>
                <w:color w:val="auto"/>
              </w:rPr>
            </w:pPr>
            <w:r>
              <w:rPr>
                <w:rFonts w:ascii="Arial" w:cs="Arial" w:eastAsia="Arial" w:hAnsi="Arial"/>
                <w:sz w:val="17"/>
                <w:szCs w:val="17"/>
                <w:color w:val="auto"/>
              </w:rPr>
              <w:t>Rent Assignment</w:t>
            </w:r>
          </w:p>
        </w:tc>
        <w:tc>
          <w:tcPr>
            <w:tcW w:w="29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16.03</w:t>
            </w:r>
          </w:p>
        </w:tc>
        <w:tc>
          <w:tcPr>
            <w:tcW w:w="6860" w:type="dxa"/>
            <w:vAlign w:val="bottom"/>
          </w:tcPr>
          <w:p>
            <w:pPr>
              <w:ind w:left="20"/>
              <w:spacing w:after="0"/>
              <w:rPr>
                <w:sz w:val="20"/>
                <w:szCs w:val="20"/>
                <w:color w:val="auto"/>
              </w:rPr>
            </w:pPr>
            <w:r>
              <w:rPr>
                <w:rFonts w:ascii="Arial" w:cs="Arial" w:eastAsia="Arial" w:hAnsi="Arial"/>
                <w:sz w:val="17"/>
                <w:szCs w:val="17"/>
                <w:color w:val="auto"/>
              </w:rPr>
              <w:t>Other Instruments</w:t>
            </w:r>
          </w:p>
        </w:tc>
        <w:tc>
          <w:tcPr>
            <w:tcW w:w="29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16.04</w:t>
            </w:r>
          </w:p>
        </w:tc>
        <w:tc>
          <w:tcPr>
            <w:tcW w:w="6860" w:type="dxa"/>
            <w:vAlign w:val="bottom"/>
          </w:tcPr>
          <w:p>
            <w:pPr>
              <w:ind w:left="20"/>
              <w:spacing w:after="0"/>
              <w:rPr>
                <w:sz w:val="20"/>
                <w:szCs w:val="20"/>
                <w:color w:val="auto"/>
              </w:rPr>
            </w:pPr>
            <w:r>
              <w:rPr>
                <w:rFonts w:ascii="Arial" w:cs="Arial" w:eastAsia="Arial" w:hAnsi="Arial"/>
                <w:sz w:val="17"/>
                <w:szCs w:val="17"/>
                <w:color w:val="auto"/>
              </w:rPr>
              <w:t>Estoppel Certificates</w:t>
            </w:r>
          </w:p>
        </w:tc>
        <w:tc>
          <w:tcPr>
            <w:tcW w:w="29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16.05</w:t>
            </w:r>
          </w:p>
        </w:tc>
        <w:tc>
          <w:tcPr>
            <w:tcW w:w="6860" w:type="dxa"/>
            <w:vAlign w:val="bottom"/>
          </w:tcPr>
          <w:p>
            <w:pPr>
              <w:ind w:left="20"/>
              <w:spacing w:after="0"/>
              <w:rPr>
                <w:sz w:val="20"/>
                <w:szCs w:val="20"/>
                <w:color w:val="auto"/>
              </w:rPr>
            </w:pPr>
            <w:r>
              <w:rPr>
                <w:rFonts w:ascii="Arial" w:cs="Arial" w:eastAsia="Arial" w:hAnsi="Arial"/>
                <w:sz w:val="17"/>
                <w:szCs w:val="17"/>
                <w:color w:val="auto"/>
              </w:rPr>
              <w:t>Tenant’s Financial Condition</w:t>
            </w:r>
          </w:p>
        </w:tc>
        <w:tc>
          <w:tcPr>
            <w:tcW w:w="29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13"/>
        </w:trPr>
        <w:tc>
          <w:tcPr>
            <w:tcW w:w="7620" w:type="dxa"/>
            <w:vAlign w:val="bottom"/>
            <w:gridSpan w:val="2"/>
          </w:tcPr>
          <w:p>
            <w:pPr>
              <w:spacing w:after="0"/>
              <w:rPr>
                <w:sz w:val="20"/>
                <w:szCs w:val="20"/>
                <w:color w:val="auto"/>
              </w:rPr>
            </w:pPr>
            <w:r>
              <w:rPr>
                <w:rFonts w:ascii="Arial" w:cs="Arial" w:eastAsia="Arial" w:hAnsi="Arial"/>
                <w:sz w:val="17"/>
                <w:szCs w:val="17"/>
                <w:color w:val="auto"/>
              </w:rPr>
              <w:t>ARTICLE 17: MISCELLANEOUS PROVISIONS</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01"/>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17.01</w:t>
            </w:r>
          </w:p>
        </w:tc>
        <w:tc>
          <w:tcPr>
            <w:tcW w:w="6860" w:type="dxa"/>
            <w:vAlign w:val="bottom"/>
          </w:tcPr>
          <w:p>
            <w:pPr>
              <w:ind w:left="20"/>
              <w:spacing w:after="0"/>
              <w:rPr>
                <w:sz w:val="20"/>
                <w:szCs w:val="20"/>
                <w:color w:val="auto"/>
              </w:rPr>
            </w:pPr>
            <w:r>
              <w:rPr>
                <w:rFonts w:ascii="Arial" w:cs="Arial" w:eastAsia="Arial" w:hAnsi="Arial"/>
                <w:sz w:val="17"/>
                <w:szCs w:val="17"/>
                <w:color w:val="auto"/>
              </w:rPr>
              <w:t>Landlord’s Consent Fees</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17.02</w:t>
            </w:r>
          </w:p>
        </w:tc>
        <w:tc>
          <w:tcPr>
            <w:tcW w:w="6860" w:type="dxa"/>
            <w:vAlign w:val="bottom"/>
          </w:tcPr>
          <w:p>
            <w:pPr>
              <w:ind w:left="20"/>
              <w:spacing w:after="0"/>
              <w:rPr>
                <w:sz w:val="20"/>
                <w:szCs w:val="20"/>
                <w:color w:val="auto"/>
              </w:rPr>
            </w:pPr>
            <w:r>
              <w:rPr>
                <w:rFonts w:ascii="Arial" w:cs="Arial" w:eastAsia="Arial" w:hAnsi="Arial"/>
                <w:sz w:val="17"/>
                <w:szCs w:val="17"/>
                <w:color w:val="auto"/>
              </w:rPr>
              <w:t>Notice of Landlord’s Default</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17.03</w:t>
            </w:r>
          </w:p>
        </w:tc>
        <w:tc>
          <w:tcPr>
            <w:tcW w:w="6860" w:type="dxa"/>
            <w:vAlign w:val="bottom"/>
          </w:tcPr>
          <w:p>
            <w:pPr>
              <w:ind w:left="20"/>
              <w:spacing w:after="0"/>
              <w:rPr>
                <w:sz w:val="20"/>
                <w:szCs w:val="20"/>
                <w:color w:val="auto"/>
              </w:rPr>
            </w:pPr>
            <w:r>
              <w:rPr>
                <w:rFonts w:ascii="Arial" w:cs="Arial" w:eastAsia="Arial" w:hAnsi="Arial"/>
                <w:sz w:val="17"/>
                <w:szCs w:val="17"/>
                <w:color w:val="auto"/>
              </w:rPr>
              <w:t>Quiet Enjoyment</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17.04</w:t>
            </w:r>
          </w:p>
        </w:tc>
        <w:tc>
          <w:tcPr>
            <w:tcW w:w="6860" w:type="dxa"/>
            <w:vAlign w:val="bottom"/>
          </w:tcPr>
          <w:p>
            <w:pPr>
              <w:ind w:left="20"/>
              <w:spacing w:after="0"/>
              <w:rPr>
                <w:sz w:val="20"/>
                <w:szCs w:val="20"/>
                <w:color w:val="auto"/>
              </w:rPr>
            </w:pPr>
            <w:r>
              <w:rPr>
                <w:rFonts w:ascii="Arial" w:cs="Arial" w:eastAsia="Arial" w:hAnsi="Arial"/>
                <w:sz w:val="17"/>
                <w:szCs w:val="17"/>
                <w:color w:val="auto"/>
              </w:rPr>
              <w:t>Interpretation</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17.05</w:t>
            </w:r>
          </w:p>
        </w:tc>
        <w:tc>
          <w:tcPr>
            <w:tcW w:w="6860" w:type="dxa"/>
            <w:vAlign w:val="bottom"/>
          </w:tcPr>
          <w:p>
            <w:pPr>
              <w:ind w:left="20"/>
              <w:spacing w:after="0"/>
              <w:rPr>
                <w:sz w:val="20"/>
                <w:szCs w:val="20"/>
                <w:color w:val="auto"/>
              </w:rPr>
            </w:pPr>
            <w:r>
              <w:rPr>
                <w:rFonts w:ascii="Arial" w:cs="Arial" w:eastAsia="Arial" w:hAnsi="Arial"/>
                <w:sz w:val="17"/>
                <w:szCs w:val="17"/>
                <w:color w:val="auto"/>
              </w:rPr>
              <w:t>Notices</w:t>
            </w:r>
          </w:p>
        </w:tc>
        <w:tc>
          <w:tcPr>
            <w:tcW w:w="2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17.06</w:t>
            </w:r>
          </w:p>
        </w:tc>
        <w:tc>
          <w:tcPr>
            <w:tcW w:w="6860" w:type="dxa"/>
            <w:vAlign w:val="bottom"/>
          </w:tcPr>
          <w:p>
            <w:pPr>
              <w:ind w:left="20"/>
              <w:spacing w:after="0"/>
              <w:rPr>
                <w:sz w:val="20"/>
                <w:szCs w:val="20"/>
                <w:color w:val="auto"/>
              </w:rPr>
            </w:pPr>
            <w:r>
              <w:rPr>
                <w:rFonts w:ascii="Arial" w:cs="Arial" w:eastAsia="Arial" w:hAnsi="Arial"/>
                <w:sz w:val="17"/>
                <w:szCs w:val="17"/>
                <w:color w:val="auto"/>
              </w:rPr>
              <w:t>No Recordation</w:t>
            </w:r>
          </w:p>
        </w:tc>
        <w:tc>
          <w:tcPr>
            <w:tcW w:w="29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17.07</w:t>
            </w:r>
          </w:p>
        </w:tc>
        <w:tc>
          <w:tcPr>
            <w:tcW w:w="6860" w:type="dxa"/>
            <w:vAlign w:val="bottom"/>
          </w:tcPr>
          <w:p>
            <w:pPr>
              <w:ind w:left="20"/>
              <w:spacing w:after="0"/>
              <w:rPr>
                <w:sz w:val="20"/>
                <w:szCs w:val="20"/>
                <w:color w:val="auto"/>
              </w:rPr>
            </w:pPr>
            <w:r>
              <w:rPr>
                <w:rFonts w:ascii="Arial" w:cs="Arial" w:eastAsia="Arial" w:hAnsi="Arial"/>
                <w:sz w:val="17"/>
                <w:szCs w:val="17"/>
                <w:color w:val="auto"/>
              </w:rPr>
              <w:t>Security Measures</w:t>
            </w:r>
          </w:p>
        </w:tc>
        <w:tc>
          <w:tcPr>
            <w:tcW w:w="29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17.08</w:t>
            </w:r>
          </w:p>
        </w:tc>
        <w:tc>
          <w:tcPr>
            <w:tcW w:w="6860" w:type="dxa"/>
            <w:vAlign w:val="bottom"/>
          </w:tcPr>
          <w:p>
            <w:pPr>
              <w:ind w:left="20"/>
              <w:spacing w:after="0"/>
              <w:rPr>
                <w:sz w:val="20"/>
                <w:szCs w:val="20"/>
                <w:color w:val="auto"/>
              </w:rPr>
            </w:pPr>
            <w:r>
              <w:rPr>
                <w:rFonts w:ascii="Arial" w:cs="Arial" w:eastAsia="Arial" w:hAnsi="Arial"/>
                <w:sz w:val="17"/>
                <w:szCs w:val="17"/>
                <w:color w:val="auto"/>
              </w:rPr>
              <w:t>Corporate Authority</w:t>
            </w:r>
          </w:p>
        </w:tc>
        <w:tc>
          <w:tcPr>
            <w:tcW w:w="29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17.09</w:t>
            </w:r>
          </w:p>
        </w:tc>
        <w:tc>
          <w:tcPr>
            <w:tcW w:w="6860" w:type="dxa"/>
            <w:vAlign w:val="bottom"/>
          </w:tcPr>
          <w:p>
            <w:pPr>
              <w:ind w:left="20"/>
              <w:spacing w:after="0"/>
              <w:rPr>
                <w:sz w:val="20"/>
                <w:szCs w:val="20"/>
                <w:color w:val="auto"/>
              </w:rPr>
            </w:pPr>
            <w:r>
              <w:rPr>
                <w:rFonts w:ascii="Arial" w:cs="Arial" w:eastAsia="Arial" w:hAnsi="Arial"/>
                <w:sz w:val="17"/>
                <w:szCs w:val="17"/>
                <w:color w:val="auto"/>
              </w:rPr>
              <w:t>Relocation</w:t>
            </w:r>
          </w:p>
        </w:tc>
        <w:tc>
          <w:tcPr>
            <w:tcW w:w="29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17.10</w:t>
            </w:r>
          </w:p>
        </w:tc>
        <w:tc>
          <w:tcPr>
            <w:tcW w:w="6860" w:type="dxa"/>
            <w:vAlign w:val="bottom"/>
          </w:tcPr>
          <w:p>
            <w:pPr>
              <w:ind w:left="20"/>
              <w:spacing w:after="0"/>
              <w:rPr>
                <w:sz w:val="20"/>
                <w:szCs w:val="20"/>
                <w:color w:val="auto"/>
              </w:rPr>
            </w:pPr>
            <w:r>
              <w:rPr>
                <w:rFonts w:ascii="Arial" w:cs="Arial" w:eastAsia="Arial" w:hAnsi="Arial"/>
                <w:sz w:val="17"/>
                <w:szCs w:val="17"/>
                <w:color w:val="auto"/>
              </w:rPr>
              <w:t>Joint and Several Liability; Right to Lease</w:t>
            </w:r>
          </w:p>
        </w:tc>
        <w:tc>
          <w:tcPr>
            <w:tcW w:w="29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9"/>
        </w:trPr>
        <w:tc>
          <w:tcPr>
            <w:tcW w:w="7620" w:type="dxa"/>
            <w:vAlign w:val="bottom"/>
            <w:gridSpan w:val="2"/>
          </w:tcPr>
          <w:p>
            <w:pPr>
              <w:ind w:left="340"/>
              <w:spacing w:after="0"/>
              <w:rPr>
                <w:sz w:val="20"/>
                <w:szCs w:val="20"/>
                <w:color w:val="auto"/>
              </w:rPr>
            </w:pPr>
            <w:r>
              <w:rPr>
                <w:rFonts w:ascii="Arial" w:cs="Arial" w:eastAsia="Arial" w:hAnsi="Arial"/>
                <w:sz w:val="17"/>
                <w:szCs w:val="17"/>
                <w:color w:val="auto"/>
              </w:rPr>
              <w:t>17.11 Force Majeure</w:t>
            </w:r>
          </w:p>
        </w:tc>
        <w:tc>
          <w:tcPr>
            <w:tcW w:w="29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17.12</w:t>
            </w:r>
          </w:p>
        </w:tc>
        <w:tc>
          <w:tcPr>
            <w:tcW w:w="6860" w:type="dxa"/>
            <w:vAlign w:val="bottom"/>
          </w:tcPr>
          <w:p>
            <w:pPr>
              <w:ind w:left="20"/>
              <w:spacing w:after="0"/>
              <w:rPr>
                <w:sz w:val="20"/>
                <w:szCs w:val="20"/>
                <w:color w:val="auto"/>
              </w:rPr>
            </w:pPr>
            <w:r>
              <w:rPr>
                <w:rFonts w:ascii="Arial" w:cs="Arial" w:eastAsia="Arial" w:hAnsi="Arial"/>
                <w:sz w:val="17"/>
                <w:szCs w:val="17"/>
                <w:color w:val="auto"/>
              </w:rPr>
              <w:t>Limitation of Warranties</w:t>
            </w:r>
          </w:p>
        </w:tc>
        <w:tc>
          <w:tcPr>
            <w:tcW w:w="29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17.13</w:t>
            </w:r>
          </w:p>
        </w:tc>
        <w:tc>
          <w:tcPr>
            <w:tcW w:w="6860" w:type="dxa"/>
            <w:vAlign w:val="bottom"/>
          </w:tcPr>
          <w:p>
            <w:pPr>
              <w:ind w:left="20"/>
              <w:spacing w:after="0"/>
              <w:rPr>
                <w:sz w:val="20"/>
                <w:szCs w:val="20"/>
                <w:color w:val="auto"/>
              </w:rPr>
            </w:pPr>
            <w:r>
              <w:rPr>
                <w:rFonts w:ascii="Arial" w:cs="Arial" w:eastAsia="Arial" w:hAnsi="Arial"/>
                <w:sz w:val="17"/>
                <w:szCs w:val="17"/>
                <w:color w:val="auto"/>
              </w:rPr>
              <w:t>No Other Brokers</w:t>
            </w:r>
          </w:p>
        </w:tc>
        <w:tc>
          <w:tcPr>
            <w:tcW w:w="29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17.14</w:t>
            </w:r>
          </w:p>
        </w:tc>
        <w:tc>
          <w:tcPr>
            <w:tcW w:w="6860" w:type="dxa"/>
            <w:vAlign w:val="bottom"/>
          </w:tcPr>
          <w:p>
            <w:pPr>
              <w:ind w:left="20"/>
              <w:spacing w:after="0"/>
              <w:rPr>
                <w:sz w:val="20"/>
                <w:szCs w:val="20"/>
                <w:color w:val="auto"/>
              </w:rPr>
            </w:pPr>
            <w:r>
              <w:rPr>
                <w:rFonts w:ascii="Arial" w:cs="Arial" w:eastAsia="Arial" w:hAnsi="Arial"/>
                <w:sz w:val="17"/>
                <w:szCs w:val="17"/>
                <w:color w:val="auto"/>
              </w:rPr>
              <w:t>Applicable Law and Construction</w:t>
            </w:r>
          </w:p>
        </w:tc>
        <w:tc>
          <w:tcPr>
            <w:tcW w:w="29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17.15</w:t>
            </w:r>
          </w:p>
        </w:tc>
        <w:tc>
          <w:tcPr>
            <w:tcW w:w="6860" w:type="dxa"/>
            <w:vAlign w:val="bottom"/>
          </w:tcPr>
          <w:p>
            <w:pPr>
              <w:ind w:left="20"/>
              <w:spacing w:after="0"/>
              <w:rPr>
                <w:sz w:val="20"/>
                <w:szCs w:val="20"/>
                <w:color w:val="auto"/>
              </w:rPr>
            </w:pPr>
            <w:r>
              <w:rPr>
                <w:rFonts w:ascii="Arial" w:cs="Arial" w:eastAsia="Arial" w:hAnsi="Arial"/>
                <w:sz w:val="17"/>
                <w:szCs w:val="17"/>
                <w:color w:val="auto"/>
              </w:rPr>
              <w:t>Construction on the Property or Adjacent Property</w:t>
            </w:r>
          </w:p>
        </w:tc>
        <w:tc>
          <w:tcPr>
            <w:tcW w:w="29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9"/>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17.16</w:t>
            </w:r>
          </w:p>
        </w:tc>
        <w:tc>
          <w:tcPr>
            <w:tcW w:w="6860" w:type="dxa"/>
            <w:vAlign w:val="bottom"/>
          </w:tcPr>
          <w:p>
            <w:pPr>
              <w:ind w:left="20"/>
              <w:spacing w:after="0"/>
              <w:rPr>
                <w:sz w:val="20"/>
                <w:szCs w:val="20"/>
                <w:color w:val="auto"/>
              </w:rPr>
            </w:pPr>
            <w:r>
              <w:rPr>
                <w:rFonts w:ascii="Arial" w:cs="Arial" w:eastAsia="Arial" w:hAnsi="Arial"/>
                <w:sz w:val="17"/>
                <w:szCs w:val="17"/>
                <w:color w:val="auto"/>
              </w:rPr>
              <w:t>Vacancy at End of Term</w:t>
            </w:r>
          </w:p>
        </w:tc>
        <w:tc>
          <w:tcPr>
            <w:tcW w:w="29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1"/>
        </w:trPr>
        <w:tc>
          <w:tcPr>
            <w:tcW w:w="760" w:type="dxa"/>
            <w:vAlign w:val="bottom"/>
          </w:tcPr>
          <w:p>
            <w:pPr>
              <w:ind w:left="340"/>
              <w:spacing w:after="0"/>
              <w:rPr>
                <w:sz w:val="20"/>
                <w:szCs w:val="20"/>
                <w:color w:val="auto"/>
              </w:rPr>
            </w:pPr>
            <w:r>
              <w:rPr>
                <w:rFonts w:ascii="Arial" w:cs="Arial" w:eastAsia="Arial" w:hAnsi="Arial"/>
                <w:sz w:val="17"/>
                <w:szCs w:val="17"/>
                <w:color w:val="auto"/>
                <w:w w:val="93"/>
              </w:rPr>
              <w:t>17.17</w:t>
            </w:r>
          </w:p>
        </w:tc>
        <w:tc>
          <w:tcPr>
            <w:tcW w:w="6860" w:type="dxa"/>
            <w:vAlign w:val="bottom"/>
          </w:tcPr>
          <w:p>
            <w:pPr>
              <w:ind w:left="20"/>
              <w:spacing w:after="0"/>
              <w:rPr>
                <w:sz w:val="20"/>
                <w:szCs w:val="20"/>
                <w:color w:val="auto"/>
              </w:rPr>
            </w:pPr>
            <w:r>
              <w:rPr>
                <w:rFonts w:ascii="Arial" w:cs="Arial" w:eastAsia="Arial" w:hAnsi="Arial"/>
                <w:sz w:val="17"/>
                <w:szCs w:val="17"/>
                <w:color w:val="auto"/>
              </w:rPr>
              <w:t>Confidentiality</w:t>
            </w:r>
          </w:p>
        </w:tc>
        <w:tc>
          <w:tcPr>
            <w:tcW w:w="2980" w:type="dxa"/>
            <w:vAlign w:val="bottom"/>
          </w:tcPr>
          <w:p>
            <w:pPr>
              <w:jc w:val="right"/>
              <w:spacing w:after="0"/>
              <w:rPr>
                <w:sz w:val="20"/>
                <w:szCs w:val="20"/>
                <w:color w:val="auto"/>
              </w:rPr>
            </w:pPr>
            <w:r>
              <w:rPr>
                <w:rFonts w:ascii="Arial" w:cs="Arial" w:eastAsia="Arial" w:hAnsi="Arial"/>
                <w:sz w:val="17"/>
                <w:szCs w:val="17"/>
                <w:color w:val="auto"/>
              </w:rPr>
              <w:t>55</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7"/>
        </w:trPr>
        <w:tc>
          <w:tcPr>
            <w:tcW w:w="6880" w:type="dxa"/>
            <w:vAlign w:val="bottom"/>
          </w:tcPr>
          <w:p>
            <w:pPr>
              <w:spacing w:after="0"/>
              <w:rPr>
                <w:sz w:val="20"/>
                <w:szCs w:val="20"/>
                <w:color w:val="auto"/>
              </w:rPr>
            </w:pPr>
            <w:r>
              <w:rPr>
                <w:rFonts w:ascii="Arial" w:cs="Arial" w:eastAsia="Arial" w:hAnsi="Arial"/>
                <w:sz w:val="17"/>
                <w:szCs w:val="17"/>
                <w:color w:val="auto"/>
              </w:rPr>
              <w:t>17.18 OFAC CERTIFICATION AND INDEMNITY</w:t>
            </w:r>
          </w:p>
        </w:tc>
        <w:tc>
          <w:tcPr>
            <w:tcW w:w="33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1"/>
        </w:trPr>
        <w:tc>
          <w:tcPr>
            <w:tcW w:w="6880" w:type="dxa"/>
            <w:vAlign w:val="bottom"/>
          </w:tcPr>
          <w:p>
            <w:pPr>
              <w:spacing w:after="0"/>
              <w:rPr>
                <w:sz w:val="20"/>
                <w:szCs w:val="20"/>
                <w:color w:val="auto"/>
              </w:rPr>
            </w:pPr>
            <w:r>
              <w:rPr>
                <w:rFonts w:ascii="Arial" w:cs="Arial" w:eastAsia="Arial" w:hAnsi="Arial"/>
                <w:sz w:val="17"/>
                <w:szCs w:val="17"/>
                <w:color w:val="auto"/>
              </w:rPr>
              <w:t>17.19 WAIVER OF JURY TRIAL</w:t>
            </w:r>
          </w:p>
        </w:tc>
        <w:tc>
          <w:tcPr>
            <w:tcW w:w="3380" w:type="dxa"/>
            <w:vAlign w:val="bottom"/>
          </w:tcPr>
          <w:p>
            <w:pPr>
              <w:jc w:val="right"/>
              <w:spacing w:after="0"/>
              <w:rPr>
                <w:sz w:val="20"/>
                <w:szCs w:val="20"/>
                <w:color w:val="auto"/>
              </w:rPr>
            </w:pPr>
            <w:r>
              <w:rPr>
                <w:rFonts w:ascii="Arial" w:cs="Arial" w:eastAsia="Arial" w:hAnsi="Arial"/>
                <w:sz w:val="17"/>
                <w:szCs w:val="17"/>
                <w:color w:val="auto"/>
              </w:rPr>
              <w:t>56</w:t>
            </w:r>
          </w:p>
        </w:tc>
      </w:tr>
    </w:tbl>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600"/>
          </w:cols>
          <w:pgMar w:left="620" w:top="271" w:right="679" w:bottom="1440" w:gutter="0" w:footer="0" w:header="0"/>
        </w:sectPr>
      </w:pPr>
    </w:p>
    <w:bookmarkStart w:id="395" w:name="page396"/>
    <w:bookmarkEnd w:id="39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1: BASIC TERMS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used in this Lease shall have the meanings set forth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20"/>
                <w:szCs w:val="20"/>
                <w:color w:val="auto"/>
              </w:rPr>
            </w:pPr>
            <w:r>
              <w:rPr>
                <w:rFonts w:ascii="Arial" w:cs="Arial" w:eastAsia="Arial" w:hAnsi="Arial"/>
                <w:sz w:val="17"/>
                <w:szCs w:val="17"/>
                <w:b w:val="1"/>
                <w:bCs w:val="1"/>
                <w:color w:val="auto"/>
              </w:rPr>
              <w:t>Date of Lease:</w:t>
            </w:r>
          </w:p>
        </w:tc>
        <w:tc>
          <w:tcPr>
            <w:tcW w:w="6840" w:type="dxa"/>
            <w:vAlign w:val="bottom"/>
            <w:gridSpan w:val="15"/>
          </w:tcPr>
          <w:p>
            <w:pPr>
              <w:spacing w:after="0"/>
              <w:rPr>
                <w:sz w:val="20"/>
                <w:szCs w:val="20"/>
                <w:color w:val="auto"/>
              </w:rPr>
            </w:pPr>
            <w:r>
              <w:rPr>
                <w:rFonts w:ascii="Arial" w:cs="Arial" w:eastAsia="Arial" w:hAnsi="Arial"/>
                <w:sz w:val="17"/>
                <w:szCs w:val="17"/>
                <w:color w:val="auto"/>
              </w:rPr>
              <w:t>March 20, 2017</w:t>
            </w:r>
          </w:p>
        </w:tc>
        <w:tc>
          <w:tcPr>
            <w:tcW w:w="0" w:type="dxa"/>
            <w:vAlign w:val="bottom"/>
          </w:tcPr>
          <w:p>
            <w:pPr>
              <w:spacing w:after="0"/>
              <w:rPr>
                <w:sz w:val="1"/>
                <w:szCs w:val="1"/>
                <w:color w:val="auto"/>
              </w:rPr>
            </w:pPr>
          </w:p>
        </w:tc>
      </w:tr>
      <w:tr>
        <w:trPr>
          <w:trHeight w:val="313"/>
        </w:trPr>
        <w:tc>
          <w:tcPr>
            <w:tcW w:w="380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6840" w:type="dxa"/>
            <w:vAlign w:val="bottom"/>
            <w:gridSpan w:val="15"/>
          </w:tcPr>
          <w:p>
            <w:pPr>
              <w:spacing w:after="0"/>
              <w:rPr>
                <w:sz w:val="20"/>
                <w:szCs w:val="20"/>
                <w:color w:val="auto"/>
              </w:rPr>
            </w:pPr>
            <w:r>
              <w:rPr>
                <w:rFonts w:ascii="Arial" w:cs="Arial" w:eastAsia="Arial" w:hAnsi="Arial"/>
                <w:sz w:val="17"/>
                <w:szCs w:val="17"/>
                <w:b w:val="1"/>
                <w:bCs w:val="1"/>
                <w:color w:val="auto"/>
              </w:rPr>
              <w:t>128 Spring Street Lexington, LLC</w:t>
            </w:r>
            <w:r>
              <w:rPr>
                <w:rFonts w:ascii="Arial" w:cs="Arial" w:eastAsia="Arial" w:hAnsi="Arial"/>
                <w:sz w:val="17"/>
                <w:szCs w:val="17"/>
                <w:color w:val="auto"/>
              </w:rPr>
              <w:t>, a Delaware limited liability company</w:t>
            </w:r>
          </w:p>
        </w:tc>
        <w:tc>
          <w:tcPr>
            <w:tcW w:w="0" w:type="dxa"/>
            <w:vAlign w:val="bottom"/>
          </w:tcPr>
          <w:p>
            <w:pPr>
              <w:spacing w:after="0"/>
              <w:rPr>
                <w:sz w:val="1"/>
                <w:szCs w:val="1"/>
                <w:color w:val="auto"/>
              </w:rPr>
            </w:pPr>
          </w:p>
        </w:tc>
      </w:tr>
      <w:tr>
        <w:trPr>
          <w:trHeight w:val="313"/>
        </w:trPr>
        <w:tc>
          <w:tcPr>
            <w:tcW w:w="380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6840" w:type="dxa"/>
            <w:vAlign w:val="bottom"/>
            <w:gridSpan w:val="15"/>
          </w:tcPr>
          <w:p>
            <w:pPr>
              <w:spacing w:after="0"/>
              <w:rPr>
                <w:sz w:val="20"/>
                <w:szCs w:val="20"/>
                <w:color w:val="auto"/>
              </w:rPr>
            </w:pPr>
            <w:r>
              <w:rPr>
                <w:rFonts w:ascii="Arial" w:cs="Arial" w:eastAsia="Arial" w:hAnsi="Arial"/>
                <w:sz w:val="17"/>
                <w:szCs w:val="17"/>
                <w:color w:val="auto"/>
              </w:rPr>
              <w:t>Keros Therapeutics, Inc., a Delaware limited liability company</w:t>
            </w:r>
          </w:p>
        </w:tc>
        <w:tc>
          <w:tcPr>
            <w:tcW w:w="0" w:type="dxa"/>
            <w:vAlign w:val="bottom"/>
          </w:tcPr>
          <w:p>
            <w:pPr>
              <w:spacing w:after="0"/>
              <w:rPr>
                <w:sz w:val="1"/>
                <w:szCs w:val="1"/>
                <w:color w:val="auto"/>
              </w:rPr>
            </w:pPr>
          </w:p>
        </w:tc>
      </w:tr>
      <w:tr>
        <w:trPr>
          <w:trHeight w:val="274"/>
        </w:trPr>
        <w:tc>
          <w:tcPr>
            <w:tcW w:w="3800" w:type="dxa"/>
            <w:vAlign w:val="bottom"/>
          </w:tcPr>
          <w:p>
            <w:pPr>
              <w:spacing w:after="0"/>
              <w:rPr>
                <w:sz w:val="20"/>
                <w:szCs w:val="20"/>
                <w:color w:val="auto"/>
              </w:rPr>
            </w:pPr>
            <w:r>
              <w:rPr>
                <w:rFonts w:ascii="Arial" w:cs="Arial" w:eastAsia="Arial" w:hAnsi="Arial"/>
                <w:sz w:val="17"/>
                <w:szCs w:val="17"/>
                <w:b w:val="1"/>
                <w:bCs w:val="1"/>
                <w:color w:val="auto"/>
              </w:rPr>
              <w:t>Building and Property:</w:t>
            </w:r>
          </w:p>
        </w:tc>
        <w:tc>
          <w:tcPr>
            <w:tcW w:w="6840" w:type="dxa"/>
            <w:vAlign w:val="bottom"/>
            <w:gridSpan w:val="15"/>
          </w:tcPr>
          <w:p>
            <w:pPr>
              <w:spacing w:after="0"/>
              <w:rPr>
                <w:sz w:val="20"/>
                <w:szCs w:val="20"/>
                <w:color w:val="auto"/>
              </w:rPr>
            </w:pPr>
            <w:r>
              <w:rPr>
                <w:rFonts w:ascii="Arial" w:cs="Arial" w:eastAsia="Arial" w:hAnsi="Arial"/>
                <w:sz w:val="17"/>
                <w:szCs w:val="17"/>
                <w:color w:val="auto"/>
                <w:w w:val="95"/>
              </w:rPr>
              <w:t>The building complex known as Ledgemont Technology Center and consisting of the “Richards</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tcPr>
          <w:p>
            <w:pPr>
              <w:spacing w:after="0"/>
              <w:rPr>
                <w:sz w:val="16"/>
                <w:szCs w:val="16"/>
                <w:color w:val="auto"/>
              </w:rPr>
            </w:pPr>
          </w:p>
        </w:tc>
        <w:tc>
          <w:tcPr>
            <w:tcW w:w="6840" w:type="dxa"/>
            <w:vAlign w:val="bottom"/>
            <w:gridSpan w:val="15"/>
          </w:tcPr>
          <w:p>
            <w:pPr>
              <w:spacing w:after="0" w:line="189" w:lineRule="exact"/>
              <w:rPr>
                <w:sz w:val="20"/>
                <w:szCs w:val="20"/>
                <w:color w:val="auto"/>
              </w:rPr>
            </w:pPr>
            <w:r>
              <w:rPr>
                <w:rFonts w:ascii="Arial" w:cs="Arial" w:eastAsia="Arial" w:hAnsi="Arial"/>
                <w:sz w:val="17"/>
                <w:szCs w:val="17"/>
                <w:color w:val="auto"/>
                <w:w w:val="98"/>
              </w:rPr>
              <w:t>House,” “Building B,” “B Annex,” “Building C,” the “East Wing, (a/k/a Building D)” the parking</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Pr>
          <w:p>
            <w:pPr>
              <w:spacing w:after="0"/>
              <w:rPr>
                <w:sz w:val="18"/>
                <w:szCs w:val="18"/>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w w:val="92"/>
              </w:rPr>
              <w:t>garage and other appurtenances thereto located at 99 Hayden Avenue, Lexington, Massachusetts</w:t>
            </w: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6840" w:type="dxa"/>
            <w:vAlign w:val="bottom"/>
            <w:gridSpan w:val="15"/>
          </w:tcPr>
          <w:p>
            <w:pPr>
              <w:spacing w:after="0" w:line="182" w:lineRule="exact"/>
              <w:rPr>
                <w:sz w:val="20"/>
                <w:szCs w:val="20"/>
                <w:color w:val="auto"/>
              </w:rPr>
            </w:pPr>
            <w:r>
              <w:rPr>
                <w:rFonts w:ascii="Arial" w:cs="Arial" w:eastAsia="Arial" w:hAnsi="Arial"/>
                <w:sz w:val="17"/>
                <w:szCs w:val="17"/>
                <w:color w:val="auto"/>
              </w:rPr>
              <w:t>(the “Building” and such parcel of land hereinafter being collectively referred to as the</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tcPr>
          <w:p>
            <w:pPr>
              <w:spacing w:after="0"/>
              <w:rPr>
                <w:sz w:val="16"/>
                <w:szCs w:val="16"/>
                <w:color w:val="auto"/>
              </w:rPr>
            </w:pPr>
          </w:p>
        </w:tc>
        <w:tc>
          <w:tcPr>
            <w:tcW w:w="6840" w:type="dxa"/>
            <w:vAlign w:val="bottom"/>
            <w:gridSpan w:val="15"/>
          </w:tcPr>
          <w:p>
            <w:pPr>
              <w:spacing w:after="0" w:line="189" w:lineRule="exact"/>
              <w:rPr>
                <w:sz w:val="20"/>
                <w:szCs w:val="20"/>
                <w:color w:val="auto"/>
              </w:rPr>
            </w:pPr>
            <w:r>
              <w:rPr>
                <w:rFonts w:ascii="Arial" w:cs="Arial" w:eastAsia="Arial" w:hAnsi="Arial"/>
                <w:sz w:val="17"/>
                <w:szCs w:val="17"/>
                <w:color w:val="auto"/>
              </w:rPr>
              <w:t>“Property”).</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b w:val="1"/>
                <w:bCs w:val="1"/>
                <w:color w:val="auto"/>
              </w:rPr>
              <w:t>Premises:</w:t>
            </w:r>
          </w:p>
        </w:tc>
        <w:tc>
          <w:tcPr>
            <w:tcW w:w="600" w:type="dxa"/>
            <w:vAlign w:val="bottom"/>
            <w:gridSpan w:val="2"/>
            <w:shd w:val="clear" w:color="auto" w:fill="00000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800" w:type="dxa"/>
            <w:vAlign w:val="bottom"/>
            <w:vMerge w:val="continue"/>
          </w:tcPr>
          <w:p>
            <w:pPr>
              <w:spacing w:after="0"/>
              <w:rPr>
                <w:sz w:val="24"/>
                <w:szCs w:val="24"/>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rPr>
              <w:t>Portions of the Building consisting of approximately 5,420 rentable square feet (subject to</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w w:val="92"/>
              </w:rPr>
              <w:t>re-measurement as set forth herein) located on portion(s) of the 300 Level of Building D, as shown</w:t>
            </w: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6840" w:type="dxa"/>
            <w:vAlign w:val="bottom"/>
            <w:gridSpan w:val="15"/>
          </w:tcPr>
          <w:p>
            <w:pPr>
              <w:spacing w:after="0" w:line="182" w:lineRule="exact"/>
              <w:rPr>
                <w:sz w:val="20"/>
                <w:szCs w:val="20"/>
                <w:color w:val="auto"/>
              </w:rPr>
            </w:pPr>
            <w:r>
              <w:rPr>
                <w:rFonts w:ascii="Arial" w:cs="Arial" w:eastAsia="Arial" w:hAnsi="Arial"/>
                <w:sz w:val="17"/>
                <w:szCs w:val="17"/>
                <w:color w:val="auto"/>
              </w:rPr>
              <w:t>as the hatched area on Exhibit A.</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b w:val="1"/>
                <w:bCs w:val="1"/>
                <w:color w:val="auto"/>
              </w:rPr>
              <w:t>Initial Term:</w:t>
            </w:r>
          </w:p>
        </w:tc>
        <w:tc>
          <w:tcPr>
            <w:tcW w:w="1520" w:type="dxa"/>
            <w:vAlign w:val="bottom"/>
            <w:gridSpan w:val="6"/>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800" w:type="dxa"/>
            <w:vAlign w:val="bottom"/>
            <w:vMerge w:val="continue"/>
          </w:tcPr>
          <w:p>
            <w:pPr>
              <w:spacing w:after="0"/>
              <w:rPr>
                <w:sz w:val="24"/>
                <w:szCs w:val="24"/>
                <w:color w:val="auto"/>
              </w:rPr>
            </w:pPr>
          </w:p>
        </w:tc>
        <w:tc>
          <w:tcPr>
            <w:tcW w:w="6840" w:type="dxa"/>
            <w:vAlign w:val="bottom"/>
            <w:gridSpan w:val="15"/>
          </w:tcPr>
          <w:p>
            <w:pPr>
              <w:spacing w:after="0" w:line="320" w:lineRule="exact"/>
              <w:rPr>
                <w:sz w:val="20"/>
                <w:szCs w:val="20"/>
                <w:color w:val="auto"/>
              </w:rPr>
            </w:pPr>
            <w:r>
              <w:rPr>
                <w:rFonts w:ascii="Arial" w:cs="Arial" w:eastAsia="Arial" w:hAnsi="Arial"/>
                <w:sz w:val="17"/>
                <w:szCs w:val="17"/>
                <w:color w:val="auto"/>
                <w:w w:val="96"/>
              </w:rPr>
              <w:t xml:space="preserve">Five (5) Lease Years (defined below) and two and one-half (2 </w:t>
            </w:r>
            <w:r>
              <w:rPr>
                <w:rFonts w:ascii="Arial" w:cs="Arial" w:eastAsia="Arial" w:hAnsi="Arial"/>
                <w:sz w:val="29"/>
                <w:szCs w:val="29"/>
                <w:color w:val="auto"/>
                <w:w w:val="96"/>
                <w:vertAlign w:val="superscript"/>
              </w:rPr>
              <w:t>1</w:t>
            </w:r>
            <w:r>
              <w:rPr>
                <w:rFonts w:ascii="Arial" w:cs="Arial" w:eastAsia="Arial" w:hAnsi="Arial"/>
                <w:sz w:val="17"/>
                <w:szCs w:val="17"/>
                <w:color w:val="auto"/>
                <w:w w:val="96"/>
              </w:rPr>
              <w:t>⁄</w:t>
            </w:r>
            <w:r>
              <w:rPr>
                <w:rFonts w:ascii="Arial" w:cs="Arial" w:eastAsia="Arial" w:hAnsi="Arial"/>
                <w:sz w:val="29"/>
                <w:szCs w:val="29"/>
                <w:color w:val="auto"/>
                <w:w w:val="96"/>
                <w:vertAlign w:val="subscript"/>
              </w:rPr>
              <w:t>2</w:t>
            </w:r>
            <w:r>
              <w:rPr>
                <w:rFonts w:ascii="Arial" w:cs="Arial" w:eastAsia="Arial" w:hAnsi="Arial"/>
                <w:sz w:val="17"/>
                <w:szCs w:val="17"/>
                <w:color w:val="auto"/>
                <w:w w:val="96"/>
              </w:rPr>
              <w:t>) months commencing on the</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rPr>
              <w:t>Term Commencement Date (defined below).</w:t>
            </w:r>
          </w:p>
        </w:tc>
        <w:tc>
          <w:tcPr>
            <w:tcW w:w="0" w:type="dxa"/>
            <w:vAlign w:val="bottom"/>
          </w:tcPr>
          <w:p>
            <w:pPr>
              <w:spacing w:after="0"/>
              <w:rPr>
                <w:sz w:val="1"/>
                <w:szCs w:val="1"/>
                <w:color w:val="auto"/>
              </w:rPr>
            </w:pPr>
          </w:p>
        </w:tc>
      </w:tr>
      <w:tr>
        <w:trPr>
          <w:trHeight w:val="313"/>
        </w:trPr>
        <w:tc>
          <w:tcPr>
            <w:tcW w:w="3800" w:type="dxa"/>
            <w:vAlign w:val="bottom"/>
          </w:tcPr>
          <w:p>
            <w:pPr>
              <w:spacing w:after="0"/>
              <w:rPr>
                <w:sz w:val="20"/>
                <w:szCs w:val="20"/>
                <w:color w:val="auto"/>
              </w:rPr>
            </w:pPr>
            <w:r>
              <w:rPr>
                <w:rFonts w:ascii="Arial" w:cs="Arial" w:eastAsia="Arial" w:hAnsi="Arial"/>
                <w:sz w:val="17"/>
                <w:szCs w:val="17"/>
                <w:b w:val="1"/>
                <w:bCs w:val="1"/>
                <w:color w:val="auto"/>
              </w:rPr>
              <w:t>Extension Term:</w:t>
            </w:r>
          </w:p>
        </w:tc>
        <w:tc>
          <w:tcPr>
            <w:tcW w:w="6840" w:type="dxa"/>
            <w:vAlign w:val="bottom"/>
            <w:gridSpan w:val="15"/>
          </w:tcPr>
          <w:p>
            <w:pPr>
              <w:spacing w:after="0"/>
              <w:rPr>
                <w:sz w:val="20"/>
                <w:szCs w:val="20"/>
                <w:color w:val="auto"/>
              </w:rPr>
            </w:pPr>
            <w:r>
              <w:rPr>
                <w:rFonts w:ascii="Arial" w:cs="Arial" w:eastAsia="Arial" w:hAnsi="Arial"/>
                <w:sz w:val="17"/>
                <w:szCs w:val="17"/>
                <w:color w:val="auto"/>
              </w:rPr>
              <w:t>One (1) additional term of three (3) Lease Years.</w:t>
            </w:r>
          </w:p>
        </w:tc>
        <w:tc>
          <w:tcPr>
            <w:tcW w:w="0" w:type="dxa"/>
            <w:vAlign w:val="bottom"/>
          </w:tcPr>
          <w:p>
            <w:pPr>
              <w:spacing w:after="0"/>
              <w:rPr>
                <w:sz w:val="1"/>
                <w:szCs w:val="1"/>
                <w:color w:val="auto"/>
              </w:rPr>
            </w:pPr>
          </w:p>
        </w:tc>
      </w:tr>
      <w:tr>
        <w:trPr>
          <w:trHeight w:val="301"/>
        </w:trPr>
        <w:tc>
          <w:tcPr>
            <w:tcW w:w="3800" w:type="dxa"/>
            <w:vAlign w:val="bottom"/>
          </w:tcPr>
          <w:p>
            <w:pPr>
              <w:spacing w:after="0"/>
              <w:rPr>
                <w:sz w:val="20"/>
                <w:szCs w:val="20"/>
                <w:color w:val="auto"/>
              </w:rPr>
            </w:pPr>
            <w:r>
              <w:rPr>
                <w:rFonts w:ascii="Arial" w:cs="Arial" w:eastAsia="Arial" w:hAnsi="Arial"/>
                <w:sz w:val="17"/>
                <w:szCs w:val="17"/>
                <w:b w:val="1"/>
                <w:bCs w:val="1"/>
                <w:color w:val="auto"/>
              </w:rPr>
              <w:t>Lease Year:</w:t>
            </w:r>
          </w:p>
        </w:tc>
        <w:tc>
          <w:tcPr>
            <w:tcW w:w="6840" w:type="dxa"/>
            <w:vAlign w:val="bottom"/>
            <w:gridSpan w:val="15"/>
          </w:tcPr>
          <w:p>
            <w:pPr>
              <w:spacing w:after="0"/>
              <w:rPr>
                <w:sz w:val="20"/>
                <w:szCs w:val="20"/>
                <w:color w:val="auto"/>
              </w:rPr>
            </w:pPr>
            <w:r>
              <w:rPr>
                <w:rFonts w:ascii="Arial" w:cs="Arial" w:eastAsia="Arial" w:hAnsi="Arial"/>
                <w:sz w:val="17"/>
                <w:szCs w:val="17"/>
                <w:color w:val="auto"/>
                <w:w w:val="93"/>
              </w:rPr>
              <w:t>A period of twelve (12) consecutive months, commencing on the Term Commencement Date and</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w w:val="91"/>
              </w:rPr>
              <w:t>each successive twelve (12) month period during the Term, except that if the Term Commencement</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w w:val="98"/>
              </w:rPr>
              <w:t>Date shall occur on a date other than the first day of a month, then the first Lease Year shall</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w w:val="95"/>
              </w:rPr>
              <w:t>include the period of the Term Commencement Date to the first day of the following month and</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rPr>
              <w:t>twelve (12) calendar months thereafter.</w:t>
            </w:r>
          </w:p>
        </w:tc>
        <w:tc>
          <w:tcPr>
            <w:tcW w:w="0" w:type="dxa"/>
            <w:vAlign w:val="bottom"/>
          </w:tcPr>
          <w:p>
            <w:pPr>
              <w:spacing w:after="0"/>
              <w:rPr>
                <w:sz w:val="1"/>
                <w:szCs w:val="1"/>
                <w:color w:val="auto"/>
              </w:rPr>
            </w:pPr>
          </w:p>
        </w:tc>
      </w:tr>
      <w:tr>
        <w:trPr>
          <w:trHeight w:val="301"/>
        </w:trPr>
        <w:tc>
          <w:tcPr>
            <w:tcW w:w="3800" w:type="dxa"/>
            <w:vAlign w:val="bottom"/>
          </w:tcPr>
          <w:p>
            <w:pPr>
              <w:spacing w:after="0"/>
              <w:rPr>
                <w:sz w:val="20"/>
                <w:szCs w:val="20"/>
                <w:color w:val="auto"/>
              </w:rPr>
            </w:pPr>
            <w:r>
              <w:rPr>
                <w:rFonts w:ascii="Arial" w:cs="Arial" w:eastAsia="Arial" w:hAnsi="Arial"/>
                <w:sz w:val="17"/>
                <w:szCs w:val="17"/>
                <w:b w:val="1"/>
                <w:bCs w:val="1"/>
                <w:color w:val="auto"/>
              </w:rPr>
              <w:t>Term Commencement Date:</w:t>
            </w:r>
          </w:p>
        </w:tc>
        <w:tc>
          <w:tcPr>
            <w:tcW w:w="6840" w:type="dxa"/>
            <w:vAlign w:val="bottom"/>
            <w:gridSpan w:val="15"/>
          </w:tcPr>
          <w:p>
            <w:pPr>
              <w:spacing w:after="0"/>
              <w:rPr>
                <w:sz w:val="20"/>
                <w:szCs w:val="20"/>
                <w:color w:val="auto"/>
              </w:rPr>
            </w:pPr>
            <w:r>
              <w:rPr>
                <w:rFonts w:ascii="Arial" w:cs="Arial" w:eastAsia="Arial" w:hAnsi="Arial"/>
                <w:sz w:val="17"/>
                <w:szCs w:val="17"/>
                <w:color w:val="auto"/>
              </w:rPr>
              <w:t>The date Landlord delivers possession of the Premises to Tenant with the Initial Tenant</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6840" w:type="dxa"/>
            <w:vAlign w:val="bottom"/>
            <w:gridSpan w:val="15"/>
          </w:tcPr>
          <w:p>
            <w:pPr>
              <w:spacing w:after="0"/>
              <w:rPr>
                <w:sz w:val="20"/>
                <w:szCs w:val="20"/>
                <w:color w:val="auto"/>
              </w:rPr>
            </w:pPr>
            <w:r>
              <w:rPr>
                <w:rFonts w:ascii="Arial" w:cs="Arial" w:eastAsia="Arial" w:hAnsi="Arial"/>
                <w:sz w:val="17"/>
                <w:szCs w:val="17"/>
                <w:color w:val="auto"/>
              </w:rPr>
              <w:t>Improvements (hereinafter defined) Substantially Complete (as defined in Section 11.04).</w:t>
            </w:r>
          </w:p>
        </w:tc>
        <w:tc>
          <w:tcPr>
            <w:tcW w:w="0" w:type="dxa"/>
            <w:vAlign w:val="bottom"/>
          </w:tcPr>
          <w:p>
            <w:pPr>
              <w:spacing w:after="0"/>
              <w:rPr>
                <w:sz w:val="1"/>
                <w:szCs w:val="1"/>
                <w:color w:val="auto"/>
              </w:rPr>
            </w:pPr>
          </w:p>
        </w:tc>
      </w:tr>
      <w:tr>
        <w:trPr>
          <w:trHeight w:val="352"/>
        </w:trPr>
        <w:tc>
          <w:tcPr>
            <w:tcW w:w="3800" w:type="dxa"/>
            <w:vAlign w:val="bottom"/>
          </w:tcPr>
          <w:p>
            <w:pPr>
              <w:spacing w:after="0"/>
              <w:rPr>
                <w:sz w:val="24"/>
                <w:szCs w:val="24"/>
                <w:color w:val="auto"/>
              </w:rPr>
            </w:pPr>
          </w:p>
        </w:tc>
        <w:tc>
          <w:tcPr>
            <w:tcW w:w="1620" w:type="dxa"/>
            <w:vAlign w:val="bottom"/>
            <w:gridSpan w:val="7"/>
          </w:tcPr>
          <w:p>
            <w:pPr>
              <w:jc w:val="right"/>
              <w:ind w:right="60"/>
              <w:spacing w:after="0"/>
              <w:rPr>
                <w:sz w:val="20"/>
                <w:szCs w:val="20"/>
                <w:color w:val="auto"/>
              </w:rPr>
            </w:pPr>
            <w:r>
              <w:rPr>
                <w:rFonts w:ascii="Arial" w:cs="Arial" w:eastAsia="Arial" w:hAnsi="Arial"/>
                <w:sz w:val="17"/>
                <w:szCs w:val="17"/>
                <w:color w:val="auto"/>
              </w:rPr>
              <w:t>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20" w:top="264" w:right="639" w:bottom="1440" w:gutter="0" w:footer="0" w:header="0"/>
        </w:sectPr>
      </w:pPr>
    </w:p>
    <w:bookmarkStart w:id="396" w:name="page397"/>
    <w:bookmarkEnd w:id="396"/>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447"/>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Rent Commencement Date:</w:t>
            </w:r>
          </w:p>
        </w:tc>
        <w:tc>
          <w:tcPr>
            <w:tcW w:w="7580" w:type="dxa"/>
            <w:vAlign w:val="bottom"/>
            <w:gridSpan w:val="6"/>
          </w:tcPr>
          <w:p>
            <w:pPr>
              <w:ind w:left="700"/>
              <w:spacing w:after="0"/>
              <w:rPr>
                <w:sz w:val="20"/>
                <w:szCs w:val="20"/>
                <w:color w:val="auto"/>
              </w:rPr>
            </w:pPr>
            <w:r>
              <w:rPr>
                <w:rFonts w:ascii="Arial" w:cs="Arial" w:eastAsia="Arial" w:hAnsi="Arial"/>
                <w:sz w:val="17"/>
                <w:szCs w:val="17"/>
                <w:color w:val="auto"/>
              </w:rPr>
              <w:t xml:space="preserve">The date that is two and one-half (2 </w:t>
            </w:r>
            <w:r>
              <w:rPr>
                <w:rFonts w:ascii="Arial" w:cs="Arial" w:eastAsia="Arial" w:hAnsi="Arial"/>
                <w:sz w:val="29"/>
                <w:szCs w:val="29"/>
                <w:color w:val="auto"/>
                <w:vertAlign w:val="superscript"/>
              </w:rPr>
              <w:t>1</w:t>
            </w:r>
            <w:r>
              <w:rPr>
                <w:rFonts w:ascii="Arial" w:cs="Arial" w:eastAsia="Arial" w:hAnsi="Arial"/>
                <w:sz w:val="17"/>
                <w:szCs w:val="17"/>
                <w:color w:val="auto"/>
              </w:rPr>
              <w:t>⁄</w:t>
            </w:r>
            <w:r>
              <w:rPr>
                <w:rFonts w:ascii="Arial" w:cs="Arial" w:eastAsia="Arial" w:hAnsi="Arial"/>
                <w:sz w:val="29"/>
                <w:szCs w:val="29"/>
                <w:color w:val="auto"/>
                <w:vertAlign w:val="subscript"/>
              </w:rPr>
              <w:t>2</w:t>
            </w:r>
            <w:r>
              <w:rPr>
                <w:rFonts w:ascii="Arial" w:cs="Arial" w:eastAsia="Arial" w:hAnsi="Arial"/>
                <w:sz w:val="17"/>
                <w:szCs w:val="17"/>
                <w:color w:val="auto"/>
              </w:rPr>
              <w:t>) months following the Term Commencement Date</w:t>
            </w:r>
          </w:p>
        </w:tc>
      </w:tr>
      <w:tr>
        <w:trPr>
          <w:trHeight w:val="215"/>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Permitted Uses:</w:t>
            </w:r>
          </w:p>
        </w:tc>
        <w:tc>
          <w:tcPr>
            <w:tcW w:w="7580" w:type="dxa"/>
            <w:vAlign w:val="bottom"/>
            <w:gridSpan w:val="6"/>
          </w:tcPr>
          <w:p>
            <w:pPr>
              <w:ind w:left="700"/>
              <w:spacing w:after="0"/>
              <w:rPr>
                <w:sz w:val="20"/>
                <w:szCs w:val="20"/>
                <w:color w:val="auto"/>
              </w:rPr>
            </w:pPr>
            <w:r>
              <w:rPr>
                <w:rFonts w:ascii="Arial" w:cs="Arial" w:eastAsia="Arial" w:hAnsi="Arial"/>
                <w:sz w:val="17"/>
                <w:szCs w:val="17"/>
                <w:color w:val="auto"/>
                <w:w w:val="93"/>
              </w:rPr>
              <w:t>General Office and laboratory (including research and development (including, but not limited to a</w:t>
            </w:r>
          </w:p>
        </w:tc>
      </w:tr>
      <w:tr>
        <w:trPr>
          <w:trHeight w:val="209"/>
        </w:trPr>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580" w:type="dxa"/>
            <w:vAlign w:val="bottom"/>
            <w:gridSpan w:val="6"/>
          </w:tcPr>
          <w:p>
            <w:pPr>
              <w:ind w:left="700"/>
              <w:spacing w:after="0"/>
              <w:rPr>
                <w:sz w:val="20"/>
                <w:szCs w:val="20"/>
                <w:color w:val="auto"/>
              </w:rPr>
            </w:pPr>
            <w:r>
              <w:rPr>
                <w:rFonts w:ascii="Arial" w:cs="Arial" w:eastAsia="Arial" w:hAnsi="Arial"/>
                <w:sz w:val="17"/>
                <w:szCs w:val="17"/>
                <w:color w:val="auto"/>
                <w:w w:val="94"/>
              </w:rPr>
              <w:t>vivarium subject to the provisions of the Lease)) use to the extent permitted by applicable zoning</w:t>
            </w:r>
          </w:p>
        </w:tc>
      </w:tr>
      <w:tr>
        <w:trPr>
          <w:trHeight w:val="221"/>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0" w:type="dxa"/>
            <w:vAlign w:val="bottom"/>
          </w:tcPr>
          <w:p>
            <w:pPr>
              <w:ind w:left="700"/>
              <w:spacing w:after="0"/>
              <w:rPr>
                <w:sz w:val="20"/>
                <w:szCs w:val="20"/>
                <w:color w:val="auto"/>
              </w:rPr>
            </w:pPr>
            <w:r>
              <w:rPr>
                <w:rFonts w:ascii="Arial" w:cs="Arial" w:eastAsia="Arial" w:hAnsi="Arial"/>
                <w:sz w:val="17"/>
                <w:szCs w:val="17"/>
                <w:color w:val="auto"/>
              </w:rPr>
              <w:t>ordinances.</w:t>
            </w:r>
          </w:p>
        </w:tc>
        <w:tc>
          <w:tcPr>
            <w:tcW w:w="1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Tenant’s Pro Rata Share:</w:t>
            </w:r>
          </w:p>
        </w:tc>
        <w:tc>
          <w:tcPr>
            <w:tcW w:w="3740" w:type="dxa"/>
            <w:vAlign w:val="bottom"/>
            <w:gridSpan w:val="2"/>
          </w:tcPr>
          <w:p>
            <w:pPr>
              <w:ind w:left="700"/>
              <w:spacing w:after="0"/>
              <w:rPr>
                <w:sz w:val="20"/>
                <w:szCs w:val="20"/>
                <w:color w:val="auto"/>
              </w:rPr>
            </w:pPr>
            <w:r>
              <w:rPr>
                <w:rFonts w:ascii="Arial" w:cs="Arial" w:eastAsia="Arial" w:hAnsi="Arial"/>
                <w:sz w:val="17"/>
                <w:szCs w:val="17"/>
                <w:color w:val="auto"/>
              </w:rPr>
              <w:t>2.90% subject to Section 4.06.</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1"/>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Brokers:</w:t>
            </w:r>
          </w:p>
        </w:tc>
        <w:tc>
          <w:tcPr>
            <w:tcW w:w="7580" w:type="dxa"/>
            <w:vAlign w:val="bottom"/>
            <w:gridSpan w:val="6"/>
          </w:tcPr>
          <w:p>
            <w:pPr>
              <w:ind w:left="700"/>
              <w:spacing w:after="0"/>
              <w:rPr>
                <w:sz w:val="20"/>
                <w:szCs w:val="20"/>
                <w:color w:val="auto"/>
              </w:rPr>
            </w:pPr>
            <w:r>
              <w:rPr>
                <w:rFonts w:ascii="Arial" w:cs="Arial" w:eastAsia="Arial" w:hAnsi="Arial"/>
                <w:sz w:val="17"/>
                <w:szCs w:val="17"/>
                <w:color w:val="auto"/>
                <w:w w:val="90"/>
              </w:rPr>
              <w:t>Transwestern RBJ, representing Tenant and Jones Lang LaSalle, representing Landlord by separate</w:t>
            </w:r>
          </w:p>
        </w:tc>
      </w:tr>
      <w:tr>
        <w:trPr>
          <w:trHeight w:val="221"/>
        </w:trPr>
        <w:tc>
          <w:tcPr>
            <w:tcW w:w="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gridSpan w:val="3"/>
          </w:tcPr>
          <w:p>
            <w:pPr>
              <w:ind w:left="700"/>
              <w:spacing w:after="0"/>
              <w:rPr>
                <w:sz w:val="20"/>
                <w:szCs w:val="20"/>
                <w:color w:val="auto"/>
              </w:rPr>
            </w:pPr>
            <w:r>
              <w:rPr>
                <w:rFonts w:ascii="Arial" w:cs="Arial" w:eastAsia="Arial" w:hAnsi="Arial"/>
                <w:sz w:val="17"/>
                <w:szCs w:val="17"/>
                <w:color w:val="auto"/>
              </w:rPr>
              <w:t>letter agreement between Landlord and Brokers.</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Landlord’s Managing Agent:</w:t>
            </w:r>
          </w:p>
        </w:tc>
        <w:tc>
          <w:tcPr>
            <w:tcW w:w="3740" w:type="dxa"/>
            <w:vAlign w:val="bottom"/>
            <w:gridSpan w:val="2"/>
          </w:tcPr>
          <w:p>
            <w:pPr>
              <w:ind w:left="700"/>
              <w:spacing w:after="0"/>
              <w:rPr>
                <w:sz w:val="20"/>
                <w:szCs w:val="20"/>
                <w:color w:val="auto"/>
              </w:rPr>
            </w:pPr>
            <w:r>
              <w:rPr>
                <w:rFonts w:ascii="Arial" w:cs="Arial" w:eastAsia="Arial" w:hAnsi="Arial"/>
                <w:sz w:val="17"/>
                <w:szCs w:val="17"/>
                <w:color w:val="auto"/>
              </w:rPr>
              <w:t>Related Beal, LLC</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Letter of Credit Amount:</w:t>
            </w:r>
          </w:p>
        </w:tc>
        <w:tc>
          <w:tcPr>
            <w:tcW w:w="6240" w:type="dxa"/>
            <w:vAlign w:val="bottom"/>
            <w:gridSpan w:val="4"/>
          </w:tcPr>
          <w:p>
            <w:pPr>
              <w:ind w:left="700"/>
              <w:spacing w:after="0"/>
              <w:rPr>
                <w:sz w:val="20"/>
                <w:szCs w:val="20"/>
                <w:color w:val="auto"/>
              </w:rPr>
            </w:pPr>
            <w:r>
              <w:rPr>
                <w:rFonts w:ascii="Arial" w:cs="Arial" w:eastAsia="Arial" w:hAnsi="Arial"/>
                <w:sz w:val="17"/>
                <w:szCs w:val="17"/>
                <w:color w:val="auto"/>
                <w:w w:val="92"/>
              </w:rPr>
              <w:t>$130,930.94, subject to reduction and increase as provided in Article 15 herein.</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Parking:</w:t>
            </w:r>
          </w:p>
        </w:tc>
        <w:tc>
          <w:tcPr>
            <w:tcW w:w="3740" w:type="dxa"/>
            <w:vAlign w:val="bottom"/>
            <w:gridSpan w:val="2"/>
          </w:tcPr>
          <w:p>
            <w:pPr>
              <w:ind w:left="700"/>
              <w:spacing w:after="0"/>
              <w:rPr>
                <w:sz w:val="20"/>
                <w:szCs w:val="20"/>
                <w:color w:val="auto"/>
              </w:rPr>
            </w:pPr>
            <w:r>
              <w:rPr>
                <w:rFonts w:ascii="Arial" w:cs="Arial" w:eastAsia="Arial" w:hAnsi="Arial"/>
                <w:sz w:val="17"/>
                <w:szCs w:val="17"/>
                <w:color w:val="auto"/>
                <w:w w:val="92"/>
              </w:rPr>
              <w:t>As set forth in Section 2.01(d) of the Lease.</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rPr>
              <w:t>Base Rent:</w:t>
            </w:r>
          </w:p>
        </w:tc>
        <w:tc>
          <w:tcPr>
            <w:tcW w:w="1800" w:type="dxa"/>
            <w:vAlign w:val="bottom"/>
          </w:tcPr>
          <w:p>
            <w:pPr>
              <w:ind w:left="700"/>
              <w:spacing w:after="0"/>
              <w:rPr>
                <w:sz w:val="20"/>
                <w:szCs w:val="20"/>
                <w:color w:val="auto"/>
              </w:rPr>
            </w:pPr>
            <w:r>
              <w:rPr>
                <w:rFonts w:ascii="Arial" w:cs="Arial" w:eastAsia="Arial" w:hAnsi="Arial"/>
                <w:sz w:val="17"/>
                <w:szCs w:val="17"/>
                <w:b w:val="1"/>
                <w:bCs w:val="1"/>
                <w:color w:val="auto"/>
              </w:rPr>
              <w:t>Initial Term:</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0"/>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40" w:type="dxa"/>
            <w:vAlign w:val="bottom"/>
            <w:gridSpan w:val="2"/>
          </w:tcPr>
          <w:p>
            <w:pPr>
              <w:ind w:left="1340"/>
              <w:spacing w:after="0"/>
              <w:rPr>
                <w:sz w:val="20"/>
                <w:szCs w:val="20"/>
                <w:color w:val="auto"/>
              </w:rPr>
            </w:pPr>
            <w:r>
              <w:rPr>
                <w:rFonts w:ascii="Arial" w:cs="Arial" w:eastAsia="Arial" w:hAnsi="Arial"/>
                <w:sz w:val="14"/>
                <w:szCs w:val="14"/>
                <w:color w:val="auto"/>
              </w:rPr>
              <w:t>Base Rent Per</w:t>
            </w:r>
          </w:p>
        </w:tc>
        <w:tc>
          <w:tcPr>
            <w:tcW w:w="1600" w:type="dxa"/>
            <w:vAlign w:val="bottom"/>
          </w:tcPr>
          <w:p>
            <w:pPr>
              <w:spacing w:after="0"/>
              <w:rPr>
                <w:sz w:val="24"/>
                <w:szCs w:val="24"/>
                <w:color w:val="auto"/>
              </w:rPr>
            </w:pPr>
          </w:p>
        </w:tc>
        <w:tc>
          <w:tcPr>
            <w:tcW w:w="2240" w:type="dxa"/>
            <w:vAlign w:val="bottom"/>
            <w:gridSpan w:val="3"/>
          </w:tcPr>
          <w:p>
            <w:pPr>
              <w:ind w:left="700"/>
              <w:spacing w:after="0"/>
              <w:rPr>
                <w:sz w:val="20"/>
                <w:szCs w:val="20"/>
                <w:color w:val="auto"/>
              </w:rPr>
            </w:pPr>
            <w:r>
              <w:rPr>
                <w:rFonts w:ascii="Arial" w:cs="Arial" w:eastAsia="Arial" w:hAnsi="Arial"/>
                <w:sz w:val="14"/>
                <w:szCs w:val="14"/>
                <w:color w:val="auto"/>
              </w:rPr>
              <w:t>Base Rent Monthly</w:t>
            </w:r>
          </w:p>
        </w:tc>
      </w:tr>
      <w:tr>
        <w:trPr>
          <w:trHeight w:val="162"/>
        </w:trPr>
        <w:tc>
          <w:tcPr>
            <w:tcW w:w="440" w:type="dxa"/>
            <w:vAlign w:val="bottom"/>
          </w:tcPr>
          <w:p>
            <w:pPr>
              <w:spacing w:after="0"/>
              <w:rPr>
                <w:sz w:val="14"/>
                <w:szCs w:val="14"/>
                <w:color w:val="auto"/>
              </w:rPr>
            </w:pPr>
          </w:p>
        </w:tc>
        <w:tc>
          <w:tcPr>
            <w:tcW w:w="2600" w:type="dxa"/>
            <w:vAlign w:val="bottom"/>
          </w:tcPr>
          <w:p>
            <w:pPr>
              <w:ind w:left="860"/>
              <w:spacing w:after="0"/>
              <w:rPr>
                <w:sz w:val="20"/>
                <w:szCs w:val="20"/>
                <w:color w:val="auto"/>
              </w:rPr>
            </w:pPr>
            <w:r>
              <w:rPr>
                <w:rFonts w:ascii="Arial" w:cs="Arial" w:eastAsia="Arial" w:hAnsi="Arial"/>
                <w:sz w:val="14"/>
                <w:szCs w:val="14"/>
                <w:color w:val="auto"/>
              </w:rPr>
              <w:t>Lease Year</w:t>
            </w:r>
          </w:p>
        </w:tc>
        <w:tc>
          <w:tcPr>
            <w:tcW w:w="3740" w:type="dxa"/>
            <w:vAlign w:val="bottom"/>
            <w:gridSpan w:val="2"/>
          </w:tcPr>
          <w:p>
            <w:pPr>
              <w:ind w:left="1120"/>
              <w:spacing w:after="0"/>
              <w:rPr>
                <w:sz w:val="20"/>
                <w:szCs w:val="20"/>
                <w:color w:val="auto"/>
              </w:rPr>
            </w:pPr>
            <w:r>
              <w:rPr>
                <w:rFonts w:ascii="Arial" w:cs="Arial" w:eastAsia="Arial" w:hAnsi="Arial"/>
                <w:sz w:val="14"/>
                <w:szCs w:val="14"/>
                <w:color w:val="auto"/>
              </w:rPr>
              <w:t>Rentable Square Foot</w:t>
            </w:r>
          </w:p>
        </w:tc>
        <w:tc>
          <w:tcPr>
            <w:tcW w:w="1600" w:type="dxa"/>
            <w:vAlign w:val="bottom"/>
          </w:tcPr>
          <w:p>
            <w:pPr>
              <w:jc w:val="center"/>
              <w:ind w:right="636"/>
              <w:spacing w:after="0"/>
              <w:rPr>
                <w:sz w:val="20"/>
                <w:szCs w:val="20"/>
                <w:color w:val="auto"/>
              </w:rPr>
            </w:pPr>
            <w:r>
              <w:rPr>
                <w:rFonts w:ascii="Arial" w:cs="Arial" w:eastAsia="Arial" w:hAnsi="Arial"/>
                <w:sz w:val="14"/>
                <w:szCs w:val="14"/>
                <w:color w:val="auto"/>
                <w:w w:val="85"/>
              </w:rPr>
              <w:t>Base Rent</w:t>
            </w:r>
          </w:p>
        </w:tc>
        <w:tc>
          <w:tcPr>
            <w:tcW w:w="9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color w:val="auto"/>
              </w:rPr>
              <w:t>Installment</w:t>
            </w:r>
          </w:p>
        </w:tc>
      </w:tr>
      <w:tr>
        <w:trPr>
          <w:trHeight w:val="209"/>
        </w:trPr>
        <w:tc>
          <w:tcPr>
            <w:tcW w:w="440" w:type="dxa"/>
            <w:vAlign w:val="bottom"/>
          </w:tcPr>
          <w:p>
            <w:pPr>
              <w:spacing w:after="0"/>
              <w:rPr>
                <w:sz w:val="18"/>
                <w:szCs w:val="18"/>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1*</w:t>
            </w:r>
          </w:p>
        </w:tc>
        <w:tc>
          <w:tcPr>
            <w:tcW w:w="180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rPr>
              <w:t>39.00</w:t>
            </w:r>
          </w:p>
        </w:tc>
        <w:tc>
          <w:tcPr>
            <w:tcW w:w="1600" w:type="dxa"/>
            <w:vAlign w:val="bottom"/>
            <w:shd w:val="clear" w:color="auto" w:fill="CCEEFF"/>
          </w:tcPr>
          <w:p>
            <w:pPr>
              <w:jc w:val="center"/>
              <w:ind w:right="636"/>
              <w:spacing w:after="0"/>
              <w:rPr>
                <w:sz w:val="20"/>
                <w:szCs w:val="20"/>
                <w:color w:val="auto"/>
              </w:rPr>
            </w:pPr>
            <w:r>
              <w:rPr>
                <w:rFonts w:ascii="Arial" w:cs="Arial" w:eastAsia="Arial" w:hAnsi="Arial"/>
                <w:sz w:val="17"/>
                <w:szCs w:val="17"/>
                <w:color w:val="auto"/>
                <w:w w:val="93"/>
              </w:rPr>
              <w:t>$211,380.00</w:t>
            </w:r>
          </w:p>
        </w:tc>
        <w:tc>
          <w:tcPr>
            <w:tcW w:w="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17,615.00</w:t>
            </w:r>
          </w:p>
        </w:tc>
        <w:tc>
          <w:tcPr>
            <w:tcW w:w="400" w:type="dxa"/>
            <w:vAlign w:val="bottom"/>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2600" w:type="dxa"/>
            <w:vAlign w:val="bottom"/>
          </w:tcPr>
          <w:p>
            <w:pPr>
              <w:ind w:left="1080"/>
              <w:spacing w:after="0"/>
              <w:rPr>
                <w:sz w:val="20"/>
                <w:szCs w:val="20"/>
                <w:color w:val="auto"/>
              </w:rPr>
            </w:pPr>
            <w:r>
              <w:rPr>
                <w:rFonts w:ascii="Arial" w:cs="Arial" w:eastAsia="Arial" w:hAnsi="Arial"/>
                <w:sz w:val="17"/>
                <w:szCs w:val="17"/>
                <w:color w:val="auto"/>
              </w:rPr>
              <w:t>2</w:t>
            </w:r>
          </w:p>
        </w:tc>
        <w:tc>
          <w:tcPr>
            <w:tcW w:w="1800" w:type="dxa"/>
            <w:vAlign w:val="bottom"/>
          </w:tcPr>
          <w:p>
            <w:pPr>
              <w:ind w:left="1120"/>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1313"/>
              <w:spacing w:after="0"/>
              <w:rPr>
                <w:sz w:val="20"/>
                <w:szCs w:val="20"/>
                <w:color w:val="auto"/>
              </w:rPr>
            </w:pPr>
            <w:r>
              <w:rPr>
                <w:rFonts w:ascii="Arial" w:cs="Arial" w:eastAsia="Arial" w:hAnsi="Arial"/>
                <w:sz w:val="17"/>
                <w:szCs w:val="17"/>
                <w:color w:val="auto"/>
              </w:rPr>
              <w:t>40.17</w:t>
            </w:r>
          </w:p>
        </w:tc>
        <w:tc>
          <w:tcPr>
            <w:tcW w:w="1600" w:type="dxa"/>
            <w:vAlign w:val="bottom"/>
          </w:tcPr>
          <w:p>
            <w:pPr>
              <w:jc w:val="center"/>
              <w:ind w:right="636"/>
              <w:spacing w:after="0"/>
              <w:rPr>
                <w:sz w:val="20"/>
                <w:szCs w:val="20"/>
                <w:color w:val="auto"/>
              </w:rPr>
            </w:pPr>
            <w:r>
              <w:rPr>
                <w:rFonts w:ascii="Arial" w:cs="Arial" w:eastAsia="Arial" w:hAnsi="Arial"/>
                <w:sz w:val="17"/>
                <w:szCs w:val="17"/>
                <w:color w:val="auto"/>
                <w:w w:val="93"/>
              </w:rPr>
              <w:t>$217,721.40</w:t>
            </w:r>
          </w:p>
        </w:tc>
        <w:tc>
          <w:tcPr>
            <w:tcW w:w="900" w:type="dxa"/>
            <w:vAlign w:val="bottom"/>
          </w:tcPr>
          <w:p>
            <w:pPr>
              <w:ind w:left="7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18,143.45</w:t>
            </w:r>
          </w:p>
        </w:tc>
        <w:tc>
          <w:tcPr>
            <w:tcW w:w="400" w:type="dxa"/>
            <w:vAlign w:val="bottom"/>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260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3</w:t>
            </w:r>
          </w:p>
        </w:tc>
        <w:tc>
          <w:tcPr>
            <w:tcW w:w="180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rPr>
              <w:t>41.38</w:t>
            </w:r>
          </w:p>
        </w:tc>
        <w:tc>
          <w:tcPr>
            <w:tcW w:w="1600" w:type="dxa"/>
            <w:vAlign w:val="bottom"/>
            <w:shd w:val="clear" w:color="auto" w:fill="CCEEFF"/>
          </w:tcPr>
          <w:p>
            <w:pPr>
              <w:jc w:val="center"/>
              <w:ind w:right="636"/>
              <w:spacing w:after="0"/>
              <w:rPr>
                <w:sz w:val="20"/>
                <w:szCs w:val="20"/>
                <w:color w:val="auto"/>
              </w:rPr>
            </w:pPr>
            <w:r>
              <w:rPr>
                <w:rFonts w:ascii="Arial" w:cs="Arial" w:eastAsia="Arial" w:hAnsi="Arial"/>
                <w:sz w:val="17"/>
                <w:szCs w:val="17"/>
                <w:color w:val="auto"/>
                <w:w w:val="93"/>
              </w:rPr>
              <w:t>$224,279.60</w:t>
            </w:r>
          </w:p>
        </w:tc>
        <w:tc>
          <w:tcPr>
            <w:tcW w:w="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18,689.97</w:t>
            </w:r>
          </w:p>
        </w:tc>
        <w:tc>
          <w:tcPr>
            <w:tcW w:w="400" w:type="dxa"/>
            <w:vAlign w:val="bottom"/>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2600" w:type="dxa"/>
            <w:vAlign w:val="bottom"/>
          </w:tcPr>
          <w:p>
            <w:pPr>
              <w:ind w:left="1080"/>
              <w:spacing w:after="0"/>
              <w:rPr>
                <w:sz w:val="20"/>
                <w:szCs w:val="20"/>
                <w:color w:val="auto"/>
              </w:rPr>
            </w:pPr>
            <w:r>
              <w:rPr>
                <w:rFonts w:ascii="Arial" w:cs="Arial" w:eastAsia="Arial" w:hAnsi="Arial"/>
                <w:sz w:val="17"/>
                <w:szCs w:val="17"/>
                <w:color w:val="auto"/>
              </w:rPr>
              <w:t>4</w:t>
            </w:r>
          </w:p>
        </w:tc>
        <w:tc>
          <w:tcPr>
            <w:tcW w:w="1800" w:type="dxa"/>
            <w:vAlign w:val="bottom"/>
          </w:tcPr>
          <w:p>
            <w:pPr>
              <w:ind w:left="1120"/>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1313"/>
              <w:spacing w:after="0"/>
              <w:rPr>
                <w:sz w:val="20"/>
                <w:szCs w:val="20"/>
                <w:color w:val="auto"/>
              </w:rPr>
            </w:pPr>
            <w:r>
              <w:rPr>
                <w:rFonts w:ascii="Arial" w:cs="Arial" w:eastAsia="Arial" w:hAnsi="Arial"/>
                <w:sz w:val="17"/>
                <w:szCs w:val="17"/>
                <w:color w:val="auto"/>
              </w:rPr>
              <w:t>42.62</w:t>
            </w:r>
          </w:p>
        </w:tc>
        <w:tc>
          <w:tcPr>
            <w:tcW w:w="1600" w:type="dxa"/>
            <w:vAlign w:val="bottom"/>
          </w:tcPr>
          <w:p>
            <w:pPr>
              <w:jc w:val="center"/>
              <w:ind w:right="636"/>
              <w:spacing w:after="0"/>
              <w:rPr>
                <w:sz w:val="20"/>
                <w:szCs w:val="20"/>
                <w:color w:val="auto"/>
              </w:rPr>
            </w:pPr>
            <w:r>
              <w:rPr>
                <w:rFonts w:ascii="Arial" w:cs="Arial" w:eastAsia="Arial" w:hAnsi="Arial"/>
                <w:sz w:val="17"/>
                <w:szCs w:val="17"/>
                <w:color w:val="auto"/>
                <w:w w:val="93"/>
              </w:rPr>
              <w:t>$231,000.40</w:t>
            </w:r>
          </w:p>
        </w:tc>
        <w:tc>
          <w:tcPr>
            <w:tcW w:w="900" w:type="dxa"/>
            <w:vAlign w:val="bottom"/>
          </w:tcPr>
          <w:p>
            <w:pPr>
              <w:ind w:left="7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19,250.03</w:t>
            </w:r>
          </w:p>
        </w:tc>
        <w:tc>
          <w:tcPr>
            <w:tcW w:w="400" w:type="dxa"/>
            <w:vAlign w:val="bottom"/>
          </w:tcPr>
          <w:p>
            <w:pPr>
              <w:spacing w:after="0"/>
              <w:rPr>
                <w:sz w:val="18"/>
                <w:szCs w:val="18"/>
                <w:color w:val="auto"/>
              </w:rPr>
            </w:pPr>
          </w:p>
        </w:tc>
      </w:tr>
      <w:tr>
        <w:trPr>
          <w:trHeight w:val="196"/>
        </w:trPr>
        <w:tc>
          <w:tcPr>
            <w:tcW w:w="440" w:type="dxa"/>
            <w:vAlign w:val="bottom"/>
          </w:tcPr>
          <w:p>
            <w:pPr>
              <w:spacing w:after="0"/>
              <w:rPr>
                <w:sz w:val="17"/>
                <w:szCs w:val="17"/>
                <w:color w:val="auto"/>
              </w:rPr>
            </w:pPr>
          </w:p>
        </w:tc>
        <w:tc>
          <w:tcPr>
            <w:tcW w:w="26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5 (plus any</w:t>
            </w:r>
          </w:p>
        </w:tc>
        <w:tc>
          <w:tcPr>
            <w:tcW w:w="1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2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remaining portion</w:t>
            </w:r>
          </w:p>
        </w:tc>
        <w:tc>
          <w:tcPr>
            <w:tcW w:w="1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21"/>
        </w:trPr>
        <w:tc>
          <w:tcPr>
            <w:tcW w:w="440" w:type="dxa"/>
            <w:vAlign w:val="bottom"/>
          </w:tcPr>
          <w:p>
            <w:pPr>
              <w:spacing w:after="0"/>
              <w:rPr>
                <w:sz w:val="19"/>
                <w:szCs w:val="19"/>
                <w:color w:val="auto"/>
              </w:rPr>
            </w:pPr>
          </w:p>
        </w:tc>
        <w:tc>
          <w:tcPr>
            <w:tcW w:w="26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of the Initial Term)</w:t>
            </w:r>
          </w:p>
        </w:tc>
        <w:tc>
          <w:tcPr>
            <w:tcW w:w="180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rPr>
              <w:t>43.89</w:t>
            </w:r>
          </w:p>
        </w:tc>
        <w:tc>
          <w:tcPr>
            <w:tcW w:w="1600" w:type="dxa"/>
            <w:vAlign w:val="bottom"/>
            <w:shd w:val="clear" w:color="auto" w:fill="CCEEFF"/>
          </w:tcPr>
          <w:p>
            <w:pPr>
              <w:jc w:val="center"/>
              <w:ind w:right="636"/>
              <w:spacing w:after="0"/>
              <w:rPr>
                <w:sz w:val="20"/>
                <w:szCs w:val="20"/>
                <w:color w:val="auto"/>
              </w:rPr>
            </w:pPr>
            <w:r>
              <w:rPr>
                <w:rFonts w:ascii="Arial" w:cs="Arial" w:eastAsia="Arial" w:hAnsi="Arial"/>
                <w:sz w:val="17"/>
                <w:szCs w:val="17"/>
                <w:color w:val="auto"/>
                <w:w w:val="93"/>
              </w:rPr>
              <w:t>$237,883.80</w:t>
            </w:r>
          </w:p>
        </w:tc>
        <w:tc>
          <w:tcPr>
            <w:tcW w:w="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19,823.65</w:t>
            </w:r>
          </w:p>
        </w:tc>
        <w:tc>
          <w:tcPr>
            <w:tcW w:w="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-3273425</wp:posOffset>
            </wp:positionV>
            <wp:extent cx="7178675"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203" w:lineRule="exact"/>
        <w:rPr>
          <w:sz w:val="20"/>
          <w:szCs w:val="20"/>
          <w:color w:val="auto"/>
        </w:rPr>
      </w:pPr>
    </w:p>
    <w:p>
      <w:pPr>
        <w:ind w:left="202" w:right="180" w:hanging="202"/>
        <w:spacing w:after="0" w:line="287" w:lineRule="auto"/>
        <w:tabs>
          <w:tab w:leader="none" w:pos="202" w:val="left"/>
        </w:tabs>
        <w:numPr>
          <w:ilvl w:val="0"/>
          <w:numId w:val="342"/>
        </w:numPr>
        <w:rPr>
          <w:rFonts w:ascii="Arial" w:cs="Arial" w:eastAsia="Arial" w:hAnsi="Arial"/>
          <w:sz w:val="17"/>
          <w:szCs w:val="17"/>
          <w:color w:val="auto"/>
        </w:rPr>
      </w:pPr>
      <w:r>
        <w:rPr>
          <w:rFonts w:ascii="Arial" w:cs="Arial" w:eastAsia="Arial" w:hAnsi="Arial"/>
          <w:sz w:val="17"/>
          <w:szCs w:val="17"/>
          <w:color w:val="auto"/>
        </w:rPr>
        <w:t>Provided Tenant is not in default, beyond ay applicable notice and cure periods, of any of its obligations under the terms of this Lease, Tenant shall not be obligated to pay Base Rent until the Rent Commencement Date</w:t>
      </w:r>
    </w:p>
    <w:p>
      <w:pPr>
        <w:spacing w:after="0" w:line="9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2"/>
          </w:cols>
          <w:pgMar w:left="618" w:top="130" w:right="659" w:bottom="1440" w:gutter="0" w:footer="0" w:header="0"/>
        </w:sectPr>
      </w:pPr>
    </w:p>
    <w:bookmarkStart w:id="397" w:name="page398"/>
    <w:bookmarkEnd w:id="397"/>
    <w:p>
      <w:pPr>
        <w:spacing w:after="0"/>
        <w:rPr>
          <w:sz w:val="20"/>
          <w:szCs w:val="20"/>
          <w:color w:val="auto"/>
        </w:rPr>
      </w:pPr>
      <w:r>
        <w:rPr>
          <w:rFonts w:ascii="Arial" w:cs="Arial" w:eastAsia="Arial" w:hAnsi="Arial"/>
          <w:sz w:val="17"/>
          <w:szCs w:val="17"/>
          <w:b w:val="1"/>
          <w:bCs w:val="1"/>
          <w:color w:val="auto"/>
        </w:rPr>
        <w:t>Extension Term: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Original Address of Landlord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Address of Tenant for Notices: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Before Term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After Term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As provided in Section 3.03(b).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-206375</wp:posOffset>
            </wp:positionV>
            <wp:extent cx="7178675"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All amounts payable by Tenant under this Lease other than Base Rent, including, without limitation, Tenant’s Pro Rata Share of Taxes (Article 5); Utilities (Article 6); Insurance premiums (Article 7); and Operating Expenses (Article 8) (See Section 4.02). Tenant’s Pro Rata Share is defined in Section 4.06 hereof.</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 Related Beal,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177 Milk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02109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Michael Tammaro, Vice President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with copies to:</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c/o Related Beal,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177 Milk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02109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Stephen N. Faber, Executive Vice President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Sherin and Lodgen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101 Federal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Deborah Howitt Easton, Esquire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One Kendall Square,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Building 1400W, Suite 14303</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02139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Faber Daeufer &amp; Itrato PC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890 Winter Street, Suite 315</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Attn: Brian Connelly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Ledgemont Technology Center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99 Hayden Avenue/128 Spring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Lexington, Massachusetts 02421</w:t>
      </w:r>
    </w:p>
    <w:p>
      <w:pPr>
        <w:spacing w:after="0" w:line="14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3120" w:space="620"/>
            <w:col w:w="6760"/>
          </w:cols>
          <w:pgMar w:left="620" w:top="264" w:right="779" w:bottom="1440" w:gutter="0" w:footer="0" w:header="0"/>
        </w:sectPr>
      </w:pPr>
    </w:p>
    <w:bookmarkStart w:id="398" w:name="page399"/>
    <w:bookmarkEnd w:id="398"/>
    <w:p>
      <w:pPr>
        <w:ind w:left="37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with a copy to:</w:t>
      </w:r>
    </w:p>
    <w:p>
      <w:pPr>
        <w:spacing w:after="0" w:line="131"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Faber Daeufer &amp; Itrato PC</w:t>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890 Winter Street, Suite 315</w:t>
      </w:r>
    </w:p>
    <w:p>
      <w:pPr>
        <w:spacing w:after="0" w:line="36"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Waltham, MA 02451</w:t>
      </w:r>
    </w:p>
    <w:p>
      <w:pPr>
        <w:spacing w:after="0" w:line="13"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Attn: Brian Connelly</w:t>
      </w:r>
    </w:p>
    <w:p>
      <w:pPr>
        <w:sectPr>
          <w:pgSz w:w="11900" w:h="16838" w:orient="portrait"/>
          <w:cols w:equalWidth="0" w:num="1">
            <w:col w:w="10640"/>
          </w:cols>
          <w:pgMar w:left="620" w:top="270" w:right="6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Tenant Improvements: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To be constructed by Landlord as set forth in Article 11.</w:t>
      </w:r>
    </w:p>
    <w:p>
      <w:pPr>
        <w:spacing w:after="0" w:line="134"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Exhibits:</w:t>
      </w:r>
    </w:p>
    <w:p>
      <w:pPr>
        <w:sectPr>
          <w:pgSz w:w="11900" w:h="16838" w:orient="portrait"/>
          <w:cols w:equalWidth="0" w:num="1">
            <w:col w:w="10640"/>
          </w:cols>
          <w:pgMar w:left="620" w:top="270" w:right="6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Floor Plan of the Premises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Rules and Regulations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Rules and Regulations for Tenant Work</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Tenant Work Insurance Schedule</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E:</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5"/>
          <w:szCs w:val="15"/>
          <w:color w:val="auto"/>
        </w:rPr>
        <w:t>Plans and Specifications for Initial Tenant Improvements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Vivarium Plans and Specifications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Construction Documents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Environmental Substances</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6"/>
          <w:szCs w:val="16"/>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Form of Term Commencement Date Agreement</w:t>
      </w:r>
    </w:p>
    <w:p>
      <w:pPr>
        <w:spacing w:after="0" w:line="140"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rPr>
          <w:sz w:val="20"/>
          <w:szCs w:val="20"/>
          <w:color w:val="auto"/>
        </w:rPr>
      </w:pPr>
      <w:r>
        <w:rPr>
          <w:rFonts w:ascii="Arial" w:cs="Arial" w:eastAsia="Arial" w:hAnsi="Arial"/>
          <w:sz w:val="17"/>
          <w:szCs w:val="17"/>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of Credit</w:t>
      </w:r>
    </w:p>
    <w:p>
      <w:pPr>
        <w:spacing w:after="0" w:line="211" w:lineRule="exact"/>
        <w:rPr>
          <w:sz w:val="20"/>
          <w:szCs w:val="20"/>
          <w:color w:val="auto"/>
        </w:rPr>
      </w:pPr>
    </w:p>
    <w:p>
      <w:pPr>
        <w:sectPr>
          <w:pgSz w:w="11900" w:h="16838" w:orient="portrait"/>
          <w:cols w:equalWidth="0" w:num="2">
            <w:col w:w="3020" w:space="720"/>
            <w:col w:w="6900"/>
          </w:cols>
          <w:pgMar w:left="620" w:top="270" w:right="6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 PREMISES AND APPURTENANT RIGHTS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2.01 Lease of Premises; Appurtenant Rights</w:t>
      </w:r>
      <w:r>
        <w:rPr>
          <w:rFonts w:ascii="Arial" w:cs="Arial" w:eastAsia="Arial" w:hAnsi="Arial"/>
          <w:sz w:val="16"/>
          <w:szCs w:val="16"/>
          <w:color w:val="auto"/>
        </w:rPr>
        <w:t>. Landlord hereby leases the Premises to Tenant, and Tenant hereby leases the Premises from</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Landlord, for the Term, subject to all matters of record and mailers referred to below. Subject to Landlord’s rules and regulations attached hereto 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such other reasonable rules and regulations as Landlord may from time to time adopt and of which Tenant is given notice (collectively,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Landlord’s Rules</w:t>
      </w:r>
      <w:r>
        <w:rPr>
          <w:rFonts w:ascii="Arial" w:cs="Arial" w:eastAsia="Arial" w:hAnsi="Arial"/>
          <w:sz w:val="15"/>
          <w:szCs w:val="15"/>
          <w:color w:val="auto"/>
        </w:rPr>
        <w:t>”) and to Force Majeure (as hereinafter defined), Tenant shall have access to the Premises twenty-four (24) hours a day, seven (7) days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 week. The Premises have yet to be fully demised so the rentable square feet of the Premises set forth in this Lease is an estimate.</w:t>
      </w:r>
    </w:p>
    <w:p>
      <w:pPr>
        <w:spacing w:after="0" w:line="210" w:lineRule="exact"/>
        <w:rPr>
          <w:sz w:val="20"/>
          <w:szCs w:val="20"/>
          <w:color w:val="auto"/>
        </w:rPr>
      </w:pPr>
    </w:p>
    <w:p>
      <w:pPr>
        <w:ind w:right="200" w:firstLine="424"/>
        <w:spacing w:after="0" w:line="272" w:lineRule="auto"/>
        <w:tabs>
          <w:tab w:leader="none" w:pos="662"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The Premises exclude common areas and facilities of the Property, including, without limitation, exterior faces of exterior walls, the common stairways and stairwells (subject to Tenant’s rights to use the stairways for access between portions of the Premises pursuant to Section 2.01(b)), entranceways and the main lobby, elevators and elevator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0"/>
          </w:cols>
          <w:pgMar w:left="620" w:top="270" w:right="639" w:bottom="1440" w:gutter="0" w:footer="0" w:header="0"/>
          <w:type w:val="continuous"/>
        </w:sectPr>
      </w:pPr>
    </w:p>
    <w:bookmarkStart w:id="399" w:name="page400"/>
    <w:bookmarkEnd w:id="399"/>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wells, fan rooms, electric and telephone closets, janitor closets, freight elevator vestibules, and pipes, ducts, conduits, wires and appurtenant fixtures serving other parts of the Property (exclusively or in common) and other common areas and facilities from time to time designated as such by Landlord. If the Premises include less than the entire rentable area of any floor, then the Premises also exclude the common corridors, elevator lobby and toilets located on such floor.</w:t>
      </w:r>
    </w:p>
    <w:p>
      <w:pPr>
        <w:spacing w:after="0" w:line="178" w:lineRule="exact"/>
        <w:rPr>
          <w:sz w:val="20"/>
          <w:szCs w:val="20"/>
          <w:color w:val="auto"/>
        </w:rPr>
      </w:pPr>
    </w:p>
    <w:p>
      <w:pPr>
        <w:ind w:firstLine="424"/>
        <w:spacing w:after="0" w:line="276" w:lineRule="auto"/>
        <w:tabs>
          <w:tab w:leader="none" w:pos="672"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Appurtenant Rights</w:t>
      </w:r>
      <w:r>
        <w:rPr>
          <w:rFonts w:ascii="Arial" w:cs="Arial" w:eastAsia="Arial" w:hAnsi="Arial"/>
          <w:sz w:val="16"/>
          <w:szCs w:val="16"/>
          <w:color w:val="auto"/>
        </w:rPr>
        <w:t>. Tenant shall have, as appurtenant to the Premises, the non-exclusive right to use in common with others (subject to Landlord’s Rules and Force Majeure) the common areas and facilities of the Property necessary for Tenant’s use and occupancy of the Premises, including, without limitation, common lavatories, stairways, corridors, lobbies, the loading dock servicing the Premises and, subject to Section 2.01(d) below, parking areas. Subject to Landlord’s Rules and to Force Majeure, Tenant shall have access to the seating area of the common café in the building twenty-four (24) hours a day, seven (7) days a week. Tenant shall have the exclusive right to use, for the benefit of the Premises, an emergency generator that exclusively serves the Premises and provides 5 watts/rsf of backup power (the “</w:t>
      </w:r>
      <w:r>
        <w:rPr>
          <w:rFonts w:ascii="Arial" w:cs="Arial" w:eastAsia="Arial" w:hAnsi="Arial"/>
          <w:sz w:val="16"/>
          <w:szCs w:val="16"/>
          <w:u w:val="single" w:color="auto"/>
          <w:color w:val="auto"/>
        </w:rPr>
        <w:t>Generator</w:t>
      </w:r>
      <w:r>
        <w:rPr>
          <w:rFonts w:ascii="Arial" w:cs="Arial" w:eastAsia="Arial" w:hAnsi="Arial"/>
          <w:sz w:val="16"/>
          <w:szCs w:val="16"/>
          <w:color w:val="auto"/>
        </w:rPr>
        <w:t>”), which Generator shall be provided as part of the Initial Tenant Improvements. Tenant shall, at its sole cost and expense, maintain and repair the Generator to keep same in good, working order (excluding any cost to replace the same unless the need for replacement is due to Tenant’s negligence, in which case Tenant shall be responsible for the costs of replacement thereof). Tenant shall have the right to access for the benefit of the Premises up to 13.5kw of capacity from the emergency generator that serves the Premises in common with other tenants in the Building (the “</w:t>
      </w:r>
      <w:r>
        <w:rPr>
          <w:rFonts w:ascii="Arial" w:cs="Arial" w:eastAsia="Arial" w:hAnsi="Arial"/>
          <w:sz w:val="16"/>
          <w:szCs w:val="16"/>
          <w:u w:val="single" w:color="auto"/>
          <w:color w:val="auto"/>
        </w:rPr>
        <w:t>Shared Generator</w:t>
      </w:r>
      <w:r>
        <w:rPr>
          <w:rFonts w:ascii="Arial" w:cs="Arial" w:eastAsia="Arial" w:hAnsi="Arial"/>
          <w:sz w:val="16"/>
          <w:szCs w:val="16"/>
          <w:color w:val="auto"/>
        </w:rPr>
        <w:t>”) and the right to use, as appurtenant to the Premises, the shared pH neutralization system (the “</w:t>
      </w:r>
      <w:r>
        <w:rPr>
          <w:rFonts w:ascii="Arial" w:cs="Arial" w:eastAsia="Arial" w:hAnsi="Arial"/>
          <w:sz w:val="16"/>
          <w:szCs w:val="16"/>
          <w:u w:val="single" w:color="auto"/>
          <w:color w:val="auto"/>
        </w:rPr>
        <w:t>pH System</w:t>
      </w:r>
      <w:r>
        <w:rPr>
          <w:rFonts w:ascii="Arial" w:cs="Arial" w:eastAsia="Arial" w:hAnsi="Arial"/>
          <w:sz w:val="16"/>
          <w:szCs w:val="16"/>
          <w:color w:val="auto"/>
        </w:rPr>
        <w:t>”). Tenant’s right to use of the Shared Generator and the pH System is non-exclusive. Tenant shall pay to Landlord, as additional rent, its pro rata share of the maintenance, repair, replacement and operating costs for the Shared Generator and pH System as billed by Landlord in common with other tenants having shared use of the Shared Generator and/or pH System. As of the Commencement Date, Tenant’s pro-rata share of the operating costs for the Shared Generator and pH Systems is 51%.</w:t>
      </w:r>
    </w:p>
    <w:p>
      <w:pPr>
        <w:spacing w:after="0" w:line="170" w:lineRule="exact"/>
        <w:rPr>
          <w:rFonts w:ascii="Arial" w:cs="Arial" w:eastAsia="Arial" w:hAnsi="Arial"/>
          <w:sz w:val="16"/>
          <w:szCs w:val="16"/>
          <w:color w:val="auto"/>
        </w:rPr>
      </w:pPr>
    </w:p>
    <w:p>
      <w:pPr>
        <w:ind w:firstLine="424"/>
        <w:spacing w:after="0" w:line="276" w:lineRule="auto"/>
        <w:tabs>
          <w:tab w:leader="none" w:pos="662"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Reservations</w:t>
      </w:r>
      <w:r>
        <w:rPr>
          <w:rFonts w:ascii="Arial" w:cs="Arial" w:eastAsia="Arial" w:hAnsi="Arial"/>
          <w:sz w:val="16"/>
          <w:szCs w:val="16"/>
          <w:color w:val="auto"/>
        </w:rPr>
        <w:t>. In addition to other rights reserved herein or by law, Landlord reserves the right from time to time, provided that Landlord shall use commercially reasonable efforts to avoid unreasonable (except in emergency) interference with Tenant’s use of the Premises: (i) to make additions to or reconstructions of the Building and to install, use, maintain, repair, replace and relocate for service to the Premises and other parts of the Building, or either, pipes, ducts, conduits, wires and appurtenant fixtures, wherever located in the Premises, the Building, or elsewhere in the Property; (ii) to alter, eliminate or relocate any other common area or facility, including the drives, lobbies and entrances; and (iii) to grant easements and other rights with respect to the Property. Installations, replacements and relocations within the Premises referred to in clause (i) shall be located as far as practicable in the core areas of the Building, above ceiling surfaces, below floor surfaces or within perimeter walls of the Premises. The Building may be subdivided or combined into separate or unified lots, submitted to or removed from a condominium regime or divided or combined into separate leasehold lots by ground leases to facilitate financing, ownership or operation of all or portions of the Property and Building, provided that Tenant’s rights and obligations under this Lease shall not be affected in any material respect and shall not result in any additional costs to Tenant. Tenant agrees to enter into any instruments reasonably requested by Landlord in connection with the foregoing, so long as the same are not inconsistent with the rights of Tenant under this Lease and are otherwise reasonably acceptable to Tenant.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40"/>
          </w:cols>
          <w:pgMar w:left="620" w:top="270" w:right="639" w:bottom="1440" w:gutter="0" w:footer="0" w:header="0"/>
        </w:sectPr>
      </w:pPr>
    </w:p>
    <w:bookmarkStart w:id="400" w:name="page401"/>
    <w:bookmarkEnd w:id="400"/>
    <w:p>
      <w:pPr>
        <w:ind w:left="680" w:hanging="256"/>
        <w:spacing w:after="0"/>
        <w:tabs>
          <w:tab w:leader="none" w:pos="68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Parking</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firstLine="957"/>
        <w:spacing w:after="0" w:line="264" w:lineRule="auto"/>
        <w:tabs>
          <w:tab w:leader="none" w:pos="1166" w:val="left"/>
        </w:tabs>
        <w:numPr>
          <w:ilvl w:val="1"/>
          <w:numId w:val="345"/>
        </w:numPr>
        <w:rPr>
          <w:rFonts w:ascii="Arial" w:cs="Arial" w:eastAsia="Arial" w:hAnsi="Arial"/>
          <w:sz w:val="17"/>
          <w:szCs w:val="17"/>
          <w:color w:val="auto"/>
        </w:rPr>
      </w:pPr>
      <w:r>
        <w:rPr>
          <w:rFonts w:ascii="Arial" w:cs="Arial" w:eastAsia="Arial" w:hAnsi="Arial"/>
          <w:sz w:val="17"/>
          <w:szCs w:val="17"/>
          <w:color w:val="auto"/>
        </w:rPr>
        <w:t>Commencing on the Term Commencement Date, Tenant shall have the appurtenant right to use up to 13 unreserved parking spaces for standard size automobiles and small utility vehicles (2.4 per each 1,000 rentable square feet of the Premises). The parking spaces shall be used by Tenant and Tenant’s employees and business invitees and may be located on the Property and/or within the Building, and the location of said parking spaces, and the layout and location of the parking facilities, are subject to change from time to time. Tenant’s right to use such parking spaces shall be non-exclusive.</w:t>
      </w:r>
    </w:p>
    <w:p>
      <w:pPr>
        <w:spacing w:after="0" w:line="178" w:lineRule="exact"/>
        <w:rPr>
          <w:rFonts w:ascii="Arial" w:cs="Arial" w:eastAsia="Arial" w:hAnsi="Arial"/>
          <w:sz w:val="17"/>
          <w:szCs w:val="17"/>
          <w:color w:val="auto"/>
        </w:rPr>
      </w:pPr>
    </w:p>
    <w:p>
      <w:pPr>
        <w:ind w:right="80" w:firstLine="957"/>
        <w:spacing w:after="0" w:line="276" w:lineRule="auto"/>
        <w:tabs>
          <w:tab w:leader="none" w:pos="1215" w:val="left"/>
        </w:tabs>
        <w:numPr>
          <w:ilvl w:val="1"/>
          <w:numId w:val="345"/>
        </w:numPr>
        <w:rPr>
          <w:rFonts w:ascii="Arial" w:cs="Arial" w:eastAsia="Arial" w:hAnsi="Arial"/>
          <w:sz w:val="16"/>
          <w:szCs w:val="16"/>
          <w:color w:val="auto"/>
        </w:rPr>
      </w:pPr>
      <w:r>
        <w:rPr>
          <w:rFonts w:ascii="Arial" w:cs="Arial" w:eastAsia="Arial" w:hAnsi="Arial"/>
          <w:sz w:val="16"/>
          <w:szCs w:val="16"/>
          <w:color w:val="auto"/>
        </w:rPr>
        <w:t>None of Tenant’s parking rights hereunder shall be assigned or sublicensed except in connection with a Transfer permitted under Article 13. Landlord shall have the right to make such parking available pursuant to a pass system or on any other reasonable basis determined by Landlord, and such parking rights shall be subject to Landlord’s reasonable rules and regulations of which Tenant is provided written notice, from time to time, and the right of Landlord to limit the number of parking spaces available to Tenant, its employees and invitees, where the use of the same exceeds the above-stated ratio. Tenant acknowledges that Landlord has informed Tenant that Landlord intends to allocate in its tenant leases more than the actual parking spaces servicing the Property. It is further acknowledged and agreed that as a consequence of such over-allocation of parking spaces, there may occasionally occur instances in which the number of parking spaces actually available to Tenant shall be less than the Parking Spaces to which Tenant is entitled under this Lease. Landlord shall incur no liability to Tenant as a consequence of such over-allocation of parking spaces. Landlord shall have the right to alter the parking areas or their operation from time to time, and to temporarily close portions thereof for maintenance as necessary. Tenant’s parking privileges constitute a license only, and no bailment is intended or shall be created. Neither Landlord nor any parking operator of the parking areas will have any responsibility for loss or damage due to fire or theft or otherwise to any automobile parked in the parking areas or to any personal property therein.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2.02 Roof License.</w:t>
      </w:r>
    </w:p>
    <w:p>
      <w:pPr>
        <w:spacing w:after="0" w:line="228" w:lineRule="exact"/>
        <w:rPr>
          <w:sz w:val="20"/>
          <w:szCs w:val="20"/>
          <w:color w:val="auto"/>
        </w:rPr>
      </w:pPr>
    </w:p>
    <w:p>
      <w:pPr>
        <w:ind w:firstLine="424"/>
        <w:spacing w:after="0" w:line="260" w:lineRule="auto"/>
        <w:tabs>
          <w:tab w:leader="none" w:pos="65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Tenant shall have the non-exclusive license, at no additional cost, to install, operate and maintain, all in good order and repair, an antenna or dish (“</w:t>
      </w:r>
      <w:r>
        <w:rPr>
          <w:rFonts w:ascii="Arial" w:cs="Arial" w:eastAsia="Arial" w:hAnsi="Arial"/>
          <w:sz w:val="17"/>
          <w:szCs w:val="17"/>
          <w:u w:val="single" w:color="auto"/>
          <w:color w:val="auto"/>
        </w:rPr>
        <w:t>Antenna</w:t>
      </w:r>
      <w:r>
        <w:rPr>
          <w:rFonts w:ascii="Arial" w:cs="Arial" w:eastAsia="Arial" w:hAnsi="Arial"/>
          <w:sz w:val="17"/>
          <w:szCs w:val="17"/>
          <w:color w:val="auto"/>
        </w:rPr>
        <w:t>”) and supplemental HVAC unit (“</w:t>
      </w:r>
      <w:r>
        <w:rPr>
          <w:rFonts w:ascii="Arial" w:cs="Arial" w:eastAsia="Arial" w:hAnsi="Arial"/>
          <w:sz w:val="17"/>
          <w:szCs w:val="17"/>
          <w:u w:val="single" w:color="auto"/>
          <w:color w:val="auto"/>
        </w:rPr>
        <w:t>Tenant’s HVAC Unit</w:t>
      </w:r>
      <w:r>
        <w:rPr>
          <w:rFonts w:ascii="Arial" w:cs="Arial" w:eastAsia="Arial" w:hAnsi="Arial"/>
          <w:sz w:val="17"/>
          <w:szCs w:val="17"/>
          <w:color w:val="auto"/>
        </w:rPr>
        <w:t>”) on a portion or portions of the roof of the Building (“</w:t>
      </w:r>
      <w:r>
        <w:rPr>
          <w:rFonts w:ascii="Arial" w:cs="Arial" w:eastAsia="Arial" w:hAnsi="Arial"/>
          <w:sz w:val="17"/>
          <w:szCs w:val="17"/>
          <w:u w:val="single" w:color="auto"/>
          <w:color w:val="auto"/>
        </w:rPr>
        <w:t>Roof’</w:t>
      </w:r>
      <w:r>
        <w:rPr>
          <w:rFonts w:ascii="Arial" w:cs="Arial" w:eastAsia="Arial" w:hAnsi="Arial"/>
          <w:sz w:val="17"/>
          <w:szCs w:val="17"/>
          <w:color w:val="auto"/>
        </w:rPr>
        <w:t xml:space="preserve">) in compliance with all of the terms and conditions of this Lease, including, but not limited to, Section 10.05 and </w:t>
      </w:r>
      <w:r>
        <w:rPr>
          <w:rFonts w:ascii="Arial" w:cs="Arial" w:eastAsia="Arial" w:hAnsi="Arial"/>
          <w:sz w:val="17"/>
          <w:szCs w:val="17"/>
          <w:u w:val="single" w:color="auto"/>
          <w:color w:val="auto"/>
        </w:rPr>
        <w:t>Exhibit C</w:t>
      </w:r>
      <w:r>
        <w:rPr>
          <w:rFonts w:ascii="Arial" w:cs="Arial" w:eastAsia="Arial" w:hAnsi="Arial"/>
          <w:sz w:val="17"/>
          <w:szCs w:val="17"/>
          <w:color w:val="auto"/>
        </w:rPr>
        <w:t>. Tenant acknowledges and agrees that the right granted to Tenant hereunder is a non-exclusive license and is not a lease or an appurtenant right to the Premises and, further, that Tenant’s liabilities and obligations under this Lease are not contingent or conditioned upon its ability to use the Antenna and Tenant shall continue to be obligated to perform all of its obligations under the Lease if Tenant is unable to use the Antenna. Tenant shall only use the Antenna to transmit and receive data transmissions for Tenant’s use in the Premises. No person or entity other than Tenant (or a Permitted Transferee, subtenant, successor or assign) shall have the right to use or receive transmissions from the Antenna.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70" w:right="639" w:bottom="1440" w:gutter="0" w:footer="0" w:header="0"/>
        </w:sectPr>
      </w:pPr>
    </w:p>
    <w:bookmarkStart w:id="401" w:name="page402"/>
    <w:bookmarkEnd w:id="401"/>
    <w:p>
      <w:pPr>
        <w:ind w:firstLine="424"/>
        <w:spacing w:after="0" w:line="294" w:lineRule="auto"/>
        <w:tabs>
          <w:tab w:leader="none" w:pos="672" w:val="left"/>
        </w:tabs>
        <w:numPr>
          <w:ilvl w:val="0"/>
          <w:numId w:val="34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Antenna and Tenant’s HVAC Unit shall be installed at a location or locations on the Roof selected by Landlord, in its sole but reasonable discretion, and Landlord shall have the right, to be exercised in good faith, to require Tenant to relocate the Antenna, but not Tenant’s HVAC Unit, from time to time, at Tenant’s sole cost and expense; provided, however, Landlord shall not require Tenant to so relocate its Antenna at Tenant’s cost for purposes benefiting a third party, including another Building Tenant or occupant. Landlord makes no representation or warranty to Tenant that the Roof will be satisfactory to Tenant or will permit Tenant to receive the transmissions it desires to receive. Prior to installing, removing or replacing either the Antenna or Tenant’s HVAC Unit, Tenant shall submit to Landlord plans and specifications for the installation of the Antenna and/or Tenant’s HVAC Unit, as the case may be, prepared by a licensed engineer reasonably satisfactory to Landlord (the “</w:t>
      </w:r>
      <w:r>
        <w:rPr>
          <w:rFonts w:ascii="Arial" w:cs="Arial" w:eastAsia="Arial" w:hAnsi="Arial"/>
          <w:sz w:val="15"/>
          <w:szCs w:val="15"/>
          <w:u w:val="single" w:color="auto"/>
          <w:color w:val="auto"/>
        </w:rPr>
        <w:t>Plans</w:t>
      </w:r>
      <w:r>
        <w:rPr>
          <w:rFonts w:ascii="Arial" w:cs="Arial" w:eastAsia="Arial" w:hAnsi="Arial"/>
          <w:sz w:val="15"/>
          <w:szCs w:val="15"/>
          <w:color w:val="auto"/>
        </w:rPr>
        <w:t>”). The Plans shall be reasonably satisfactory to Landlord, and shall show the location of the installations of the Antenna and/or Tenant’s HVAC Unit and all related equipment and components on the Roof, the location and type of all piping, conduit, wiring, cabling, the manner in which the Antenna and/or Tenant’s HVAC Unit will be placed on and fastened to the Roof, number, type, size and sealing of any Roof penetrations, and any other information requested by Landlord, in Landlord’s good faith discretion. Landlord shall have the right to require that the Antenna and/or Tenant’s HVAC Unit not be visible from any location on the ground and/or that the all such equipment be screened in a manner satisfactory to Landlord, in Landlord’s good faith discretion. Landlord shall have the right to employ an engineer or other consultant to review the Plans and the reasonable, actual cost of such engineer or consultant shall be paid by Tenant to Landlord within thirty (30) days after request therefor. After Landlord has approved the Plans and prior to installing the Antenna and/or Tenant’s HVAC Unit and any related equipment, wiring, conduit, piping, or cabling, Tenant shall obtain and provide to Landlord: (a) all required governmental and quasi-governmental permits, licenses, special zoning variances and authorizations, as required by applicable Laws and Restrictions, all of which Tenant shall obtain at its own cost and expense; and (b) a policy or certificate of insurance evidencing such insurance coverage as may be reasonably required by Landlord. Any alteration or modification of the Antenna and/or Tenant’s HVAC Unit or any associated piping, conduit, wiring, cabling, equipment after the Plans have been approved shall require Landlord’s prior written approval, which may be given or withheld in Landlord’s good faith discretion.</w:t>
      </w:r>
    </w:p>
    <w:p>
      <w:pPr>
        <w:spacing w:after="0" w:line="373" w:lineRule="exact"/>
        <w:rPr>
          <w:rFonts w:ascii="Arial" w:cs="Arial" w:eastAsia="Arial" w:hAnsi="Arial"/>
          <w:sz w:val="15"/>
          <w:szCs w:val="15"/>
          <w:color w:val="auto"/>
        </w:rPr>
      </w:pPr>
    </w:p>
    <w:p>
      <w:pPr>
        <w:ind w:right="80" w:firstLine="424"/>
        <w:spacing w:after="0" w:line="262" w:lineRule="auto"/>
        <w:tabs>
          <w:tab w:leader="none" w:pos="662"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Installation and maintenance of the Antenna, Tenant’s HVAC Unit or any associated piping, conduit, wiring, cabling, equipment shall be performed solely by contractors approved by Landlord, in its reasonable discretion. Landlord’s may require Tenant to use a roofing contractor selected by Landlord to perform any work that could damage, penetrate or alter the Roof and an electrician selected by Landlord to install any associated piping, conduit, wiring, cabling, equipment on the Roof or in the Building. Landlord may require anyone going on the Roof to execute in advance a liability waiver satisfactory to Landlord. Tenant shall bear all costs and expenses incurred in connection with the installation, operation and maintenance of the Antenna and Tenant’s HVAC Unit.</w:t>
      </w:r>
    </w:p>
    <w:p>
      <w:pPr>
        <w:spacing w:after="0" w:line="181" w:lineRule="exact"/>
        <w:rPr>
          <w:rFonts w:ascii="Arial" w:cs="Arial" w:eastAsia="Arial" w:hAnsi="Arial"/>
          <w:sz w:val="17"/>
          <w:szCs w:val="17"/>
          <w:color w:val="auto"/>
        </w:rPr>
      </w:pPr>
    </w:p>
    <w:p>
      <w:pPr>
        <w:ind w:right="40" w:firstLine="424"/>
        <w:spacing w:after="0" w:line="288" w:lineRule="auto"/>
        <w:tabs>
          <w:tab w:leader="none" w:pos="67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Tenant acknowledges that Landlord may decide, in its good faith discretion, from time to time, to repair or replace the Roof (hereinafter “</w:t>
      </w:r>
      <w:r>
        <w:rPr>
          <w:rFonts w:ascii="Arial" w:cs="Arial" w:eastAsia="Arial" w:hAnsi="Arial"/>
          <w:sz w:val="16"/>
          <w:szCs w:val="16"/>
          <w:u w:val="single" w:color="auto"/>
          <w:color w:val="auto"/>
        </w:rPr>
        <w:t>Roof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Repairs</w:t>
      </w:r>
      <w:r>
        <w:rPr>
          <w:rFonts w:ascii="Arial" w:cs="Arial" w:eastAsia="Arial" w:hAnsi="Arial"/>
          <w:sz w:val="16"/>
          <w:szCs w:val="16"/>
          <w:color w:val="auto"/>
        </w:rPr>
        <w:t>”). If Landlord elects to make Roof Repairs, Tenant shall, upon Landlord’s request, temporarily remove the Antenna so that the Roof Repairs may be completed. The cost of removing and reinstalling the Antenna shall be paid by Tenant, at Tenant’s sole cost and expense. Landlord shall not be liable to Tenant for any damages, lost profits or other costs or expenses incurred by Tenant as the result of the Roof Repairs.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620" w:top="270" w:right="639" w:bottom="1440" w:gutter="0" w:footer="0" w:header="0"/>
        </w:sectPr>
      </w:pPr>
    </w:p>
    <w:bookmarkStart w:id="402" w:name="page403"/>
    <w:bookmarkEnd w:id="402"/>
    <w:p>
      <w:pPr>
        <w:ind w:left="2" w:right="40" w:firstLine="424"/>
        <w:spacing w:after="0" w:line="307" w:lineRule="auto"/>
        <w:tabs>
          <w:tab w:leader="none" w:pos="664" w:val="left"/>
        </w:tabs>
        <w:numPr>
          <w:ilvl w:val="1"/>
          <w:numId w:val="3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On the termination or expiration of the Lease, Tenant shall remove the Antenna and all associated conduit, wiring, cabling, equipment and repair any damages caused thereby, at Tenant’s sole cost and expense. If Tenant does not remove the Antenna on or before the date this Lease terminates or expires, Tenant hereby authorizes Landlord to remove and dispose of the Antenna and associated conduit, wiring, cabling, equipment, and Tenant shall promptly reimburse Landlord for the costs and expenses it incurs in removing and disposing of same and repairing any damages caused thereby. Tenant agrees that Landlord may dispose of the Antenna and any associated conduit, wiring, cabling, equipment in any manner selected by Landlord.</w:t>
      </w:r>
    </w:p>
    <w:p>
      <w:pPr>
        <w:spacing w:after="0" w:line="149" w:lineRule="exact"/>
        <w:rPr>
          <w:rFonts w:ascii="Arial" w:cs="Arial" w:eastAsia="Arial" w:hAnsi="Arial"/>
          <w:sz w:val="15"/>
          <w:szCs w:val="15"/>
          <w:color w:val="auto"/>
        </w:rPr>
      </w:pPr>
    </w:p>
    <w:p>
      <w:pPr>
        <w:ind w:left="2" w:right="220" w:firstLine="424"/>
        <w:spacing w:after="0" w:line="294" w:lineRule="auto"/>
        <w:tabs>
          <w:tab w:leader="none" w:pos="645" w:val="left"/>
        </w:tabs>
        <w:numPr>
          <w:ilvl w:val="1"/>
          <w:numId w:val="348"/>
        </w:numPr>
        <w:rPr>
          <w:rFonts w:ascii="Arial" w:cs="Arial" w:eastAsia="Arial" w:hAnsi="Arial"/>
          <w:sz w:val="15"/>
          <w:szCs w:val="15"/>
          <w:color w:val="auto"/>
        </w:rPr>
      </w:pPr>
      <w:r>
        <w:rPr>
          <w:rFonts w:ascii="Arial" w:cs="Arial" w:eastAsia="Arial" w:hAnsi="Arial"/>
          <w:sz w:val="15"/>
          <w:szCs w:val="15"/>
          <w:color w:val="auto"/>
        </w:rPr>
        <w:t>Tenant’s license to operate and maintain the Antenna and Tenant’s HVAC Unit shall automatically expire and terminate on the date that the term of the Lease expires or is otherwise terminated. This license to operate and maintain the Antenna shall also terminate if any of the following continue for more than three (3) days after written notice from Landlord to Tenant: (a) the Antenna is causing physical damage to the Building or the Roof, (b) the Antenna is interfering with the normal or customary transmission or receipt of transmission or receipt of signals from or to the Building,</w:t>
      </w:r>
    </w:p>
    <w:p>
      <w:pPr>
        <w:spacing w:after="0" w:line="2" w:lineRule="exact"/>
        <w:rPr>
          <w:rFonts w:ascii="Arial" w:cs="Arial" w:eastAsia="Arial" w:hAnsi="Arial"/>
          <w:sz w:val="15"/>
          <w:szCs w:val="15"/>
          <w:color w:val="auto"/>
        </w:rPr>
      </w:pPr>
    </w:p>
    <w:p>
      <w:pPr>
        <w:ind w:left="2" w:right="360" w:hanging="2"/>
        <w:spacing w:after="0" w:line="272" w:lineRule="auto"/>
        <w:tabs>
          <w:tab w:leader="none" w:pos="238"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Antenna is causing Landlord to be in violation of any agreement to which Landlord is a party or (d) the Antenna is causing Landlord to be in violation any local, state or federal law, regulation or ordinance.</w:t>
      </w:r>
    </w:p>
    <w:p>
      <w:pPr>
        <w:spacing w:after="0" w:line="171" w:lineRule="exact"/>
        <w:rPr>
          <w:rFonts w:ascii="Arial" w:cs="Arial" w:eastAsia="Arial" w:hAnsi="Arial"/>
          <w:sz w:val="17"/>
          <w:szCs w:val="17"/>
          <w:color w:val="auto"/>
        </w:rPr>
      </w:pPr>
    </w:p>
    <w:p>
      <w:pPr>
        <w:ind w:left="2" w:right="20" w:firstLine="424"/>
        <w:spacing w:after="0" w:line="259" w:lineRule="auto"/>
        <w:tabs>
          <w:tab w:leader="none" w:pos="674" w:val="left"/>
        </w:tabs>
        <w:numPr>
          <w:ilvl w:val="1"/>
          <w:numId w:val="349"/>
        </w:numPr>
        <w:rPr>
          <w:rFonts w:ascii="Arial" w:cs="Arial" w:eastAsia="Arial" w:hAnsi="Arial"/>
          <w:sz w:val="17"/>
          <w:szCs w:val="17"/>
          <w:color w:val="auto"/>
        </w:rPr>
      </w:pPr>
      <w:r>
        <w:rPr>
          <w:rFonts w:ascii="Arial" w:cs="Arial" w:eastAsia="Arial" w:hAnsi="Arial"/>
          <w:sz w:val="17"/>
          <w:szCs w:val="17"/>
          <w:color w:val="auto"/>
        </w:rPr>
        <w:t>Tenant represents and warrants to Landlord that neither the Antenna nor Tenant’s HVAC Unit will cause interference with (i) any existing communications equipment installed on the Building, or (ii) with the ability of office tenants/occupants of the Building or Project to receive or transmit radio, television, telephone, microwave, short-wave, long-wave or other signals of any sort presently or hereafter installed, or (iii) with any equipment, installation, wires, cabling or machinery (electronic or otherwise) at the Building or Project. Should any such interference occur, Landlord shall provide Tenant with notice of such interference and Tenant shall promptly make all necessary repairs and adjustments, at Tenant’s expense, to insure cessation of interference to Landlord’s reasonable satisfaction and any costs and expenses incurred by Landlord in connection therewith shall be paid to Landlord within thirty (30) days after Tenant’s receipt of Landlord’s invoice. If interference cannot be eliminated within forty eight (48) hours after receipt of notice from Landlord to Tenant, Tenant shall temporarily disconnect the electric power and shut down the interfering equipment, except for intermittent operation for the purpose of testing correction of such interference. In the event Tenant does not shut down such equipment as aforesaid, Landlord may do so without liability to Tenant.</w:t>
      </w:r>
    </w:p>
    <w:p>
      <w:pPr>
        <w:spacing w:after="0" w:line="28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ARTICLE 3: LEASE TERM</w:t>
      </w:r>
    </w:p>
    <w:p>
      <w:pPr>
        <w:spacing w:after="0" w:line="118" w:lineRule="exact"/>
        <w:rPr>
          <w:sz w:val="20"/>
          <w:szCs w:val="20"/>
          <w:color w:val="auto"/>
        </w:rPr>
      </w:pPr>
    </w:p>
    <w:p>
      <w:pPr>
        <w:ind w:left="2" w:firstLine="426"/>
        <w:spacing w:after="0" w:line="269" w:lineRule="auto"/>
        <w:rPr>
          <w:sz w:val="20"/>
          <w:szCs w:val="20"/>
          <w:color w:val="auto"/>
        </w:rPr>
      </w:pPr>
      <w:r>
        <w:rPr>
          <w:rFonts w:ascii="Arial" w:cs="Arial" w:eastAsia="Arial" w:hAnsi="Arial"/>
          <w:sz w:val="17"/>
          <w:szCs w:val="17"/>
          <w:b w:val="1"/>
          <w:bCs w:val="1"/>
          <w:color w:val="auto"/>
        </w:rPr>
        <w:t>3.01 Lease Term</w:t>
      </w:r>
      <w:r>
        <w:rPr>
          <w:rFonts w:ascii="Arial" w:cs="Arial" w:eastAsia="Arial" w:hAnsi="Arial"/>
          <w:sz w:val="17"/>
          <w:szCs w:val="17"/>
          <w:color w:val="auto"/>
        </w:rPr>
        <w:t>. Subject to the terms and conditions of this Lease, the Initial Term of this Lease is set forth in Article 1, unless sooner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provided herein. Landlord and Tenant agree to execute a Term Commencement Date Agreement substantially in the form attached hereto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or as otherwise reasonably requested by Landlord confirming the actual Term Commencement Date and expiration date of the Term, once same are determined.</w:t>
      </w:r>
    </w:p>
    <w:p>
      <w:pPr>
        <w:spacing w:after="0" w:line="10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2"/>
          </w:cols>
          <w:pgMar w:left="618" w:top="270" w:right="639" w:bottom="1440" w:gutter="0" w:footer="0" w:header="0"/>
        </w:sectPr>
      </w:pPr>
    </w:p>
    <w:bookmarkStart w:id="403" w:name="page404"/>
    <w:bookmarkEnd w:id="403"/>
    <w:p>
      <w:pPr>
        <w:ind w:left="2" w:right="40" w:firstLine="426"/>
        <w:spacing w:after="0" w:line="27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3.02 Hold Over</w:t>
      </w:r>
      <w:r>
        <w:rPr>
          <w:rFonts w:ascii="Arial" w:cs="Arial" w:eastAsia="Arial" w:hAnsi="Arial"/>
          <w:sz w:val="16"/>
          <w:szCs w:val="16"/>
          <w:color w:val="auto"/>
        </w:rPr>
        <w:t>. If Tenant (or anyone claiming through Tenant) shall remain in occupancy of the Premises or any part thereof after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early termination of the Term without a written agreement therefor executed and delivered by Landlord, then without limiting Landlord’s other rights and remedies the person remaining in possession shall be deemed a tenant at sufferance, and Tenant shall thereafter pay monthly rent (pro rated for such portion of any partial month as Tenant shall remain in possession) at a rate equal to the greater of (a) one and one-quarter times the market rent then being quoted by Landlord for the Premises or reasonably comparable space in the Building, or (b) 1.75 times the amount payable as Base Rent for the twelve (12) month period immediately preceding such expiration or termination, and in either case with all Additional Rent also payable as provided in this Lease. After Landlord’s acceptance of the full amount of such rent for the first month of such holding over, the person remaining in possession shall be deemed a tenant at will at such rent and otherwise subject to all of the provisions of this Lease. Notwithstanding the foregoing, if Landlord desires to regain possession of the Premises promptly after the termination or expiration hereof and prior to acceptance of rent for any period thereafter, Landlord may, at its option, forthwith re-enter and take possession of the Premises or any part thereof without process or by any legal process in force in the state where the Property is located. In any case, Tenant shall be liable to Landlord for all damages resulting from any failure by Tenant to vacate the Premises or any portion thereof when required hereunder.</w:t>
      </w:r>
    </w:p>
    <w:p>
      <w:pPr>
        <w:spacing w:after="0" w:line="167"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3.03 Right to Extend.</w:t>
      </w:r>
    </w:p>
    <w:p>
      <w:pPr>
        <w:spacing w:after="0" w:line="228" w:lineRule="exact"/>
        <w:rPr>
          <w:sz w:val="20"/>
          <w:szCs w:val="20"/>
          <w:color w:val="auto"/>
        </w:rPr>
      </w:pPr>
    </w:p>
    <w:p>
      <w:pPr>
        <w:ind w:left="2" w:firstLine="424"/>
        <w:spacing w:after="0" w:line="296" w:lineRule="auto"/>
        <w:tabs>
          <w:tab w:leader="none" w:pos="664" w:val="left"/>
        </w:tabs>
        <w:numPr>
          <w:ilvl w:val="1"/>
          <w:numId w:val="350"/>
        </w:numPr>
        <w:rPr>
          <w:rFonts w:ascii="Arial" w:cs="Arial" w:eastAsia="Arial" w:hAnsi="Arial"/>
          <w:sz w:val="15"/>
          <w:szCs w:val="15"/>
          <w:color w:val="auto"/>
        </w:rPr>
      </w:pPr>
      <w:r>
        <w:rPr>
          <w:rFonts w:ascii="Arial" w:cs="Arial" w:eastAsia="Arial" w:hAnsi="Arial"/>
          <w:sz w:val="15"/>
          <w:szCs w:val="15"/>
          <w:u w:val="single" w:color="auto"/>
          <w:color w:val="auto"/>
        </w:rPr>
        <w:t>Extension Term</w:t>
      </w:r>
      <w:r>
        <w:rPr>
          <w:rFonts w:ascii="Arial" w:cs="Arial" w:eastAsia="Arial" w:hAnsi="Arial"/>
          <w:sz w:val="15"/>
          <w:szCs w:val="15"/>
          <w:color w:val="auto"/>
        </w:rPr>
        <w:t>. The Term of this Lease of all of the Premises may be extended for the Extension Term by unconditional written notice from Tenant to Landlord at least twelve (12) (but not more than fifteen (15)) months before the end of the Initial Term, time being of the essence. If Tenant does not timely exercise this option, or if on the date of such notice or at the beginning of the Extension Term (i) an Event of Default by Tenant exists, or</w:t>
      </w:r>
    </w:p>
    <w:p>
      <w:pPr>
        <w:ind w:left="2" w:right="20" w:hanging="2"/>
        <w:spacing w:after="0" w:line="276" w:lineRule="auto"/>
        <w:tabs>
          <w:tab w:leader="none" w:pos="25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Tenant is not leasing sixty percent (60%) or more of the Premises, or (iii) Tenant has made any Transfer under Article 13 (other than a Related Party Transfer), at Landlord’s option upon written notice to Tenant, Tenant’s right to extend the Term of this Lease shall irrevocably lapse and be void and of no further force and effect, Tenant shall have no further right to extend, and this Lease shall expire at the end of the Initial Term. If Tenant fails to timely exercise its rights hereunder, then within seven (7) days of Landlord’s request therefor, Tenant shall execute and deliver to Landlord a certification, in recordable form, confirming the Tenant’s failure to exercise (or waiver of) such right, and Tenant’s failure to so execute and deliver such certification shall (without limiting Landlord’s remedies on account thereof) entitle Landlord to execute and deliver to any third party, and record, an affidavit confirming the failure or waiver, which affidavit shall be binding on Tenant and may be conclusively relied on by third parties. All references to the Term shall mean the Initial Term as it may be extended by the Extension Term. The Extension Term shall be on all the same terms and conditions except that the Base Rent for the Extension Term shall be as set forth below.</w:t>
      </w:r>
    </w:p>
    <w:p>
      <w:pPr>
        <w:spacing w:after="0" w:line="172" w:lineRule="exact"/>
        <w:rPr>
          <w:rFonts w:ascii="Arial" w:cs="Arial" w:eastAsia="Arial" w:hAnsi="Arial"/>
          <w:sz w:val="16"/>
          <w:szCs w:val="16"/>
          <w:color w:val="auto"/>
        </w:rPr>
      </w:pPr>
    </w:p>
    <w:p>
      <w:pPr>
        <w:jc w:val="both"/>
        <w:ind w:left="2" w:right="500" w:firstLine="424"/>
        <w:spacing w:after="0" w:line="266" w:lineRule="auto"/>
        <w:tabs>
          <w:tab w:leader="none" w:pos="674" w:val="left"/>
        </w:tabs>
        <w:numPr>
          <w:ilvl w:val="1"/>
          <w:numId w:val="351"/>
        </w:numPr>
        <w:rPr>
          <w:rFonts w:ascii="Arial" w:cs="Arial" w:eastAsia="Arial" w:hAnsi="Arial"/>
          <w:sz w:val="17"/>
          <w:szCs w:val="17"/>
          <w:color w:val="auto"/>
        </w:rPr>
      </w:pPr>
      <w:r>
        <w:rPr>
          <w:rFonts w:ascii="Arial" w:cs="Arial" w:eastAsia="Arial" w:hAnsi="Arial"/>
          <w:sz w:val="17"/>
          <w:szCs w:val="17"/>
          <w:u w:val="single" w:color="auto"/>
          <w:color w:val="auto"/>
        </w:rPr>
        <w:t>Extension Term Base Rent</w:t>
      </w:r>
      <w:r>
        <w:rPr>
          <w:rFonts w:ascii="Arial" w:cs="Arial" w:eastAsia="Arial" w:hAnsi="Arial"/>
          <w:sz w:val="17"/>
          <w:szCs w:val="17"/>
          <w:color w:val="auto"/>
        </w:rPr>
        <w:t>. Base Rent for each year of the Extension Term shall be established as the higher of (x) one hundred percent (100%) of the Market Rent (as defined in Section 3.03(c)) or (y) the Base Rent last in effect for the last Lease Year prior to the Extension Term. If Tenant gives Landlord timely notice of its exercise of the Extension Term option, then Landlord shall give Tenant written notice of Landlord’s determination of Market Rent for the</w:t>
      </w:r>
    </w:p>
    <w:p>
      <w:pPr>
        <w:spacing w:after="0" w:line="112"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2"/>
          </w:cols>
          <w:pgMar w:left="618" w:top="264" w:right="639" w:bottom="1440" w:gutter="0" w:footer="0" w:header="0"/>
        </w:sectPr>
      </w:pPr>
    </w:p>
    <w:bookmarkStart w:id="404" w:name="page405"/>
    <w:bookmarkEnd w:id="40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Premises for the Extension Term no later than three (3) months prior to the expiration of the Initial Term. Within ten (10) days after Tenant receives such notice, Tenant shall notify Landlord of its agreement with or objection to Landlord’s determination of the Market Rent, whereupon in the case of Tenant’s objection, Market Rent shall be determined by arbitration conducted in the manner set forth below. If Tenant does not notify Landlord within such ten (10) day period of Tenant’s agreement with or objection to Landlord’s determination of the Market Rent, then the Market Rent for the Extension Term shall be conclusively deemed to be Landlord’s determination of the Market Rent as set forth in Landlord’s notice to Tenant.</w:t>
      </w:r>
    </w:p>
    <w:p>
      <w:pPr>
        <w:spacing w:after="0" w:line="165" w:lineRule="exact"/>
        <w:rPr>
          <w:sz w:val="20"/>
          <w:szCs w:val="20"/>
          <w:color w:val="auto"/>
        </w:rPr>
      </w:pPr>
    </w:p>
    <w:p>
      <w:pPr>
        <w:ind w:right="60" w:firstLine="424"/>
        <w:spacing w:after="0" w:line="296" w:lineRule="auto"/>
        <w:tabs>
          <w:tab w:leader="none" w:pos="662" w:val="left"/>
        </w:tabs>
        <w:numPr>
          <w:ilvl w:val="0"/>
          <w:numId w:val="352"/>
        </w:numPr>
        <w:rPr>
          <w:rFonts w:ascii="Arial" w:cs="Arial" w:eastAsia="Arial" w:hAnsi="Arial"/>
          <w:sz w:val="15"/>
          <w:szCs w:val="15"/>
          <w:color w:val="auto"/>
        </w:rPr>
      </w:pPr>
      <w:r>
        <w:rPr>
          <w:rFonts w:ascii="Arial" w:cs="Arial" w:eastAsia="Arial" w:hAnsi="Arial"/>
          <w:sz w:val="15"/>
          <w:szCs w:val="15"/>
          <w:u w:val="single" w:color="auto"/>
          <w:color w:val="auto"/>
        </w:rPr>
        <w:t>Arbitration of Market Rent</w:t>
      </w:r>
      <w:r>
        <w:rPr>
          <w:rFonts w:ascii="Arial" w:cs="Arial" w:eastAsia="Arial" w:hAnsi="Arial"/>
          <w:sz w:val="15"/>
          <w:szCs w:val="15"/>
          <w:color w:val="auto"/>
        </w:rPr>
        <w:t>. If Tenant timely notifies Landlord of Tenant’s objection to Landlord’s determination of Market Rent under the preceding subsection with respect to the Extension Term, such notice shall also set forth a request for arbitration and Tenant’s appointment of a commercial real estate appraiser (an “</w:t>
      </w:r>
      <w:r>
        <w:rPr>
          <w:rFonts w:ascii="Arial" w:cs="Arial" w:eastAsia="Arial" w:hAnsi="Arial"/>
          <w:sz w:val="15"/>
          <w:szCs w:val="15"/>
          <w:u w:val="single" w:color="auto"/>
          <w:color w:val="auto"/>
        </w:rPr>
        <w:t>Arbitrator</w:t>
      </w:r>
      <w:r>
        <w:rPr>
          <w:rFonts w:ascii="Arial" w:cs="Arial" w:eastAsia="Arial" w:hAnsi="Arial"/>
          <w:sz w:val="15"/>
          <w:szCs w:val="15"/>
          <w:color w:val="auto"/>
        </w:rPr>
        <w:t>”). Within five (5) business days thereafter, Landlord shall by notice to Tenant appoint a second Arbitrator. Each Arbitrator shall determine the Market Rent for the Extension Term within thirty (30) days after Landlord’s appointment of the second Arbitrator. On or before the expiration of such thirty (30) day period, the two Arbitrators shall confer to compare their respective determinations of the Market Rent. If the difference between the amounts so determined by the two (2) Arbitrators is less than or equal to ten percent (10%) of the lower of said amounts then the final determination of the Market Rent shall be equal to the arithmetical average of said amounts. If such difference between said amounts is greater than ten percent (10%), then the two arbitrators shall within ten (10) days thereafter to appoint a similarly qualified third Arbitrator (“</w:t>
      </w:r>
      <w:r>
        <w:rPr>
          <w:rFonts w:ascii="Arial" w:cs="Arial" w:eastAsia="Arial" w:hAnsi="Arial"/>
          <w:sz w:val="15"/>
          <w:szCs w:val="15"/>
          <w:u w:val="single" w:color="auto"/>
          <w:color w:val="auto"/>
        </w:rPr>
        <w:t>Third Arbitrator</w:t>
      </w:r>
      <w:r>
        <w:rPr>
          <w:rFonts w:ascii="Arial" w:cs="Arial" w:eastAsia="Arial" w:hAnsi="Arial"/>
          <w:sz w:val="15"/>
          <w:szCs w:val="15"/>
          <w:color w:val="auto"/>
        </w:rPr>
        <w:t>”), who shall determine the Market Rent for the Extension Term within ten (10) days after his or her appointment by selecting one or the other of the amounts determined by the other two (2) Arbitrators. Each party shall bear the cost of the Arbitrator selected by such party. The cost for the Third Arbitrator, if any, shall be shared equally by Landlord and Tenant. All Arbitrators appointed hereunder shall be licensed real estate brokers with at least ten (10) years’ experience in the leasing of office/laboratory space in buildings similar in character and location to the Premises. The foregoing determination shall be conclusive, final and binding on the parties and enforceable in any court having jurisdiction over the parties.</w:t>
      </w:r>
    </w:p>
    <w:p>
      <w:pPr>
        <w:spacing w:after="0" w:line="158" w:lineRule="exact"/>
        <w:rPr>
          <w:rFonts w:ascii="Arial" w:cs="Arial" w:eastAsia="Arial" w:hAnsi="Arial"/>
          <w:sz w:val="15"/>
          <w:szCs w:val="15"/>
          <w:color w:val="auto"/>
        </w:rPr>
      </w:pPr>
    </w:p>
    <w:p>
      <w:pPr>
        <w:ind w:right="180" w:firstLine="424"/>
        <w:spacing w:after="0" w:line="272" w:lineRule="auto"/>
        <w:tabs>
          <w:tab w:leader="none" w:pos="67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Rent</w:t>
      </w:r>
      <w:r>
        <w:rPr>
          <w:rFonts w:ascii="Arial" w:cs="Arial" w:eastAsia="Arial" w:hAnsi="Arial"/>
          <w:sz w:val="17"/>
          <w:szCs w:val="17"/>
          <w:color w:val="auto"/>
        </w:rPr>
        <w:t>” shall be the fair market rent that willing parties would pay and receive as the Base Rent to lease similar space in the Building and similar space in similar buildings in the same geographic area, during the Extension Term and under the applicable terms and conditions of this Lease (and other relevant market factors).</w:t>
      </w:r>
    </w:p>
    <w:p>
      <w:pPr>
        <w:spacing w:after="0" w:line="170" w:lineRule="exact"/>
        <w:rPr>
          <w:rFonts w:ascii="Arial" w:cs="Arial" w:eastAsia="Arial" w:hAnsi="Arial"/>
          <w:sz w:val="17"/>
          <w:szCs w:val="17"/>
          <w:color w:val="auto"/>
        </w:rPr>
      </w:pPr>
    </w:p>
    <w:p>
      <w:pPr>
        <w:ind w:right="100" w:firstLine="424"/>
        <w:spacing w:after="0" w:line="307" w:lineRule="auto"/>
        <w:tabs>
          <w:tab w:leader="none" w:pos="662" w:val="left"/>
        </w:tabs>
        <w:numPr>
          <w:ilvl w:val="0"/>
          <w:numId w:val="352"/>
        </w:numPr>
        <w:rPr>
          <w:rFonts w:ascii="Arial" w:cs="Arial" w:eastAsia="Arial" w:hAnsi="Arial"/>
          <w:sz w:val="15"/>
          <w:szCs w:val="15"/>
          <w:color w:val="auto"/>
        </w:rPr>
      </w:pPr>
      <w:r>
        <w:rPr>
          <w:rFonts w:ascii="Arial" w:cs="Arial" w:eastAsia="Arial" w:hAnsi="Arial"/>
          <w:sz w:val="15"/>
          <w:szCs w:val="15"/>
          <w:u w:val="single" w:color="auto"/>
          <w:color w:val="auto"/>
        </w:rPr>
        <w:t>Rent Continuation</w:t>
      </w:r>
      <w:r>
        <w:rPr>
          <w:rFonts w:ascii="Arial" w:cs="Arial" w:eastAsia="Arial" w:hAnsi="Arial"/>
          <w:sz w:val="15"/>
          <w:szCs w:val="15"/>
          <w:color w:val="auto"/>
        </w:rPr>
        <w:t>. For any part of the Extension Term during which the Base Rent is in dispute or has otherwise not finally been determined, Tenant shall make payment on account of Base Rent at the Market Rent estimated by Landlord, and the parties shall adjust for any overpayments or underpayments upon the final determination of Base Rent. The failure by the parties to complete the process contemplated under this Section prior to commencement of the Extension Term shall not affect the continuation of the Term or the parties’ obligation to make any adjustments for any overpayments or underpayments for the Base Rent due for the Extension Term promptly after the determination thereof is made.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20"/>
          </w:cols>
          <w:pgMar w:left="620" w:top="270" w:right="659" w:bottom="1440" w:gutter="0" w:footer="0" w:header="0"/>
        </w:sectPr>
      </w:pPr>
    </w:p>
    <w:bookmarkStart w:id="405" w:name="page406"/>
    <w:bookmarkEnd w:id="4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4: RENT</w:t>
      </w:r>
    </w:p>
    <w:p>
      <w:pPr>
        <w:spacing w:after="0" w:line="118" w:lineRule="exact"/>
        <w:rPr>
          <w:sz w:val="20"/>
          <w:szCs w:val="20"/>
          <w:color w:val="auto"/>
        </w:rPr>
      </w:pPr>
    </w:p>
    <w:p>
      <w:pPr>
        <w:ind w:right="100" w:firstLine="426"/>
        <w:spacing w:after="0" w:line="269" w:lineRule="auto"/>
        <w:rPr>
          <w:sz w:val="20"/>
          <w:szCs w:val="20"/>
          <w:color w:val="auto"/>
        </w:rPr>
      </w:pPr>
      <w:r>
        <w:rPr>
          <w:rFonts w:ascii="Arial" w:cs="Arial" w:eastAsia="Arial" w:hAnsi="Arial"/>
          <w:sz w:val="17"/>
          <w:szCs w:val="17"/>
          <w:b w:val="1"/>
          <w:bCs w:val="1"/>
          <w:color w:val="auto"/>
        </w:rPr>
        <w:t>4.01 Base Rent</w:t>
      </w:r>
      <w:r>
        <w:rPr>
          <w:rFonts w:ascii="Arial" w:cs="Arial" w:eastAsia="Arial" w:hAnsi="Arial"/>
          <w:sz w:val="17"/>
          <w:szCs w:val="17"/>
          <w:color w:val="auto"/>
        </w:rPr>
        <w:t>. On the Rent Commencement Date and thereafter on the first day of each month during the Term, Tenant shall pay Landlord the</w:t>
      </w:r>
      <w:r>
        <w:rPr>
          <w:rFonts w:ascii="Arial" w:cs="Arial" w:eastAsia="Arial" w:hAnsi="Arial"/>
          <w:sz w:val="17"/>
          <w:szCs w:val="17"/>
          <w:b w:val="1"/>
          <w:bCs w:val="1"/>
          <w:color w:val="auto"/>
        </w:rPr>
        <w:t xml:space="preserve"> </w:t>
      </w:r>
      <w:r>
        <w:rPr>
          <w:rFonts w:ascii="Arial" w:cs="Arial" w:eastAsia="Arial" w:hAnsi="Arial"/>
          <w:sz w:val="17"/>
          <w:szCs w:val="17"/>
          <w:color w:val="auto"/>
        </w:rPr>
        <w:t>monthly installment of Base Rent and commencing on the Term Commencement Date the monthly installments of Tenant’s Pro Rata Share of Total Operating Costs and Tenant’s Pro Rata Share of Taxes required by Section 4.02, in each case in advance. Rent shall be payable at Landlord’s address or otherwise as Landlord may designate in writing from time to time.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4.02 Additional Rent</w:t>
      </w:r>
      <w:r>
        <w:rPr>
          <w:rFonts w:ascii="Arial" w:cs="Arial" w:eastAsia="Arial" w:hAnsi="Arial"/>
          <w:sz w:val="17"/>
          <w:szCs w:val="17"/>
          <w:color w:val="auto"/>
        </w:rPr>
        <w:t>.</w:t>
      </w:r>
    </w:p>
    <w:p>
      <w:pPr>
        <w:spacing w:after="0" w:line="228" w:lineRule="exact"/>
        <w:rPr>
          <w:sz w:val="20"/>
          <w:szCs w:val="20"/>
          <w:color w:val="auto"/>
        </w:rPr>
      </w:pPr>
    </w:p>
    <w:p>
      <w:pPr>
        <w:ind w:firstLine="424"/>
        <w:spacing w:after="0" w:line="295" w:lineRule="auto"/>
        <w:tabs>
          <w:tab w:leader="none" w:pos="662" w:val="left"/>
        </w:tabs>
        <w:numPr>
          <w:ilvl w:val="0"/>
          <w:numId w:val="353"/>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w:t>
      </w:r>
      <w:r>
        <w:rPr>
          <w:rFonts w:ascii="Arial" w:cs="Arial" w:eastAsia="Arial" w:hAnsi="Arial"/>
          <w:sz w:val="15"/>
          <w:szCs w:val="15"/>
          <w:u w:val="single" w:color="auto"/>
          <w:color w:val="auto"/>
        </w:rPr>
        <w:t>Rent</w:t>
      </w:r>
      <w:r>
        <w:rPr>
          <w:rFonts w:ascii="Arial" w:cs="Arial" w:eastAsia="Arial" w:hAnsi="Arial"/>
          <w:sz w:val="15"/>
          <w:szCs w:val="15"/>
          <w:color w:val="auto"/>
        </w:rPr>
        <w:t>” means Base Rent and Additional Rent. Landlord shall estimate in advance (i) all Taxes under Article 5, (ii) all utility costs (unless separately metered to or separately contracted for by Tenant) under Article 6, (iii) all insurance premiums to be paid by Landlord under Article 7 and (iv) all Operating Expenses under Section 8.04 (individually, all such items in clauses (i) through (iv) being “</w:t>
      </w:r>
      <w:r>
        <w:rPr>
          <w:rFonts w:ascii="Arial" w:cs="Arial" w:eastAsia="Arial" w:hAnsi="Arial"/>
          <w:sz w:val="15"/>
          <w:szCs w:val="15"/>
          <w:u w:val="single" w:color="auto"/>
          <w:color w:val="auto"/>
        </w:rPr>
        <w:t>Operating Costs</w:t>
      </w:r>
      <w:r>
        <w:rPr>
          <w:rFonts w:ascii="Arial" w:cs="Arial" w:eastAsia="Arial" w:hAnsi="Arial"/>
          <w:sz w:val="15"/>
          <w:szCs w:val="15"/>
          <w:color w:val="auto"/>
        </w:rPr>
        <w:t>” and collectively, being “</w:t>
      </w:r>
      <w:r>
        <w:rPr>
          <w:rFonts w:ascii="Arial" w:cs="Arial" w:eastAsia="Arial" w:hAnsi="Arial"/>
          <w:sz w:val="15"/>
          <w:szCs w:val="15"/>
          <w:u w:val="single" w:color="auto"/>
          <w:color w:val="auto"/>
        </w:rPr>
        <w:t>Total Operating Costs</w:t>
      </w:r>
      <w:r>
        <w:rPr>
          <w:rFonts w:ascii="Arial" w:cs="Arial" w:eastAsia="Arial" w:hAnsi="Arial"/>
          <w:sz w:val="15"/>
          <w:szCs w:val="15"/>
          <w:color w:val="auto"/>
        </w:rPr>
        <w:t>”) and Tenant shall pay one-twelfth (1/12th) of Tenant’s Pro Rata Share of such estimated Total Operating Costs monthly in advance together with Base Rent but commencing on the Term Commencement Date. Landlord may adjust its estimates of Total Operating Costs at any time based upon its experience and reasonable anticipation of costs. Such adjustments shall be effective as of the next Rent payment date after notice to Tenant. Within one hundred twenty (120) days after the end of each fiscal year of the Property during the Term, Landlord shall endeavor to give to Tenant a reasonably detailed statement of the Total Operating Costs paid or incurred by Landlord during the preceding fiscal year and Tenant’s Pro Rata Share of such expenses. Within the next thirty (30) days, Tenant shall pay Landlord any underpayment, or Landlord shall credit Tenant with any overpayment, of Tenant’s Pro Rata Share of such Total Operating Costs. If the Term expires or the Lease is terminated as of a date other than the last day of a fiscal year, Tenant’s payment of Additional Rent pursuant to this Section for such partial fiscal year shall be based on Landlord’s reasonable estimate of the items otherwise includable in Total Operating Costs and shall be made on or before the later of (x) ten (10) days after Landlord delivers such estimate to Tenant or (y) the last day of the Term, with an appropriate payment or refund to be made upon Tenant’s receipt of Landlord’s statement of Total Operating Costs for such fiscal year. This Section shall survive the expiration or earlier termination of the Term.</w:t>
      </w:r>
    </w:p>
    <w:p>
      <w:pPr>
        <w:spacing w:after="0" w:line="164" w:lineRule="exact"/>
        <w:rPr>
          <w:rFonts w:ascii="Arial" w:cs="Arial" w:eastAsia="Arial" w:hAnsi="Arial"/>
          <w:sz w:val="15"/>
          <w:szCs w:val="15"/>
          <w:color w:val="auto"/>
        </w:rPr>
      </w:pPr>
    </w:p>
    <w:p>
      <w:pPr>
        <w:ind w:right="100" w:firstLine="424"/>
        <w:spacing w:after="0" w:line="300" w:lineRule="auto"/>
        <w:tabs>
          <w:tab w:leader="none" w:pos="672" w:val="left"/>
        </w:tabs>
        <w:numPr>
          <w:ilvl w:val="0"/>
          <w:numId w:val="353"/>
        </w:numPr>
        <w:rPr>
          <w:rFonts w:ascii="Arial" w:cs="Arial" w:eastAsia="Arial" w:hAnsi="Arial"/>
          <w:sz w:val="15"/>
          <w:szCs w:val="15"/>
          <w:color w:val="auto"/>
        </w:rPr>
      </w:pPr>
      <w:r>
        <w:rPr>
          <w:rFonts w:ascii="Arial" w:cs="Arial" w:eastAsia="Arial" w:hAnsi="Arial"/>
          <w:sz w:val="15"/>
          <w:szCs w:val="15"/>
          <w:u w:val="single" w:color="auto"/>
          <w:color w:val="auto"/>
        </w:rPr>
        <w:t>Allocation of Certain Operating Costs; Gross Up</w:t>
      </w:r>
      <w:r>
        <w:rPr>
          <w:rFonts w:ascii="Arial" w:cs="Arial" w:eastAsia="Arial" w:hAnsi="Arial"/>
          <w:sz w:val="15"/>
          <w:szCs w:val="15"/>
          <w:color w:val="auto"/>
        </w:rPr>
        <w:t>. If at any time during the Term Landlord provides services only with respect to particular portions of the Building that include the Premises or incurs other Operating Costs allocable to particular portions of the Building that include the Premises alone, then such Operating Costs shall be charged entirely to those tenants, including Tenant, if applicable, of such portions, notwithstanding the provisions hereof referring to Tenant’s Pro Rata Share. If, during any period for which Landlord’s Operating Costs are being computed, less than all of the Building is occupied by tenants, or if Landlord is not supplying all tenants with the services being supplied hereunder, Operating Costs shall be reasonably estimated and extrapolated by Landlord to determine the Operating Costs that would have been incurred if the Building were fully occupied for such year and such services were being supplied to all tenants, and such estimated and extrapolated amount shall be deemed to be the Operating Costs for such period. Landlord shall make a reasonable allocation of any Operating Costs incurred jointly for the Property and any other property.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0"/>
          </w:cols>
          <w:pgMar w:left="620" w:top="264" w:right="639" w:bottom="1440" w:gutter="0" w:footer="0" w:header="0"/>
        </w:sectPr>
      </w:pPr>
    </w:p>
    <w:bookmarkStart w:id="406" w:name="page407"/>
    <w:bookmarkEnd w:id="406"/>
    <w:p>
      <w:pPr>
        <w:ind w:right="20" w:firstLine="424"/>
        <w:spacing w:after="0" w:line="266" w:lineRule="auto"/>
        <w:tabs>
          <w:tab w:leader="none" w:pos="662" w:val="left"/>
        </w:tabs>
        <w:numPr>
          <w:ilvl w:val="0"/>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Lease requires Tenant to pay directly to suppliers, vendors, carriers, contractors, etc., certain insurance premiums, utility costs, personal property taxes, maintenance and repair costs and other expenses. If Landlord pays any of these amounts in accordance with this Lease, Tenant shall reimburse such costs in full with the next monthly Rent payment. Unless this Lease provides otherwise, Tenant shall pay all Additional Rent then due on or before the date for the next monthly Rent payment.</w:t>
      </w:r>
    </w:p>
    <w:p>
      <w:pPr>
        <w:spacing w:after="0" w:line="177" w:lineRule="exact"/>
        <w:rPr>
          <w:rFonts w:ascii="Arial" w:cs="Arial" w:eastAsia="Arial" w:hAnsi="Arial"/>
          <w:sz w:val="17"/>
          <w:szCs w:val="17"/>
          <w:color w:val="auto"/>
        </w:rPr>
      </w:pPr>
    </w:p>
    <w:p>
      <w:pPr>
        <w:ind w:firstLine="424"/>
        <w:spacing w:after="0" w:line="295" w:lineRule="auto"/>
        <w:tabs>
          <w:tab w:leader="none" w:pos="672" w:val="left"/>
        </w:tabs>
        <w:numPr>
          <w:ilvl w:val="0"/>
          <w:numId w:val="354"/>
        </w:numPr>
        <w:rPr>
          <w:rFonts w:ascii="Arial" w:cs="Arial" w:eastAsia="Arial" w:hAnsi="Arial"/>
          <w:sz w:val="15"/>
          <w:szCs w:val="15"/>
          <w:color w:val="auto"/>
        </w:rPr>
      </w:pPr>
      <w:r>
        <w:rPr>
          <w:rFonts w:ascii="Arial" w:cs="Arial" w:eastAsia="Arial" w:hAnsi="Arial"/>
          <w:sz w:val="15"/>
          <w:szCs w:val="15"/>
          <w:u w:val="single" w:color="auto"/>
          <w:color w:val="auto"/>
        </w:rPr>
        <w:t>Audit Right</w:t>
      </w:r>
      <w:r>
        <w:rPr>
          <w:rFonts w:ascii="Arial" w:cs="Arial" w:eastAsia="Arial" w:hAnsi="Arial"/>
          <w:sz w:val="15"/>
          <w:szCs w:val="15"/>
          <w:color w:val="auto"/>
        </w:rPr>
        <w:t>. Provided there is no Event of Default, Tenant shall have the right to cause Landlord’s determination of Tenant’s Pro Rata Share of Total Operating Costs to be audited by an auditor reasonably acceptable to Landlord, one time with respect to any Fiscal Year, provided notice of Tenant’s desire to so audit is given to Landlord no later than forty-five (45) days after Tenant receives an annual statement from Landlord and provided that such review is thereafter commenced and prosecuted by Tenant with due diligence. Any Operating Costs statement or accounting by Landlord shall be binding and conclusive upon Tenant unless (i) Tenant duly requests such review within such 45-day period, and (ii) within 3 months after such review request, Tenant shall notify Landlord in writing that Tenant disputes the correctness of such statement, specifying the particular respects in which the statement is claimed to be incorrect. The auditor conducting the review shall be compensated on an hourly basis and shall not be compensated based upon percentage of overcharges it discovers. No subtenant shall have any right to conduct a review, and no assignee shall conduct a review for any period during which such assignee was not in possession of the Premises. Tenant agrees that all information obtained from any such Operating Costs review, including without limitation, the results of any Operating Costs review shall be kept strictly confidential by Tenant and shall not be disclosed to any other person or entity. If as a result of such audit it is mutually agreed, or if it is ultimately determined, that Landlord’s determination of the foregoing is (i) overstated, or (ii) understated, then in the case of (i) Landlord shall credit the difference against monthly installments of Rent next thereafter coming due (or refund he difference if the Term has ended and Tenant has no further obligation to Landlord), or in the case of (ii) Tenant shall pay to Landlord the amount of such excess. The cost of such audit shall be paid by Tenant unless the final result of such audit shall indicate an overstatement of more than 10%, in which case the cost of such audit shall be paid for by Landlord up to a maximum amount of $3,000.</w:t>
      </w:r>
    </w:p>
    <w:p>
      <w:pPr>
        <w:spacing w:after="0" w:line="156" w:lineRule="exact"/>
        <w:rPr>
          <w:sz w:val="20"/>
          <w:szCs w:val="20"/>
          <w:color w:val="auto"/>
        </w:rPr>
      </w:pPr>
    </w:p>
    <w:p>
      <w:pPr>
        <w:ind w:right="240" w:firstLine="426"/>
        <w:spacing w:after="0" w:line="281" w:lineRule="auto"/>
        <w:rPr>
          <w:sz w:val="20"/>
          <w:szCs w:val="20"/>
          <w:color w:val="auto"/>
        </w:rPr>
      </w:pPr>
      <w:r>
        <w:rPr>
          <w:rFonts w:ascii="Arial" w:cs="Arial" w:eastAsia="Arial" w:hAnsi="Arial"/>
          <w:sz w:val="16"/>
          <w:szCs w:val="16"/>
          <w:b w:val="1"/>
          <w:bCs w:val="1"/>
          <w:color w:val="auto"/>
        </w:rPr>
        <w:t>4.03 Late Charge</w:t>
      </w:r>
      <w:r>
        <w:rPr>
          <w:rFonts w:ascii="Arial" w:cs="Arial" w:eastAsia="Arial" w:hAnsi="Arial"/>
          <w:sz w:val="16"/>
          <w:szCs w:val="16"/>
          <w:color w:val="auto"/>
        </w:rPr>
        <w:t>. Tenant acknowledges that if it pays Rent late, Landlord shall incur unanticipated costs, which shall be extremely difficult to</w:t>
      </w:r>
      <w:r>
        <w:rPr>
          <w:rFonts w:ascii="Arial" w:cs="Arial" w:eastAsia="Arial" w:hAnsi="Arial"/>
          <w:sz w:val="16"/>
          <w:szCs w:val="16"/>
          <w:b w:val="1"/>
          <w:bCs w:val="1"/>
          <w:color w:val="auto"/>
        </w:rPr>
        <w:t xml:space="preserve"> </w:t>
      </w:r>
      <w:r>
        <w:rPr>
          <w:rFonts w:ascii="Arial" w:cs="Arial" w:eastAsia="Arial" w:hAnsi="Arial"/>
          <w:sz w:val="16"/>
          <w:szCs w:val="16"/>
          <w:color w:val="auto"/>
        </w:rPr>
        <w:t>ascertain exactly. Such costs include processing and accounting charges, and late charges that may be imposed on Landlord by any mortgage on the Property. Accordingly, if Landlord does not receive any Rent payment within five (5) days following its due date, Tenant shall pay Landlord a late charge equal to ten percent (10%) of the overdue amount; provided that no such late fee shall be due with respect to the first late payment in any calendar year if Tenant makes payment within one business day following notice (which need not be written). The parties agree that this late charge represents a fair and reasonable estimate of the costs Landlord shall incur by reason of Tenant’s payment default. Payment of the late charge shall not cure Tenant’s payment default or prevent Landlord from exercising other rights and remedies.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620" w:top="271" w:right="639" w:bottom="1440" w:gutter="0" w:footer="0" w:header="0"/>
        </w:sectPr>
      </w:pPr>
    </w:p>
    <w:bookmarkStart w:id="407" w:name="page408"/>
    <w:bookmarkEnd w:id="407"/>
    <w:p>
      <w:pPr>
        <w:jc w:val="both"/>
        <w:ind w:right="120" w:firstLine="42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4.04 Interest</w:t>
      </w:r>
      <w:r>
        <w:rPr>
          <w:rFonts w:ascii="Arial" w:cs="Arial" w:eastAsia="Arial" w:hAnsi="Arial"/>
          <w:sz w:val="17"/>
          <w:szCs w:val="17"/>
          <w:color w:val="auto"/>
        </w:rPr>
        <w:t>. Any late Rent shall bear interest from the date due until paid at the rate equal to the Prime Rate plus four percent (4%) per annum</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such interest would cause the total interest to be in excess of that legally permitted. The “</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shall mean the prime lending rate per annum published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from time to time. Payment of interest shall not cure Tenant’s payment default or prevent Landlord from exercising other rights and remedies.</w:t>
      </w:r>
    </w:p>
    <w:p>
      <w:pPr>
        <w:spacing w:after="0" w:line="168" w:lineRule="exact"/>
        <w:rPr>
          <w:sz w:val="20"/>
          <w:szCs w:val="20"/>
          <w:color w:val="auto"/>
        </w:rPr>
      </w:pPr>
    </w:p>
    <w:p>
      <w:pPr>
        <w:ind w:firstLine="426"/>
        <w:spacing w:after="0" w:line="277" w:lineRule="auto"/>
        <w:rPr>
          <w:sz w:val="20"/>
          <w:szCs w:val="20"/>
          <w:color w:val="auto"/>
        </w:rPr>
      </w:pPr>
      <w:r>
        <w:rPr>
          <w:rFonts w:ascii="Arial" w:cs="Arial" w:eastAsia="Arial" w:hAnsi="Arial"/>
          <w:sz w:val="16"/>
          <w:szCs w:val="16"/>
          <w:b w:val="1"/>
          <w:bCs w:val="1"/>
          <w:color w:val="auto"/>
        </w:rPr>
        <w:t>4.05 Method of Payment</w:t>
      </w:r>
      <w:r>
        <w:rPr>
          <w:rFonts w:ascii="Arial" w:cs="Arial" w:eastAsia="Arial" w:hAnsi="Arial"/>
          <w:sz w:val="16"/>
          <w:szCs w:val="16"/>
          <w:color w:val="auto"/>
        </w:rPr>
        <w:t>. Tenant shall pay the Base Rent to Landlord in advance in equal monthly installments by the first of each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month during the Term commencing on the Rent Commencement Date. Tenant shall make a pro rata payment of Base Rent and Additional Rent for any period of less than a month at the beginning or end of the Term. All payments of Base Rent, Additional Rent and other sums due shall be paid in current U.S. exchange by check drawn on a clearinghouse bank at the Original Address of Landlord or such other place as Landlord may from time to time direct (or if requested by Landlord in the case of Base Rent, by electronic fund transfer), without demand, set-off or other deduction. Without limiting the foregoing, Tenant’s obligation to pay Rent shall be absolute, unconditional, and independent and shall not be discharged or otherwise affected by any law or regulation now or hereafter applicable to the Premises, or any other restriction on Tenant’s use, or, except as expressly provided in herein, any casualty or taking, or any failure by Landlord to perform or other occurrence; and Tenant assumes the risk of the foregoing and waives all rights now or hereafter existing to quit or surrender this Lease or the Premises or any part thereof. It is intended that Base Rent payable hereunder shall be a net return to Landlord throughout the Term, free of expense, charge, offset, diminution or other deduction whatsoever on account of the Premises (excepting Landlord’s financing expenses, federal and state income taxes of general application, and those expenses that this Lease expressly makes the responsibility of Landlord), and all provisions hereof shall be construed in terms of such intent.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4.06 Tenant’s Pro Rata Share</w:t>
      </w:r>
      <w:r>
        <w:rPr>
          <w:rFonts w:ascii="Arial" w:cs="Arial" w:eastAsia="Arial" w:hAnsi="Arial"/>
          <w:sz w:val="17"/>
          <w:szCs w:val="17"/>
          <w:color w:val="auto"/>
        </w:rPr>
        <w:t>.</w:t>
      </w:r>
    </w:p>
    <w:p>
      <w:pPr>
        <w:spacing w:after="0" w:line="228" w:lineRule="exact"/>
        <w:rPr>
          <w:sz w:val="20"/>
          <w:szCs w:val="20"/>
          <w:color w:val="auto"/>
        </w:rPr>
      </w:pPr>
    </w:p>
    <w:p>
      <w:pPr>
        <w:ind w:right="280" w:firstLine="424"/>
        <w:spacing w:after="0" w:line="284" w:lineRule="auto"/>
        <w:tabs>
          <w:tab w:leader="none" w:pos="66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For the purposes of this Lease, Tenant’s Pro Rata Share of Taxes is equal to the product of the rentable square footage of the Premises multiplied by Landlord’s PSF Taxes (hereafter defined) for each fiscal year, or ratable portion thereof, included in the Term. “</w:t>
      </w:r>
      <w:r>
        <w:rPr>
          <w:rFonts w:ascii="Arial" w:cs="Arial" w:eastAsia="Arial" w:hAnsi="Arial"/>
          <w:sz w:val="16"/>
          <w:szCs w:val="16"/>
          <w:u w:val="single" w:color="auto"/>
          <w:color w:val="auto"/>
        </w:rPr>
        <w:t>Landlord’s PSF Taxes</w:t>
      </w:r>
      <w:r>
        <w:rPr>
          <w:rFonts w:ascii="Arial" w:cs="Arial" w:eastAsia="Arial" w:hAnsi="Arial"/>
          <w:sz w:val="16"/>
          <w:szCs w:val="16"/>
          <w:color w:val="auto"/>
        </w:rPr>
        <w:t>” shall mean the Taxes (as defined in Section 5.02) divided by the rentable square footage of the Building, as same may be adjusted by Landlord from time to time for a remeasurement of or changes in the physical size of the Premises, the Building and/or the Project (as defined below), whether such changes in size are due to an addition to or a sale or conveyance of a portion of the Building, the Project or otherwise.</w:t>
      </w:r>
    </w:p>
    <w:p>
      <w:pPr>
        <w:spacing w:after="0" w:line="164" w:lineRule="exact"/>
        <w:rPr>
          <w:rFonts w:ascii="Arial" w:cs="Arial" w:eastAsia="Arial" w:hAnsi="Arial"/>
          <w:sz w:val="16"/>
          <w:szCs w:val="16"/>
          <w:color w:val="auto"/>
        </w:rPr>
      </w:pPr>
    </w:p>
    <w:p>
      <w:pPr>
        <w:ind w:right="20" w:firstLine="424"/>
        <w:spacing w:after="0" w:line="264" w:lineRule="auto"/>
        <w:tabs>
          <w:tab w:leader="none" w:pos="67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Tenant’s Pro Rata Share of Operating Expenses (as defined in Section 8.01), utilities and insurance is equal to the product of the rentable square footage of the Premises multiplied by Landlord’s PSF Operating Expenses (hereafter defined) for each calendar year, or ratable portion thereof, included in the Term. “</w:t>
      </w:r>
      <w:r>
        <w:rPr>
          <w:rFonts w:ascii="Arial" w:cs="Arial" w:eastAsia="Arial" w:hAnsi="Arial"/>
          <w:sz w:val="17"/>
          <w:szCs w:val="17"/>
          <w:u w:val="single" w:color="auto"/>
          <w:color w:val="auto"/>
        </w:rPr>
        <w:t>Landlord’s PSF Operating Expenses</w:t>
      </w:r>
      <w:r>
        <w:rPr>
          <w:rFonts w:ascii="Arial" w:cs="Arial" w:eastAsia="Arial" w:hAnsi="Arial"/>
          <w:sz w:val="17"/>
          <w:szCs w:val="17"/>
          <w:color w:val="auto"/>
        </w:rPr>
        <w:t>” shall mean Operating Expenses (as defined in Section 8.01), utilities and insurance costs divided by the rentable square footage of the Building or the portion thereof with respect to which such Operating Expenses, utilities and insurance costs are determined.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64" w:right="639" w:bottom="1440" w:gutter="0" w:footer="0" w:header="0"/>
        </w:sectPr>
      </w:pPr>
    </w:p>
    <w:bookmarkStart w:id="408" w:name="page409"/>
    <w:bookmarkEnd w:id="408"/>
    <w:p>
      <w:pPr>
        <w:ind w:right="80" w:firstLine="424"/>
        <w:spacing w:after="0" w:line="277" w:lineRule="auto"/>
        <w:tabs>
          <w:tab w:leader="none" w:pos="662" w:val="left"/>
        </w:tabs>
        <w:numPr>
          <w:ilvl w:val="0"/>
          <w:numId w:val="3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Tenant’s Pro Rata Share shall be the percentage set forth in Article 1, which percentage has been determined by dividing the total number of rentable square feet in the Premises by the total number of rentable square feet in the Building, and multiplying the resulting quotient by one hundred (100). As of the date hereof, the rentable floor area of the Premises is as set forth in Article 1 and the Building is conclusively deemed to be 187,507 rentable square feet. Once the premises are demised and Building E is completed, the rentable square footage of the Building will be adjusted for changes in the physical size of the Premises, the Building and/or the Project (as defined below). Thereafter, the rentable floor area may be further adjusted by Landlord from time to time for a remeasurement of or changes in the physical size of the Premises, the Building and/or the Project, whether such changes in size are due to an addition to or a sale or conveyance of a portion of the Building, the Project or otherwise. Without limiting the generality of the foregoing, Landlord may equitably adjust Tenant’s Pro Rata Share upon Tenant’s use of the Utility Services as reasonably estimated and equitably determined by Landlord based upon factors such as the intensity of use of such Utility Services by Tenant such that Tenant shall pay the portion of such charges reasonably consistent with Tenant’s use thereof.</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 TAXES</w:t>
      </w:r>
    </w:p>
    <w:p>
      <w:pPr>
        <w:spacing w:after="0" w:line="118" w:lineRule="exact"/>
        <w:rPr>
          <w:sz w:val="20"/>
          <w:szCs w:val="20"/>
          <w:color w:val="auto"/>
        </w:rPr>
      </w:pPr>
    </w:p>
    <w:p>
      <w:pPr>
        <w:jc w:val="both"/>
        <w:ind w:right="40" w:firstLine="426"/>
        <w:spacing w:after="0" w:line="315" w:lineRule="auto"/>
        <w:rPr>
          <w:sz w:val="20"/>
          <w:szCs w:val="20"/>
          <w:color w:val="auto"/>
        </w:rPr>
      </w:pPr>
      <w:r>
        <w:rPr>
          <w:rFonts w:ascii="Arial" w:cs="Arial" w:eastAsia="Arial" w:hAnsi="Arial"/>
          <w:sz w:val="15"/>
          <w:szCs w:val="15"/>
          <w:b w:val="1"/>
          <w:bCs w:val="1"/>
          <w:color w:val="auto"/>
        </w:rPr>
        <w:t>5.01 Taxes</w:t>
      </w:r>
      <w:r>
        <w:rPr>
          <w:rFonts w:ascii="Arial" w:cs="Arial" w:eastAsia="Arial" w:hAnsi="Arial"/>
          <w:sz w:val="15"/>
          <w:szCs w:val="15"/>
          <w:color w:val="auto"/>
        </w:rPr>
        <w:t>. Tenant covenants and agrees to pay to Landlord as Additional Rent Tenant’s Pro Rata Share of the Taxes for each fiscal tax period, or</w:t>
      </w:r>
      <w:r>
        <w:rPr>
          <w:rFonts w:ascii="Arial" w:cs="Arial" w:eastAsia="Arial" w:hAnsi="Arial"/>
          <w:sz w:val="15"/>
          <w:szCs w:val="15"/>
          <w:b w:val="1"/>
          <w:bCs w:val="1"/>
          <w:color w:val="auto"/>
        </w:rPr>
        <w:t xml:space="preserve"> </w:t>
      </w:r>
      <w:r>
        <w:rPr>
          <w:rFonts w:ascii="Arial" w:cs="Arial" w:eastAsia="Arial" w:hAnsi="Arial"/>
          <w:sz w:val="15"/>
          <w:szCs w:val="15"/>
          <w:color w:val="auto"/>
        </w:rPr>
        <w:t>ratable portion thereof, included in the Lease Term. If Landlord receives a refund of any such Taxes, Landlord shall pay Tenant Tenant’s Pro Rata Share of the refund after deducting Landlord’s costs and expenses incurred in obtaining the refund. Tenant shall make estimated payments on account of Taxes in monthly installments on the first day of each month, in amounts reasonably estimated from time to time by Landlord pursuant to Section 4.02(a).</w:t>
      </w:r>
    </w:p>
    <w:p>
      <w:pPr>
        <w:spacing w:after="0" w:line="139" w:lineRule="exact"/>
        <w:rPr>
          <w:sz w:val="20"/>
          <w:szCs w:val="20"/>
          <w:color w:val="auto"/>
        </w:rPr>
      </w:pPr>
    </w:p>
    <w:p>
      <w:pPr>
        <w:ind w:firstLine="426"/>
        <w:spacing w:after="0" w:line="296" w:lineRule="auto"/>
        <w:rPr>
          <w:sz w:val="20"/>
          <w:szCs w:val="20"/>
          <w:color w:val="auto"/>
        </w:rPr>
      </w:pPr>
      <w:r>
        <w:rPr>
          <w:rFonts w:ascii="Arial" w:cs="Arial" w:eastAsia="Arial" w:hAnsi="Arial"/>
          <w:sz w:val="15"/>
          <w:szCs w:val="15"/>
          <w:b w:val="1"/>
          <w:bCs w:val="1"/>
          <w:color w:val="auto"/>
        </w:rPr>
        <w:t xml:space="preserve">5.02 Definition of “Taxes.” </w:t>
      </w: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all taxes, assessments, betterments, excises, user fees and all other governmental charges and fees of</w:t>
      </w:r>
      <w:r>
        <w:rPr>
          <w:rFonts w:ascii="Arial" w:cs="Arial" w:eastAsia="Arial" w:hAnsi="Arial"/>
          <w:sz w:val="15"/>
          <w:szCs w:val="15"/>
          <w:b w:val="1"/>
          <w:bCs w:val="1"/>
          <w:color w:val="auto"/>
        </w:rPr>
        <w:t xml:space="preserve"> </w:t>
      </w:r>
      <w:r>
        <w:rPr>
          <w:rFonts w:ascii="Arial" w:cs="Arial" w:eastAsia="Arial" w:hAnsi="Arial"/>
          <w:sz w:val="15"/>
          <w:szCs w:val="15"/>
          <w:color w:val="auto"/>
        </w:rPr>
        <w:t>any kind or nature, or impositions or agreed payments in lieu thereof or voluntary payments made in connection with the provision of governmental services or improvements of benefit to the Building or the Property (including any so-called linkage, impact, or voluntary betterment payments), and all penalties and interest thereon (if due to Tenant’s failure to make timely payments), assessed or imposed against the Premises or the property of which the Premises are a part (including, without limitation, any personal property taxes levied on such property or on fixtures or equipment used in connection therewith), other than a federal or state income tax of general application, franchise, estate, conveyance or transfer taxes. If during the Term the present system of ad valorem taxation of property shall be changed so that, in lieu of or in addition to the whole or any part of such ad valorem tax there shall be assessed, levied or imposed on such property or Premises or on Landlord any kind or nature of federal, state, county, municipal or other governmental capital levy, income, sales, franchise, excise or similar tax, assessment, levy, charge or fee (as distinct from the federal and state income tax in effect on the Date of Lease) measured by or based in whole or in part upon Building valuation, mortgage valuation, rents, services or any other incidents, benefits or measures of real property or real property operations, then any and all of such taxes, assessments, levies, charges and fees shall be included within the term of Taxes. Taxes shall also include expenses, including fees of attorneys, appraisers and other consultants, incurred in connection with any efforts to obtain abatements or reduction or to assure maintenance of Taxes for any year wholly or partially included in the Term, whether or not successful and whether or not such efforts involved filing of actual abatement applications or initiation of formal proceedings.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620" w:top="270" w:right="639" w:bottom="1440" w:gutter="0" w:footer="0" w:header="0"/>
        </w:sectPr>
      </w:pPr>
    </w:p>
    <w:bookmarkStart w:id="409" w:name="page410"/>
    <w:bookmarkEnd w:id="409"/>
    <w:p>
      <w:pPr>
        <w:ind w:right="100" w:firstLine="426"/>
        <w:spacing w:after="0" w:line="27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5.03 Personal Property Taxes</w:t>
      </w:r>
      <w:r>
        <w:rPr>
          <w:rFonts w:ascii="Arial" w:cs="Arial" w:eastAsia="Arial" w:hAnsi="Arial"/>
          <w:sz w:val="17"/>
          <w:szCs w:val="17"/>
          <w:color w:val="auto"/>
        </w:rPr>
        <w:t>. Tenant shall pay directly all taxes charged against Tenant Property (as defined in Section 10.06). Tenant shall use</w:t>
      </w:r>
      <w:r>
        <w:rPr>
          <w:rFonts w:ascii="Arial" w:cs="Arial" w:eastAsia="Arial" w:hAnsi="Arial"/>
          <w:sz w:val="17"/>
          <w:szCs w:val="17"/>
          <w:b w:val="1"/>
          <w:bCs w:val="1"/>
          <w:color w:val="auto"/>
        </w:rPr>
        <w:t xml:space="preserve"> </w:t>
      </w:r>
      <w:r>
        <w:rPr>
          <w:rFonts w:ascii="Arial" w:cs="Arial" w:eastAsia="Arial" w:hAnsi="Arial"/>
          <w:sz w:val="17"/>
          <w:szCs w:val="17"/>
          <w:color w:val="auto"/>
        </w:rPr>
        <w:t>its best efforts to have personal property taxed separately from the Property. Landlord shall notify Tenant if any of Tenant’s personal property is taxed with the Property, and Tenant shall pay such taxes to Landlord within fifteen (15) days of such notice.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 UTILITIES AND LANDLORD SERVICES</w:t>
      </w:r>
    </w:p>
    <w:p>
      <w:pPr>
        <w:spacing w:after="0" w:line="118" w:lineRule="exact"/>
        <w:rPr>
          <w:sz w:val="20"/>
          <w:szCs w:val="20"/>
          <w:color w:val="auto"/>
        </w:rPr>
      </w:pPr>
    </w:p>
    <w:p>
      <w:pPr>
        <w:ind w:firstLine="426"/>
        <w:spacing w:after="0" w:line="276" w:lineRule="auto"/>
        <w:rPr>
          <w:sz w:val="20"/>
          <w:szCs w:val="20"/>
          <w:color w:val="auto"/>
        </w:rPr>
      </w:pPr>
      <w:r>
        <w:rPr>
          <w:rFonts w:ascii="Arial" w:cs="Arial" w:eastAsia="Arial" w:hAnsi="Arial"/>
          <w:sz w:val="16"/>
          <w:szCs w:val="16"/>
          <w:b w:val="1"/>
          <w:bCs w:val="1"/>
          <w:color w:val="auto"/>
        </w:rPr>
        <w:t>6.01 Utility Services</w:t>
      </w:r>
      <w:r>
        <w:rPr>
          <w:rFonts w:ascii="Arial" w:cs="Arial" w:eastAsia="Arial" w:hAnsi="Arial"/>
          <w:sz w:val="16"/>
          <w:szCs w:val="16"/>
          <w:color w:val="auto"/>
        </w:rPr>
        <w:t>. Commencing on the Term Commencement Date, Tenant shall provide and pay all charges and deposits for gas, water,</w:t>
      </w:r>
      <w:r>
        <w:rPr>
          <w:rFonts w:ascii="Arial" w:cs="Arial" w:eastAsia="Arial" w:hAnsi="Arial"/>
          <w:sz w:val="16"/>
          <w:szCs w:val="16"/>
          <w:b w:val="1"/>
          <w:bCs w:val="1"/>
          <w:color w:val="auto"/>
        </w:rPr>
        <w:t xml:space="preserve"> </w:t>
      </w:r>
      <w:r>
        <w:rPr>
          <w:rFonts w:ascii="Arial" w:cs="Arial" w:eastAsia="Arial" w:hAnsi="Arial"/>
          <w:sz w:val="16"/>
          <w:szCs w:val="16"/>
          <w:color w:val="auto"/>
        </w:rPr>
        <w:t>sewer, electricity, and other energy, utilities and services used or consumed on the Premises (“</w:t>
      </w:r>
      <w:r>
        <w:rPr>
          <w:rFonts w:ascii="Arial" w:cs="Arial" w:eastAsia="Arial" w:hAnsi="Arial"/>
          <w:sz w:val="16"/>
          <w:szCs w:val="16"/>
          <w:u w:val="single" w:color="auto"/>
          <w:color w:val="auto"/>
        </w:rPr>
        <w:t>Utility Services</w:t>
      </w:r>
      <w:r>
        <w:rPr>
          <w:rFonts w:ascii="Arial" w:cs="Arial" w:eastAsia="Arial" w:hAnsi="Arial"/>
          <w:sz w:val="16"/>
          <w:szCs w:val="16"/>
          <w:color w:val="auto"/>
        </w:rPr>
        <w:t>”) during the Term which now or hereafter separately serve the Premises, or are not expressly to be provided by Landlord elsewhere hereunder. If such Utility Services are submetered or checkmetered to measure Tenant’s actual consumption at the Premises, Tenant will reimburse Landlord for the cost of such consumption as measured thereby and as billed by Landlord. If such Utility Services are not separately metered, Tenant shall pay the cost of the same as part of the Operating Costs payable hereunder or, based upon Tenant’s pro rata share of its usage of the system generating the Utility Services as billed by Landlord in common with other tenants having shared use of such system. It is understood and agreed that except as may be expressly provided hereunder, Landlord shall be under no obligation whatsoever to furnish any such services to the Premises, and shall not be liable for (nor suffer any reduction in any rent on account of) any interruption or failure in the supply of the same. If the Premises are not separately metered, Landlord reserves the right, at any time during the Term, to install a monitor or check meter to measure Tenant’s consumption of any Utility Services, in which event Landlord shall calculate the applicable Utility Services based on Tenant’s actual usage thereof, rather than as otherwise provided herein. To the extent permitted by law, Landlord shall have the right at any time and from time to time during the Term to contract for or purchase one or more Utility Services from any company or third-party providing Utility Services (“</w:t>
      </w:r>
      <w:r>
        <w:rPr>
          <w:rFonts w:ascii="Arial" w:cs="Arial" w:eastAsia="Arial" w:hAnsi="Arial"/>
          <w:sz w:val="16"/>
          <w:szCs w:val="16"/>
          <w:u w:val="single" w:color="auto"/>
          <w:color w:val="auto"/>
        </w:rPr>
        <w:t>Utility Service Provider</w:t>
      </w:r>
      <w:r>
        <w:rPr>
          <w:rFonts w:ascii="Arial" w:cs="Arial" w:eastAsia="Arial" w:hAnsi="Arial"/>
          <w:sz w:val="16"/>
          <w:szCs w:val="16"/>
          <w:color w:val="auto"/>
        </w:rPr>
        <w:t>”). Tenant agrees reasonably to cooperate with Landlord and the Utility Service Providers and at all times as reasonably necessary, and on reasonable advance notice, shall allow Landlord and the Utility Service Providers reasonable access to any utility lines, equipment, feeders, risers, fixtures, wiring and any other such machinery or personal property within the Premises and associated with the delivery of Utility Services.</w:t>
      </w:r>
    </w:p>
    <w:p>
      <w:pPr>
        <w:spacing w:after="0" w:line="165" w:lineRule="exact"/>
        <w:rPr>
          <w:sz w:val="20"/>
          <w:szCs w:val="20"/>
          <w:color w:val="auto"/>
        </w:rPr>
      </w:pPr>
    </w:p>
    <w:p>
      <w:pPr>
        <w:ind w:right="40" w:firstLine="426"/>
        <w:spacing w:after="0" w:line="283" w:lineRule="auto"/>
        <w:rPr>
          <w:sz w:val="20"/>
          <w:szCs w:val="20"/>
          <w:color w:val="auto"/>
        </w:rPr>
      </w:pPr>
      <w:r>
        <w:rPr>
          <w:rFonts w:ascii="Arial" w:cs="Arial" w:eastAsia="Arial" w:hAnsi="Arial"/>
          <w:sz w:val="16"/>
          <w:szCs w:val="16"/>
          <w:b w:val="1"/>
          <w:bCs w:val="1"/>
          <w:color w:val="auto"/>
        </w:rPr>
        <w:t>6.02 Landlord Services</w:t>
      </w:r>
      <w:r>
        <w:rPr>
          <w:rFonts w:ascii="Arial" w:cs="Arial" w:eastAsia="Arial" w:hAnsi="Arial"/>
          <w:sz w:val="16"/>
          <w:szCs w:val="16"/>
          <w:color w:val="auto"/>
        </w:rPr>
        <w:t>. Landlord agrees to furnish reasonable heat and air conditioning (HVAC) to the Premises and to common lobbies,</w:t>
      </w:r>
      <w:r>
        <w:rPr>
          <w:rFonts w:ascii="Arial" w:cs="Arial" w:eastAsia="Arial" w:hAnsi="Arial"/>
          <w:sz w:val="16"/>
          <w:szCs w:val="16"/>
          <w:b w:val="1"/>
          <w:bCs w:val="1"/>
          <w:color w:val="auto"/>
        </w:rPr>
        <w:t xml:space="preserve"> </w:t>
      </w:r>
      <w:r>
        <w:rPr>
          <w:rFonts w:ascii="Arial" w:cs="Arial" w:eastAsia="Arial" w:hAnsi="Arial"/>
          <w:sz w:val="16"/>
          <w:szCs w:val="16"/>
          <w:color w:val="auto"/>
        </w:rPr>
        <w:t>hallways and lavatories, if any, during normal business hours on regular business days during the heating or air conditioning season, as applicable, to light common lobbies, passageways twenty-four (24) hours a day, to provide hot water to common lavatories, and to clean common areas, common area glass, common lavatories and glass main entry doorways to the Premises Mondays through Fridays, in substantially the same fashion as is typical for comparable first class office and laboratory projects in the Lexington area, subject to interruption due to accident, to the making of repairs, alterations or improvements, to labor difficulties, to trouble in obtaining fuel, electricity, service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40"/>
          </w:cols>
          <w:pgMar w:left="620" w:top="264" w:right="639" w:bottom="1440" w:gutter="0" w:footer="0" w:header="0"/>
        </w:sectPr>
      </w:pPr>
    </w:p>
    <w:bookmarkStart w:id="410" w:name="page411"/>
    <w:bookmarkEnd w:id="410"/>
    <w:p>
      <w:pPr>
        <w:ind w:right="8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or supplies from the sources from which they are usually obtained for such Building, governmental restraints, or to any cause beyond the Landlord’s control. In no event shall Landlord be liable for any interruption or delay in any of the above services for any of such causes. For the purposes of this clause, reasonable heating of the Premises and the common areas shall be provided between the hours of 8:00 a.m. to 6:00 p.m. Monday through Friday and 8:00 a.m. to 1:00 p.m. on Saturday during the months from November through April (holidays excepted). Reasonable cooling of the Premises and the common areas shall be provided between the hours of 8:00 a.m. and 6:00 p.m. Monday through Friday and 8:00 a.m. to 12:00 p.m. on Saturday during the cooling season (holidays excepted). If Tenant requests Landlord to provide additional heat or air conditioning outside of such hours, Tenant shall pay therefor (within fifteen (15) days after billing) at reasonable rates established by Landlord from time to time. If such additional requested heat or air conditioning is furnished to other portions of the Building in addition to the Premises, the cost of the same shall be allocated among all portion of the Building requesting such additional service.</w:t>
      </w:r>
    </w:p>
    <w:p>
      <w:pPr>
        <w:spacing w:after="0" w:line="171" w:lineRule="exact"/>
        <w:rPr>
          <w:sz w:val="20"/>
          <w:szCs w:val="20"/>
          <w:color w:val="auto"/>
        </w:rPr>
      </w:pPr>
    </w:p>
    <w:p>
      <w:pPr>
        <w:ind w:firstLine="426"/>
        <w:spacing w:after="0" w:line="260" w:lineRule="auto"/>
        <w:rPr>
          <w:sz w:val="20"/>
          <w:szCs w:val="20"/>
          <w:color w:val="auto"/>
        </w:rPr>
      </w:pPr>
      <w:r>
        <w:rPr>
          <w:rFonts w:ascii="Arial" w:cs="Arial" w:eastAsia="Arial" w:hAnsi="Arial"/>
          <w:sz w:val="17"/>
          <w:szCs w:val="17"/>
          <w:color w:val="auto"/>
        </w:rPr>
        <w:t>Notwithstanding the foregoing, Tenant shall be entitled to a proportionate abatement of Yearly Rent in the event of a Landlord Service Interruption (as defined below). For the purposes hereof, a “Landlord Service Interruption” shall occur in the event (i) the Premises shall lack any service which Landlord is required to provide hereunder thereby rendering the Premises untenantable for the entirety of the Landlord Service Interruption Cure Period (as defined below), (ii) such lack of service was not caused by Tenant, its employees, contractors, invitees or agents; (iii) Tenant in fact ceases to use the entire Premises for the entirety of the Landlord Service Interruption Cure Period; and (iii) such interruption of service was the result of causes, events or circumstances within the Landlord’s reasonable control and the cure of such interruption is within Landlord’s reasonable control. For the purposes hereof, the “Landlord Service Interruption Cure Period” shall be defined as fifteen (15) consecutive calendar days after Landlord’s receipt of written notice from Tenant of the Landlord Service Interruption</w:t>
      </w:r>
    </w:p>
    <w:p>
      <w:pPr>
        <w:spacing w:after="0" w:line="180" w:lineRule="exact"/>
        <w:rPr>
          <w:sz w:val="20"/>
          <w:szCs w:val="20"/>
          <w:color w:val="auto"/>
        </w:rPr>
      </w:pPr>
    </w:p>
    <w:p>
      <w:pPr>
        <w:ind w:right="40" w:firstLine="426"/>
        <w:spacing w:after="0" w:line="305" w:lineRule="auto"/>
        <w:rPr>
          <w:sz w:val="20"/>
          <w:szCs w:val="20"/>
          <w:color w:val="auto"/>
        </w:rPr>
      </w:pPr>
      <w:r>
        <w:rPr>
          <w:rFonts w:ascii="Arial" w:cs="Arial" w:eastAsia="Arial" w:hAnsi="Arial"/>
          <w:sz w:val="15"/>
          <w:szCs w:val="15"/>
          <w:b w:val="1"/>
          <w:bCs w:val="1"/>
          <w:color w:val="auto"/>
        </w:rPr>
        <w:t>6.03 Excess Usage by Tenant</w:t>
      </w:r>
      <w:r>
        <w:rPr>
          <w:rFonts w:ascii="Arial" w:cs="Arial" w:eastAsia="Arial" w:hAnsi="Arial"/>
          <w:sz w:val="15"/>
          <w:szCs w:val="15"/>
          <w:color w:val="auto"/>
        </w:rPr>
        <w:t>. Tenant shall not introduce to the Premises personnel, fixtures or equipment which (individually or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aggregate) exceed those used by the average Building tenant or overload the capacity of the electrical, heating, ventilating and air conditioning, mechanical, plumbing or other utility systems serving the Premises or generate above average heat, noise or vibration at the Premises. If Tenant uses the Premises or installs fixtures or equipment in such a manner as would so overload said systems, as reasonably determined by Landlord, then, in addition to any other remedies Landlord may have, Tenant shall pay, as additional rent, within ten (10) days of billing therefor, the cost of providing and installing any additional equipment, facilities or services that may be required as a result thereof, and for any repairs or damage resulting therefrom.</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 INSURANCE</w:t>
      </w:r>
    </w:p>
    <w:p>
      <w:pPr>
        <w:spacing w:after="0" w:line="118" w:lineRule="exact"/>
        <w:rPr>
          <w:sz w:val="20"/>
          <w:szCs w:val="20"/>
          <w:color w:val="auto"/>
        </w:rPr>
      </w:pPr>
    </w:p>
    <w:p>
      <w:pPr>
        <w:ind w:right="120" w:firstLine="426"/>
        <w:spacing w:after="0" w:line="275" w:lineRule="auto"/>
        <w:rPr>
          <w:sz w:val="20"/>
          <w:szCs w:val="20"/>
          <w:color w:val="auto"/>
        </w:rPr>
      </w:pPr>
      <w:r>
        <w:rPr>
          <w:rFonts w:ascii="Arial" w:cs="Arial" w:eastAsia="Arial" w:hAnsi="Arial"/>
          <w:sz w:val="17"/>
          <w:szCs w:val="17"/>
          <w:b w:val="1"/>
          <w:bCs w:val="1"/>
          <w:color w:val="auto"/>
        </w:rPr>
        <w:t>7.01 Coverages</w:t>
      </w:r>
      <w:r>
        <w:rPr>
          <w:rFonts w:ascii="Arial" w:cs="Arial" w:eastAsia="Arial" w:hAnsi="Arial"/>
          <w:sz w:val="17"/>
          <w:szCs w:val="17"/>
          <w:color w:val="auto"/>
        </w:rPr>
        <w:t>. Tenant shall, at its own expense, maintain and keep in force, or cause to be maintained and kept in force by any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contractors, sub-contractors or third party entities where required by contract, throughout the term of this Lease and/or alteration or construction period and for such longer period, if any, Tenant remains in occupancy of the Premises, the following insurance coverages: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40"/>
          </w:cols>
          <w:pgMar w:left="620" w:top="270" w:right="639" w:bottom="1440" w:gutter="0" w:footer="0" w:header="0"/>
        </w:sectPr>
      </w:pPr>
    </w:p>
    <w:bookmarkStart w:id="411" w:name="page412"/>
    <w:bookmarkEnd w:id="411"/>
    <w:p>
      <w:pPr>
        <w:ind w:left="-20" w:right="80" w:firstLine="424"/>
        <w:spacing w:after="0" w:line="261" w:lineRule="auto"/>
        <w:tabs>
          <w:tab w:leader="none" w:pos="642"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Property Insurance</w:t>
      </w:r>
      <w:r>
        <w:rPr>
          <w:rFonts w:ascii="Arial" w:cs="Arial" w:eastAsia="Arial" w:hAnsi="Arial"/>
          <w:sz w:val="17"/>
          <w:szCs w:val="17"/>
          <w:color w:val="auto"/>
        </w:rPr>
        <w:t>. “All-Risk” or “Special” Form property insurance, and/or Builders Risk coverage for renovation projects, including, without limitation, coverage for fire, earthquake and flood; boiler and machinery (if applicable); sprinkler damage; vandalism; malicious mischief coverage on all equipment, furniture, fixtures, fittings, Tenant Work, Tenant Property or other improvements and betterments, business income, extra expense, merchandise, inventory/stock, contents, and personal property located on or in the Premises. Such insurance shall be in an amount equal to the full replacement cost of the aggregate of the foregoing and shall provide coverage comparable to the coverage in the standard ISO “All-Risk” or “Special” Form, when such coverage is supplemented with the coverages required above. Property policy shall also include coverage for plate glass, where required by written contract.</w:t>
      </w:r>
    </w:p>
    <w:p>
      <w:pPr>
        <w:spacing w:after="0" w:line="182" w:lineRule="exact"/>
        <w:rPr>
          <w:rFonts w:ascii="Arial" w:cs="Arial" w:eastAsia="Arial" w:hAnsi="Arial"/>
          <w:sz w:val="17"/>
          <w:szCs w:val="17"/>
          <w:color w:val="auto"/>
        </w:rPr>
      </w:pPr>
    </w:p>
    <w:p>
      <w:pPr>
        <w:ind w:left="-20" w:firstLine="424"/>
        <w:spacing w:after="0" w:line="279" w:lineRule="auto"/>
        <w:tabs>
          <w:tab w:leader="none" w:pos="65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Commercial General Liability insurance against any and all claims for personal injury, death or property damage occurring in, or about the Premises and arising out of Tenant’s operations on the Premises, or Tenant’s agents’, invitees’, sublessees’ use or occupancy of the Premises. Such insurance shall have a limit of not less than One Million Dollars ($1,000,000) per occurrence with a Two Million Dollar ($2,000,000) aggregate limit. Such insurance shall contain an extended (broad form) liability endorsement, including contractual liability coverage (including this Lease, and Tenant’s indemnity obligations hereunder). Such liability insurance shall be primary and not contributing to any insurance available to Landlord, and Landlord’s insurance (if any) shall be in excess thereto. Tenant’s commercial general liability insurance policy shall include Landlord, Landlord’s Management Agent, Landlord’s mortgagees and Landlord’s designees as additional insureds, and shall provide that such parties may, although additional insureds, recover for any loss suffered by Tenant’s negligence.</w:t>
      </w:r>
    </w:p>
    <w:p>
      <w:pPr>
        <w:spacing w:after="0" w:line="168" w:lineRule="exact"/>
        <w:rPr>
          <w:rFonts w:ascii="Arial" w:cs="Arial" w:eastAsia="Arial" w:hAnsi="Arial"/>
          <w:sz w:val="16"/>
          <w:szCs w:val="16"/>
          <w:color w:val="auto"/>
        </w:rPr>
      </w:pPr>
    </w:p>
    <w:p>
      <w:pPr>
        <w:jc w:val="both"/>
        <w:ind w:left="-20" w:right="80" w:firstLine="424"/>
        <w:spacing w:after="0" w:line="266" w:lineRule="auto"/>
        <w:tabs>
          <w:tab w:leader="none" w:pos="642"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Umbrella / Excess Liability Insurance</w:t>
      </w:r>
      <w:r>
        <w:rPr>
          <w:rFonts w:ascii="Arial" w:cs="Arial" w:eastAsia="Arial" w:hAnsi="Arial"/>
          <w:sz w:val="17"/>
          <w:szCs w:val="17"/>
          <w:color w:val="auto"/>
        </w:rPr>
        <w:t>. The foregoing liability limits shall be adequate as long as Tenant maintains an Umbrella policy limit of not less than Three Million Dollars ($3,000,000) per occurrence. Should Tenant not maintain an Umbrella policy with such limits, then the limits of the underlying Commercial General Liability policy shall be increased to Two Million Dollars ($2,000,000) per occurrence and Four Million Dollars ($4,000,000) aggregate.</w:t>
      </w:r>
    </w:p>
    <w:p>
      <w:pPr>
        <w:spacing w:after="0" w:line="177" w:lineRule="exact"/>
        <w:rPr>
          <w:rFonts w:ascii="Arial" w:cs="Arial" w:eastAsia="Arial" w:hAnsi="Arial"/>
          <w:sz w:val="17"/>
          <w:szCs w:val="17"/>
          <w:color w:val="auto"/>
        </w:rPr>
      </w:pPr>
    </w:p>
    <w:p>
      <w:pPr>
        <w:jc w:val="both"/>
        <w:ind w:left="-20" w:right="40" w:firstLine="424"/>
        <w:spacing w:after="0" w:line="288" w:lineRule="auto"/>
        <w:tabs>
          <w:tab w:leader="none" w:pos="65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Such other insurance as Landlord may reasonably require, from time to time, provided such other insurance is routinely required by reasonably prudent landlords of similar properties, and as may be required by law, including, without limitation (i) workers’ compensation insurance with a limit of liability as required by law to be maintained; (ii) employer’s liability insurance with a minimum limit of coverage of Two Million Dollars ($2,000,000); and (iii) business interruption and extra expense insurance coverage(s) satisfactory to Landlord.</w:t>
      </w:r>
    </w:p>
    <w:p>
      <w:pPr>
        <w:spacing w:after="0" w:line="161" w:lineRule="exact"/>
        <w:rPr>
          <w:rFonts w:ascii="Arial" w:cs="Arial" w:eastAsia="Arial" w:hAnsi="Arial"/>
          <w:sz w:val="16"/>
          <w:szCs w:val="16"/>
          <w:color w:val="auto"/>
        </w:rPr>
      </w:pPr>
    </w:p>
    <w:p>
      <w:pPr>
        <w:ind w:left="-20" w:right="160" w:firstLine="424"/>
        <w:spacing w:after="0" w:line="287" w:lineRule="auto"/>
        <w:tabs>
          <w:tab w:leader="none" w:pos="642"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Form of the Policies</w:t>
      </w:r>
      <w:r>
        <w:rPr>
          <w:rFonts w:ascii="Arial" w:cs="Arial" w:eastAsia="Arial" w:hAnsi="Arial"/>
          <w:sz w:val="17"/>
          <w:szCs w:val="17"/>
          <w:color w:val="auto"/>
        </w:rPr>
        <w:t>. Tenant shall have the right to provide insurance coverage which it is obligated to carry pursuant to the terms hereof in a blanket policy, provided such policy expressly affords coverage to the Premises and to Landlord as required by this Lease.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20"/>
          </w:cols>
          <w:pgMar w:left="640" w:top="270" w:right="639" w:bottom="1440" w:gutter="0" w:footer="0" w:header="0"/>
        </w:sectPr>
      </w:pPr>
    </w:p>
    <w:bookmarkStart w:id="412" w:name="page413"/>
    <w:bookmarkEnd w:id="412"/>
    <w:p>
      <w:pPr>
        <w:ind w:right="40" w:firstLine="424"/>
        <w:spacing w:after="0" w:line="262" w:lineRule="auto"/>
        <w:tabs>
          <w:tab w:leader="none" w:pos="643"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Failure by Tenant to Obtain Insurance</w:t>
      </w:r>
      <w:r>
        <w:rPr>
          <w:rFonts w:ascii="Arial" w:cs="Arial" w:eastAsia="Arial" w:hAnsi="Arial"/>
          <w:sz w:val="17"/>
          <w:szCs w:val="17"/>
          <w:color w:val="auto"/>
        </w:rPr>
        <w:t>. If Tenant does not procure the insurance required pursuant to this Section, or keep the same in full force and effect, Landlord may, but shall not be obligated to, take out the necessary insurance and pay the premium therefor after notice thereof to Tenant, and Tenant shall repay to Landlord, as additional rent, the amount so paid promptly upon demand. In addition, Landlord may recover from Tenant, as additional rent, any and all reasonable expenses (including attorneys’ fees) and damages which Landlord may sustain by reason of the failure by Tenant to obtain and maintain such insurance, it being expressly declared that the expenses and damages of Landlord shall not be limited to the amount of the premiums thereon.</w:t>
      </w:r>
    </w:p>
    <w:p>
      <w:pPr>
        <w:spacing w:after="0" w:line="181" w:lineRule="exact"/>
        <w:rPr>
          <w:rFonts w:ascii="Arial" w:cs="Arial" w:eastAsia="Arial" w:hAnsi="Arial"/>
          <w:sz w:val="17"/>
          <w:szCs w:val="17"/>
          <w:color w:val="auto"/>
        </w:rPr>
      </w:pPr>
    </w:p>
    <w:p>
      <w:pPr>
        <w:ind w:right="560" w:firstLine="424"/>
        <w:spacing w:after="0" w:line="287" w:lineRule="auto"/>
        <w:tabs>
          <w:tab w:leader="none" w:pos="672"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Contractor Insurance</w:t>
      </w:r>
      <w:r>
        <w:rPr>
          <w:rFonts w:ascii="Arial" w:cs="Arial" w:eastAsia="Arial" w:hAnsi="Arial"/>
          <w:sz w:val="17"/>
          <w:szCs w:val="17"/>
          <w:color w:val="auto"/>
        </w:rPr>
        <w:t xml:space="preserve">. Tenant shall cause all contractors and subcontractors to maintain during any period of Tenant Work the insurance described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w:t>
      </w:r>
    </w:p>
    <w:p>
      <w:pPr>
        <w:spacing w:after="0" w:line="159" w:lineRule="exact"/>
        <w:rPr>
          <w:rFonts w:ascii="Arial" w:cs="Arial" w:eastAsia="Arial" w:hAnsi="Arial"/>
          <w:sz w:val="17"/>
          <w:szCs w:val="17"/>
          <w:color w:val="auto"/>
        </w:rPr>
      </w:pPr>
    </w:p>
    <w:p>
      <w:pPr>
        <w:ind w:right="60" w:firstLine="424"/>
        <w:spacing w:after="0" w:line="272" w:lineRule="auto"/>
        <w:tabs>
          <w:tab w:leader="none" w:pos="672"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Deductibles</w:t>
      </w:r>
      <w:r>
        <w:rPr>
          <w:rFonts w:ascii="Arial" w:cs="Arial" w:eastAsia="Arial" w:hAnsi="Arial"/>
          <w:sz w:val="17"/>
          <w:szCs w:val="17"/>
          <w:color w:val="auto"/>
        </w:rPr>
        <w:t>. Tenant’s insurance policies shall not include deductibles in excess of Five Thousand Dollars ($5,000) without Landlord’s prior written consent. If any of the above insurances have deductibles or self-insured retentions, the Tenant and/or contractor (policy Named Insured) shall be responsible for the deductible amount.</w:t>
      </w:r>
    </w:p>
    <w:p>
      <w:pPr>
        <w:spacing w:after="0" w:line="170" w:lineRule="exact"/>
        <w:rPr>
          <w:rFonts w:ascii="Arial" w:cs="Arial" w:eastAsia="Arial" w:hAnsi="Arial"/>
          <w:sz w:val="17"/>
          <w:szCs w:val="17"/>
          <w:color w:val="auto"/>
        </w:rPr>
      </w:pPr>
    </w:p>
    <w:p>
      <w:pPr>
        <w:ind w:firstLine="424"/>
        <w:spacing w:after="0" w:line="261" w:lineRule="auto"/>
        <w:tabs>
          <w:tab w:leader="none" w:pos="633"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General Requirements</w:t>
      </w:r>
      <w:r>
        <w:rPr>
          <w:rFonts w:ascii="Arial" w:cs="Arial" w:eastAsia="Arial" w:hAnsi="Arial"/>
          <w:sz w:val="17"/>
          <w:szCs w:val="17"/>
          <w:color w:val="auto"/>
        </w:rPr>
        <w:t>. All of the insurance policies required in this Section (“</w:t>
      </w:r>
      <w:r>
        <w:rPr>
          <w:rFonts w:ascii="Arial" w:cs="Arial" w:eastAsia="Arial" w:hAnsi="Arial"/>
          <w:sz w:val="17"/>
          <w:szCs w:val="17"/>
          <w:u w:val="single" w:color="auto"/>
          <w:color w:val="auto"/>
        </w:rPr>
        <w:t>Insurance Requirements</w:t>
      </w:r>
      <w:r>
        <w:rPr>
          <w:rFonts w:ascii="Arial" w:cs="Arial" w:eastAsia="Arial" w:hAnsi="Arial"/>
          <w:sz w:val="17"/>
          <w:szCs w:val="17"/>
          <w:color w:val="auto"/>
        </w:rPr>
        <w:t>”) shall be written by insurance companies which are licensed to do business in the state where the Property is located, or obtained through a duly authorized surplus lines insurance agent or otherwise in conformity with the laws of such state, with an A.M. Best rating of at least “A” and a financial size category of not less than “VII”. The liability policy(ies) shall name, as additional insureds, Landlord, Landlord’s Management Agent, Landlord’s mortgagees and Landlord’s designees, and provide thirty (30) days’ notice of cancellation, non-renewal of coverage. Tenant shall provide Landlord with certificates of insurance upon request, prior to move-in date, prior to commencement of the Tenant/contractor work, or within thirty (30) days of coverage inception and subsequent renewals or rewrites/replacements of any cancelled/non-renewed policies.</w:t>
      </w:r>
    </w:p>
    <w:p>
      <w:pPr>
        <w:spacing w:after="0" w:line="177" w:lineRule="exact"/>
        <w:rPr>
          <w:sz w:val="20"/>
          <w:szCs w:val="20"/>
          <w:color w:val="auto"/>
        </w:rPr>
      </w:pPr>
    </w:p>
    <w:p>
      <w:pPr>
        <w:ind w:firstLine="426"/>
        <w:spacing w:after="0" w:line="280" w:lineRule="auto"/>
        <w:rPr>
          <w:sz w:val="20"/>
          <w:szCs w:val="20"/>
          <w:color w:val="auto"/>
        </w:rPr>
      </w:pPr>
      <w:r>
        <w:rPr>
          <w:rFonts w:ascii="Arial" w:cs="Arial" w:eastAsia="Arial" w:hAnsi="Arial"/>
          <w:sz w:val="16"/>
          <w:szCs w:val="16"/>
          <w:b w:val="1"/>
          <w:bCs w:val="1"/>
          <w:color w:val="auto"/>
        </w:rPr>
        <w:t>7.02 Avoid Action Increasing Rates</w:t>
      </w:r>
      <w:r>
        <w:rPr>
          <w:rFonts w:ascii="Arial" w:cs="Arial" w:eastAsia="Arial" w:hAnsi="Arial"/>
          <w:sz w:val="16"/>
          <w:szCs w:val="16"/>
          <w:color w:val="auto"/>
        </w:rPr>
        <w:t>. Tenant shall comply with Sections 9.01, 9.02, 9.03 and 9.04 and in addition shall not, directly or indirectly,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use the Premises in any way that is prohibited by law or dangerous to people or property or that may jeopardize or increase the cost of any insurance coverage or require additional insurance. Tenant shall cure any breach of this Section within ten (10) days after notice from Landlord (or Tenant’s independent knowledge of such breach) by (i) stopping any use that jeopardizes any insurance coverage or increases its cost and (ii) paying the increased cost of insurance. Tenant shall have no further notice or cure right under Article 14 for any such breach. Tenant shall reimburse Landlord for all of Landlord’s costs incurred in providing any insurance that is attributable to any special endorsement or increase in premium resulting from the business or operations of Tenant, and any special or extraordinary risks or hazards resulting therefrom, including, without limitation, any risks or hazards associated with the generation, storage and disposal of Environmental Substances.</w:t>
      </w:r>
    </w:p>
    <w:p>
      <w:pPr>
        <w:spacing w:after="0" w:line="163" w:lineRule="exact"/>
        <w:rPr>
          <w:sz w:val="20"/>
          <w:szCs w:val="20"/>
          <w:color w:val="auto"/>
        </w:rPr>
      </w:pPr>
    </w:p>
    <w:p>
      <w:pPr>
        <w:jc w:val="both"/>
        <w:ind w:right="100" w:firstLine="426"/>
        <w:spacing w:after="0" w:line="291" w:lineRule="auto"/>
        <w:rPr>
          <w:sz w:val="20"/>
          <w:szCs w:val="20"/>
          <w:color w:val="auto"/>
        </w:rPr>
      </w:pPr>
      <w:r>
        <w:rPr>
          <w:rFonts w:ascii="Arial" w:cs="Arial" w:eastAsia="Arial" w:hAnsi="Arial"/>
          <w:sz w:val="16"/>
          <w:szCs w:val="16"/>
          <w:b w:val="1"/>
          <w:bCs w:val="1"/>
          <w:color w:val="auto"/>
        </w:rPr>
        <w:t>7.03 Waiver of Subrogation</w:t>
      </w:r>
      <w:r>
        <w:rPr>
          <w:rFonts w:ascii="Arial" w:cs="Arial" w:eastAsia="Arial" w:hAnsi="Arial"/>
          <w:sz w:val="16"/>
          <w:szCs w:val="16"/>
          <w:color w:val="auto"/>
        </w:rPr>
        <w:t>. Landlord and Tenant each waive any and every claim for recovery from the other for any and all loss of or damage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Property or any part of it, or to any of its contents, which loss or damage is covered by valid and collectible property insurance. Landlord waives any and every such claim against Tenant that would have been covered had the insurance policies required to be maintained by Landlord by this Lease been in force, to the extent that such loss or damage would have been recoverable under such policies.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40"/>
          </w:cols>
          <w:pgMar w:left="620" w:top="270" w:right="639" w:bottom="1440" w:gutter="0" w:footer="0" w:header="0"/>
        </w:sectPr>
      </w:pPr>
    </w:p>
    <w:bookmarkStart w:id="413" w:name="page414"/>
    <w:bookmarkEnd w:id="413"/>
    <w:p>
      <w:pPr>
        <w:ind w:left="2"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Tenant waives any and every such claim against Landlord that would have been covered had the insurance policies required to be maintained by Tenant under this Lease been in force, to the extent that such loss or damage would have been recoverable under such policies. This mutual waiver precludes the assignment of any such claim by subrogation (or otherwise) to an insurance company (or any other person), and Landlord and Tenant each agree to give written notice of this waiver to each insurance company that has issued or shall issue any property insurance policy to it, and to have the policy properly endorsed, if necessary, to prevent invalidation of the insurance coverage because of this waiver.</w:t>
      </w:r>
    </w:p>
    <w:p>
      <w:pPr>
        <w:spacing w:after="0" w:line="159" w:lineRule="exact"/>
        <w:rPr>
          <w:sz w:val="20"/>
          <w:szCs w:val="20"/>
          <w:color w:val="auto"/>
        </w:rPr>
      </w:pPr>
    </w:p>
    <w:p>
      <w:pPr>
        <w:ind w:left="2" w:firstLine="426"/>
        <w:spacing w:after="0" w:line="296" w:lineRule="auto"/>
        <w:rPr>
          <w:sz w:val="20"/>
          <w:szCs w:val="20"/>
          <w:color w:val="auto"/>
        </w:rPr>
      </w:pPr>
      <w:r>
        <w:rPr>
          <w:rFonts w:ascii="Arial" w:cs="Arial" w:eastAsia="Arial" w:hAnsi="Arial"/>
          <w:sz w:val="15"/>
          <w:szCs w:val="15"/>
          <w:b w:val="1"/>
          <w:bCs w:val="1"/>
          <w:color w:val="auto"/>
        </w:rPr>
        <w:t>7.04 Landlord’s Insurance</w:t>
      </w:r>
      <w:r>
        <w:rPr>
          <w:rFonts w:ascii="Arial" w:cs="Arial" w:eastAsia="Arial" w:hAnsi="Arial"/>
          <w:sz w:val="15"/>
          <w:szCs w:val="15"/>
          <w:color w:val="auto"/>
        </w:rPr>
        <w:t>. Landlord shall purchase and maintain during the Term with insurance companies qualified to do business in the state</w:t>
      </w:r>
      <w:r>
        <w:rPr>
          <w:rFonts w:ascii="Arial" w:cs="Arial" w:eastAsia="Arial" w:hAnsi="Arial"/>
          <w:sz w:val="15"/>
          <w:szCs w:val="15"/>
          <w:b w:val="1"/>
          <w:bCs w:val="1"/>
          <w:color w:val="auto"/>
        </w:rPr>
        <w:t xml:space="preserve"> </w:t>
      </w:r>
      <w:r>
        <w:rPr>
          <w:rFonts w:ascii="Arial" w:cs="Arial" w:eastAsia="Arial" w:hAnsi="Arial"/>
          <w:sz w:val="15"/>
          <w:szCs w:val="15"/>
          <w:color w:val="auto"/>
        </w:rPr>
        <w:t>where the Property is located insurance that may include the following: (i) commercial general liability insurance for incidents occurring in the common areas, with coverage for premises/operations, personal and advertising injury, products/completed operations and contractual liability for bodily injury and property damage per occurrence, together with such other coverages and risks as Landlord shall reasonably decide or a mortgagee may require;</w:t>
      </w:r>
    </w:p>
    <w:p>
      <w:pPr>
        <w:spacing w:after="0" w:line="3" w:lineRule="exact"/>
        <w:rPr>
          <w:sz w:val="20"/>
          <w:szCs w:val="20"/>
          <w:color w:val="auto"/>
        </w:rPr>
      </w:pPr>
    </w:p>
    <w:p>
      <w:pPr>
        <w:ind w:left="2" w:right="20" w:hanging="2"/>
        <w:spacing w:after="0" w:line="261" w:lineRule="auto"/>
        <w:tabs>
          <w:tab w:leader="none" w:pos="258"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property insurance covering property damage to the Building (including the Initial Tenant Improvements but excluding any Tenant Work), and loss of rental income, for full replacement cost value of the Building with co-insurance waived by inclusion of an agreed amount endorsement; and (iii) such other coverage(s) as may be required by Landlord’s mortgagee or otherwise be deemed commercially reasonable by Landlord. As set forth in Section 4.02, the cost thereof shall be borne by Tenant and other tenants.</w:t>
      </w:r>
    </w:p>
    <w:p>
      <w:pPr>
        <w:spacing w:after="0" w:line="2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ARTICLE 8: OPERATING EXPENSES</w:t>
      </w:r>
    </w:p>
    <w:p>
      <w:pPr>
        <w:spacing w:after="0" w:line="118"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8.01 Operating Expenses</w:t>
      </w:r>
      <w:r>
        <w:rPr>
          <w:rFonts w:ascii="Arial" w:cs="Arial" w:eastAsia="Arial" w:hAnsi="Arial"/>
          <w:sz w:val="17"/>
          <w:szCs w:val="17"/>
          <w:color w:val="auto"/>
        </w:rPr>
        <w:t>.</w:t>
      </w:r>
    </w:p>
    <w:p>
      <w:pPr>
        <w:spacing w:after="0" w:line="124" w:lineRule="exact"/>
        <w:rPr>
          <w:sz w:val="20"/>
          <w:szCs w:val="20"/>
          <w:color w:val="auto"/>
        </w:rPr>
      </w:pPr>
    </w:p>
    <w:p>
      <w:pPr>
        <w:ind w:left="2" w:right="20" w:firstLine="424"/>
        <w:spacing w:after="0" w:line="276" w:lineRule="auto"/>
        <w:tabs>
          <w:tab w:leader="none" w:pos="664" w:val="left"/>
        </w:tabs>
        <w:numPr>
          <w:ilvl w:val="0"/>
          <w:numId w:val="3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Expenses</w:t>
      </w:r>
      <w:r>
        <w:rPr>
          <w:rFonts w:ascii="Arial" w:cs="Arial" w:eastAsia="Arial" w:hAnsi="Arial"/>
          <w:sz w:val="16"/>
          <w:szCs w:val="16"/>
          <w:color w:val="auto"/>
        </w:rPr>
        <w:t>” shall mean all costs and expenses associated with the ownership, operation, management, maintenance and repair of the Building and Property and of all heating, ventilating, air conditioning, plumbing, electrical, utility and safety systems for the Building.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Elements</w:t>
      </w:r>
      <w:r>
        <w:rPr>
          <w:rFonts w:ascii="Arial" w:cs="Arial" w:eastAsia="Arial" w:hAnsi="Arial"/>
          <w:sz w:val="16"/>
          <w:szCs w:val="16"/>
          <w:color w:val="auto"/>
        </w:rPr>
        <w:t>” shall mean all areas in the Building available for the common use of tenants of the Building and not leased or held for the exclusive use of Tenant or other tenants, including, but not limited to, the common café and common parking areas, driveways, sidewalks, access roads, plazas, landscaping and planted areas located in the Building or on the Property. Operating Expenses include, without limitation, the costs and expenses incurred in connection with the following: compliance with Landlord’s obligations under Section 10.03; planting and landscaping; snow plowing and removal; utility, water and sewage services; maintenance of signs; supplies, materials and equipment purchased or rented, total wage and salary costs paid to, and all contract payments made on account of, all persons engaged in the operation, maintenance, security, cleaning and repair of the Property and Common Elements, including Social Security, old age and unemployment taxes and so called “fringe benefits”; services generally furnished to tenants of the Building; maintenance, repair and replacement of Building and Common Elements equipment and components; utilities consumed and expenses incurred in the operation, maintenance and repair of the Property and Common Elements; costs incurred under any reciprocal easement agreements benefiting the Property; costs incurred by Landlord to comply with the terms and conditions of any governmental approvals affecting operations of the Property; the amortized portion, properly attributable to the year in question, of</w:t>
      </w:r>
    </w:p>
    <w:p>
      <w:pPr>
        <w:spacing w:after="0" w:line="108"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02"/>
          </w:cols>
          <w:pgMar w:left="618" w:top="270" w:right="679" w:bottom="1440" w:gutter="0" w:footer="0" w:header="0"/>
        </w:sectPr>
      </w:pPr>
    </w:p>
    <w:bookmarkStart w:id="414" w:name="page415"/>
    <w:bookmarkEnd w:id="414"/>
    <w:p>
      <w:pPr>
        <w:ind w:left="2"/>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cost, with interest thereon at a rate reasonably determined by Landlord, of any capital repairs, improvements or replacements made to the Property, by Landlord (i) which are for the primary purpose of reducing Operating Expenses, or (ii) which are required by governmental authority to comply with changes in applicable law taking effect after the execution of this Lease or (iii) which are costs incurred which are not considered annual recurring routine maintenance but maintains (as opposed to improving) the general appearance or condition of the Building (i.e. painting of Common Elements, replacement of carpet in Common Elements); workers’ compensation insurance and property, liability and other insurance premiums; personal property taxes; rental or lease payments paid by Landlord for rented or leased personal property used in the operation or maintenance of the Property and Common Elements; fees for required licenses and permits; losses or subsidies paid or incurred by Landlord in operating the common café; routine maintenance and repair of parking areas and paving (including sweeping, striping, repairing, resurfacing, and repaving); refuse removal; security; reasonable reserves, including for roof replacement and exterior painting; and property management fees. Operating Expenses shall also include the Building’s share (as reasonably determined and allocated by Landlord) of: (i) the costs incurred by Landlord in operating, maintaining, repairing, insuring and paying real estate taxes upon any common facilities of the office park or development (including, without limitation, the common facilities from time to time serving the Building in common with other buildings or parcels of land) of which the Property may be a part, from time to time, such as any so-called “loop” access roads, retention ponds, sewer and other utility lines, amenities and the like; (ii) shuttle bus service (if and so long as Landlord shall provide the same); (iii) the actual or imputed cost of the space occupied by on the grounds building attendant(s) and related personnel and the cost of administrative and or service personnel whose duties are not limited solely to the Building, as allocated to the Building by Landlord; and</w:t>
      </w:r>
    </w:p>
    <w:p>
      <w:pPr>
        <w:spacing w:after="0" w:line="8" w:lineRule="exact"/>
        <w:rPr>
          <w:sz w:val="20"/>
          <w:szCs w:val="20"/>
          <w:color w:val="auto"/>
        </w:rPr>
      </w:pPr>
    </w:p>
    <w:p>
      <w:pPr>
        <w:ind w:left="2" w:right="40" w:hanging="2"/>
        <w:spacing w:after="0" w:line="277" w:lineRule="auto"/>
        <w:tabs>
          <w:tab w:leader="none" w:pos="29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payments made by Landlord under any easement, license, operating agreement, declaration, restrictive covenant, or instrument pertaining to the payment or sharing of costs among park or development property owners. Landlord may use third parties or affiliates to perform any of the foregoing services, and the cost thereof shall be included in Operating Expenses, provided that with respect to affiliates such costs do not exceed the customary amount charged for the services provided by unaffiliated persons or entities of similar skill, competence and experience (it being agreed by Tenant that a management fee of four and one-half percent (4.5%) of the gross revenue of the Property complies with the foregoing). Costs referred to in this Section shall be ascertained in accordance with generally accepted accounting principles, including allowances for appropriate reserves, and allocated to appropriate fiscal periods on the accrual method of accounting.</w:t>
      </w:r>
    </w:p>
    <w:p>
      <w:pPr>
        <w:spacing w:after="0" w:line="172" w:lineRule="exact"/>
        <w:rPr>
          <w:rFonts w:ascii="Arial" w:cs="Arial" w:eastAsia="Arial" w:hAnsi="Arial"/>
          <w:sz w:val="16"/>
          <w:szCs w:val="16"/>
          <w:color w:val="auto"/>
        </w:rPr>
      </w:pPr>
    </w:p>
    <w:p>
      <w:pPr>
        <w:ind w:left="2" w:right="20" w:firstLine="424"/>
        <w:spacing w:after="0" w:line="279" w:lineRule="auto"/>
        <w:tabs>
          <w:tab w:leader="none" w:pos="674" w:val="left"/>
        </w:tabs>
        <w:numPr>
          <w:ilvl w:val="1"/>
          <w:numId w:val="361"/>
        </w:numPr>
        <w:rPr>
          <w:rFonts w:ascii="Arial" w:cs="Arial" w:eastAsia="Arial" w:hAnsi="Arial"/>
          <w:sz w:val="16"/>
          <w:szCs w:val="16"/>
          <w:color w:val="auto"/>
        </w:rPr>
      </w:pPr>
      <w:r>
        <w:rPr>
          <w:rFonts w:ascii="Arial" w:cs="Arial" w:eastAsia="Arial" w:hAnsi="Arial"/>
          <w:sz w:val="16"/>
          <w:szCs w:val="16"/>
          <w:color w:val="auto"/>
        </w:rPr>
        <w:t>Operating Expenses shall not include: the cost of casualty repairs to the extent covered by insurance (except for reasonable deductibles paid by Landlord under insurance policies maintained by Landlord); costs associated with the operation of the business of Landlord and/or the sale and/or financing of the Building, as distinguished from the cost of Building operations, maintenance and repair; and costs of disputes between Landlord and its employees, tenants or contractors; any expenses for any item or service not provided to Tenant but to certain other tenant(s) on the Property; expenses for any item or service which Tenant pays directly to a third party or separately pays to Landlord; leasing commissions; expenses that relate to preparation of space for another tenant; legal expenses relating to other tenants; principal, interest and other expenses upon loans to Landlord or secured by a mortgage covering the Building or Property or a portion thereof; rent under any ground lease; salaries of executive officers of Landlord; depreciation claimed by Landlord for tax purposes; capital expenditures</w:t>
      </w:r>
    </w:p>
    <w:p>
      <w:pPr>
        <w:spacing w:after="0" w:line="10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42"/>
          </w:cols>
          <w:pgMar w:left="618" w:top="270" w:right="639" w:bottom="1440" w:gutter="0" w:footer="0" w:header="0"/>
        </w:sectPr>
      </w:pPr>
    </w:p>
    <w:bookmarkStart w:id="415" w:name="page416"/>
    <w:bookmarkEnd w:id="415"/>
    <w:p>
      <w:pPr>
        <w:ind w:left="2"/>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except as expressly provided above; reserves; costs to rent equipment which if purchased would constitute a prohibited capital expenditure; management fees in excess of those that are customary for similar properties in the same geographic area as the Property (it being agreed by Tenant that a management fee of four and one-half percent (4.5%) of the gross revenue of the Property is considered customary as of the date hereof); costs incurred due to the negligence or willful misconduct of the Landlord, its agents and employees; penalties, fines and other costs incurred due to violation by the Landlord of any lease or any laws in force or effect as of the date of this Lease and any interest or penalties attributable to late payment by Landlord of any of the Operating Expenses (except if due to an action by Tenant); and costs and expenses of investigating, monitoring and remediating hazardous materials on, under or about the Building or Property (except if due to acts of Tenant)..</w:t>
      </w:r>
    </w:p>
    <w:p>
      <w:pPr>
        <w:spacing w:after="0" w:line="168" w:lineRule="exact"/>
        <w:rPr>
          <w:sz w:val="20"/>
          <w:szCs w:val="20"/>
          <w:color w:val="auto"/>
        </w:rPr>
      </w:pPr>
    </w:p>
    <w:p>
      <w:pPr>
        <w:ind w:left="422"/>
        <w:spacing w:after="0"/>
        <w:rPr>
          <w:sz w:val="20"/>
          <w:szCs w:val="20"/>
          <w:color w:val="auto"/>
        </w:rPr>
      </w:pPr>
      <w:r>
        <w:rPr>
          <w:rFonts w:ascii="Arial" w:cs="Arial" w:eastAsia="Arial" w:hAnsi="Arial"/>
          <w:sz w:val="17"/>
          <w:szCs w:val="17"/>
          <w:color w:val="auto"/>
        </w:rPr>
        <w:t>(c) Tenant shall pay Tenant’s Pro Rata Share of Operating Expenses in accordance with Section 4.02.</w:t>
      </w:r>
    </w:p>
    <w:p>
      <w:pPr>
        <w:spacing w:after="0" w:line="321"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ARTICLE 9: USE OF PREMISES</w:t>
      </w:r>
    </w:p>
    <w:p>
      <w:pPr>
        <w:spacing w:after="0" w:line="118" w:lineRule="exact"/>
        <w:rPr>
          <w:sz w:val="20"/>
          <w:szCs w:val="20"/>
          <w:color w:val="auto"/>
        </w:rPr>
      </w:pPr>
    </w:p>
    <w:p>
      <w:pPr>
        <w:ind w:left="2" w:right="40" w:firstLine="426"/>
        <w:spacing w:after="0" w:line="293" w:lineRule="auto"/>
        <w:rPr>
          <w:sz w:val="20"/>
          <w:szCs w:val="20"/>
          <w:color w:val="auto"/>
        </w:rPr>
      </w:pPr>
      <w:r>
        <w:rPr>
          <w:rFonts w:ascii="Arial" w:cs="Arial" w:eastAsia="Arial" w:hAnsi="Arial"/>
          <w:sz w:val="15"/>
          <w:szCs w:val="15"/>
          <w:b w:val="1"/>
          <w:bCs w:val="1"/>
          <w:color w:val="auto"/>
        </w:rPr>
        <w:t>9.01 Permitted Uses</w:t>
      </w:r>
      <w:r>
        <w:rPr>
          <w:rFonts w:ascii="Arial" w:cs="Arial" w:eastAsia="Arial" w:hAnsi="Arial"/>
          <w:sz w:val="15"/>
          <w:szCs w:val="15"/>
          <w:color w:val="auto"/>
        </w:rPr>
        <w:t>. Tenant may use the Premises only for the Permitted Uses described in Article 1, and for no other purpose(s).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keep the Premises equipped with appropriate safety appliances to the extent required by applicable laws or insurance requirements. The vivarium permitted to be operated in the laboratory portion of the Premises shall be used for biopharmaceutical research and development and the handling and testing of mice and rats only (the “</w:t>
      </w:r>
      <w:r>
        <w:rPr>
          <w:rFonts w:ascii="Arial" w:cs="Arial" w:eastAsia="Arial" w:hAnsi="Arial"/>
          <w:sz w:val="15"/>
          <w:szCs w:val="15"/>
          <w:u w:val="single" w:color="auto"/>
          <w:color w:val="auto"/>
        </w:rPr>
        <w:t>Permitted Animals</w:t>
      </w:r>
      <w:r>
        <w:rPr>
          <w:rFonts w:ascii="Arial" w:cs="Arial" w:eastAsia="Arial" w:hAnsi="Arial"/>
          <w:sz w:val="15"/>
          <w:szCs w:val="15"/>
          <w:color w:val="auto"/>
        </w:rPr>
        <w:t>”), and for no other purpose or use. If Tenant proposes to use any animals other than the Permitted Animals in its operations, it shall first obtain the prior written consent of Landlord, which consent Landlord shall not unreasonably withhold. Animal testing, solely of Permitted Animals, shall be permitted subject to the following: (i) all testing shall be conducted in strict compliance with all applicable governmental rules and regulations and with good scientific and medical practice; (ii) all dead animals, any part thereof or any waste products related thereto, shall be disposed of, at Tenant’s sole cost and expense, in strict compliance with all applicable governmental rules and regulations and with good scientific and medical practice; (iii) no odors, noises or any similar nuisance shall be permitted to emanate from or permeate the vivarium; and</w:t>
      </w:r>
    </w:p>
    <w:p>
      <w:pPr>
        <w:spacing w:after="0" w:line="3" w:lineRule="exact"/>
        <w:rPr>
          <w:sz w:val="20"/>
          <w:szCs w:val="20"/>
          <w:color w:val="auto"/>
        </w:rPr>
      </w:pPr>
    </w:p>
    <w:p>
      <w:pPr>
        <w:ind w:left="2" w:hanging="2"/>
        <w:spacing w:after="0" w:line="278" w:lineRule="auto"/>
        <w:tabs>
          <w:tab w:leader="none" w:pos="29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Tenant’s use of the vivarium shall not interfere with the peaceable and quiet use and enjoyment by other tenants or occupants of the Building of their respective premises in the Building. Tenant shall procure and deliver to Landlord copies of all necessary permits and approvals necessary for the use and operation of the vivarium before allowing any actual Permitted Animals into the Premises and shall maintain such permits and approvals during the Lease term. Landlord may require Tenant to bring Permitted Animals in and out of the Building only before or after normal business hours. Tenant shall defend, save harmless, exonerate and indemnify Landlord from all injury, loss or damage to any person or property occasioned by or growing out of the use and operation of the vivarium and the presence of the Permitted Animals in and about the Premises.</w:t>
      </w:r>
    </w:p>
    <w:p>
      <w:pPr>
        <w:spacing w:after="0" w:line="165" w:lineRule="exact"/>
        <w:rPr>
          <w:sz w:val="20"/>
          <w:szCs w:val="20"/>
          <w:color w:val="auto"/>
        </w:rPr>
      </w:pPr>
    </w:p>
    <w:p>
      <w:pPr>
        <w:ind w:left="2" w:right="100" w:firstLine="426"/>
        <w:spacing w:after="0" w:line="328" w:lineRule="auto"/>
        <w:rPr>
          <w:sz w:val="20"/>
          <w:szCs w:val="20"/>
          <w:color w:val="auto"/>
        </w:rPr>
      </w:pPr>
      <w:r>
        <w:rPr>
          <w:rFonts w:ascii="Arial" w:cs="Arial" w:eastAsia="Arial" w:hAnsi="Arial"/>
          <w:sz w:val="15"/>
          <w:szCs w:val="15"/>
          <w:b w:val="1"/>
          <w:bCs w:val="1"/>
          <w:color w:val="auto"/>
        </w:rPr>
        <w:t>9.02 Indemnification</w:t>
      </w:r>
      <w:r>
        <w:rPr>
          <w:rFonts w:ascii="Arial" w:cs="Arial" w:eastAsia="Arial" w:hAnsi="Arial"/>
          <w:sz w:val="15"/>
          <w:szCs w:val="15"/>
          <w:color w:val="auto"/>
        </w:rPr>
        <w:t>. Tenant shall assume exclusive control of all areas of the Premises, including all improvements, utilities, equipment,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facilities therein. Tenant is responsible for the Premises and any Tenant’s improvements, equipment, facilities and installations, wherever located on the Property and all liabilities, including, without limitation, tort liabilities, incident thereto. To the maximum extent this agreement may be made effective</w:t>
      </w:r>
    </w:p>
    <w:p>
      <w:pPr>
        <w:spacing w:after="0" w:line="69"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42"/>
          </w:cols>
          <w:pgMar w:left="618" w:top="271" w:right="639" w:bottom="1440" w:gutter="0" w:footer="0" w:header="0"/>
        </w:sectPr>
      </w:pPr>
    </w:p>
    <w:bookmarkStart w:id="416" w:name="page417"/>
    <w:bookmarkEnd w:id="416"/>
    <w:p>
      <w:pPr>
        <w:ind w:left="2" w:right="6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according to law, Tenant shall indemnify, save harmless and defend Landlord and Landlord’s members, managers, officers, mortgagees, agents, employees, independent contractors, invitees, Landlord’s Managing Agent and other persons acting under them (collectively, “</w:t>
      </w:r>
      <w:r>
        <w:rPr>
          <w:rFonts w:ascii="Arial" w:cs="Arial" w:eastAsia="Arial" w:hAnsi="Arial"/>
          <w:sz w:val="15"/>
          <w:szCs w:val="15"/>
          <w:u w:val="single" w:color="auto"/>
          <w:color w:val="auto"/>
        </w:rPr>
        <w:t>Indemnitees</w:t>
      </w:r>
      <w:r>
        <w:rPr>
          <w:rFonts w:ascii="Arial" w:cs="Arial" w:eastAsia="Arial" w:hAnsi="Arial"/>
          <w:sz w:val="15"/>
          <w:szCs w:val="15"/>
          <w:color w:val="auto"/>
        </w:rPr>
        <w:t>”) from and against all liability, claim, damage or cost (including reasonable attorneys’ fees) arising in whole or in part out of (i) any injury, loss, theft or damage to any person or property while on or about the Premises, the Property or the Building; (ii) any condition within the Premises or, to the extent arising from the acts or omissions of Tenant, the Property or the Building; (iii) failure to comply with any Lease covenant by Tenant; or (iv) the use of the Premises (or, to the extent arising from the acts or omissions of Tenant, the Property or the Building) by, or any act or omission of, Tenant or persons claiming by, through or under Tenant, or any of its agents, employees, independent contractors, suppliers or invitees, in each case paying any cost to Landlord on demand as Additional Rent. The foregoing indemnity shall not apply to any liability, claim, damage or cost to the extent caused by the negligence or willful misconduct of Landlord and/or the Indemnitees. The provisions of this Section shall survive the expiration or earlier termination of this Lease.</w:t>
      </w:r>
    </w:p>
    <w:p>
      <w:pPr>
        <w:spacing w:after="0" w:line="149" w:lineRule="exact"/>
        <w:rPr>
          <w:sz w:val="20"/>
          <w:szCs w:val="20"/>
          <w:color w:val="auto"/>
        </w:rPr>
      </w:pPr>
    </w:p>
    <w:p>
      <w:pPr>
        <w:ind w:left="2" w:firstLine="426"/>
        <w:spacing w:after="0" w:line="292" w:lineRule="auto"/>
        <w:rPr>
          <w:sz w:val="20"/>
          <w:szCs w:val="20"/>
          <w:color w:val="auto"/>
        </w:rPr>
      </w:pPr>
      <w:r>
        <w:rPr>
          <w:rFonts w:ascii="Arial" w:cs="Arial" w:eastAsia="Arial" w:hAnsi="Arial"/>
          <w:sz w:val="15"/>
          <w:szCs w:val="15"/>
          <w:b w:val="1"/>
          <w:bCs w:val="1"/>
          <w:color w:val="auto"/>
        </w:rPr>
        <w:t>9.03 Compliance With Legal Requirements</w:t>
      </w:r>
      <w:r>
        <w:rPr>
          <w:rFonts w:ascii="Arial" w:cs="Arial" w:eastAsia="Arial" w:hAnsi="Arial"/>
          <w:sz w:val="15"/>
          <w:szCs w:val="15"/>
          <w:color w:val="auto"/>
        </w:rPr>
        <w:t>. Tenant shall not cause or permit the Premises, the Property or the Building to be used in any way</w:t>
      </w:r>
      <w:r>
        <w:rPr>
          <w:rFonts w:ascii="Arial" w:cs="Arial" w:eastAsia="Arial" w:hAnsi="Arial"/>
          <w:sz w:val="15"/>
          <w:szCs w:val="15"/>
          <w:b w:val="1"/>
          <w:bCs w:val="1"/>
          <w:color w:val="auto"/>
        </w:rPr>
        <w:t xml:space="preserve"> </w:t>
      </w:r>
      <w:r>
        <w:rPr>
          <w:rFonts w:ascii="Arial" w:cs="Arial" w:eastAsia="Arial" w:hAnsi="Arial"/>
          <w:sz w:val="15"/>
          <w:szCs w:val="15"/>
          <w:color w:val="auto"/>
        </w:rPr>
        <w:t>that violates any law, code, ordinance, restrictive covenant, encumbrance, governmental regulation, order, permit, approval, variance, covenants or restrictions of record or any provision of the Lease (each a “</w:t>
      </w:r>
      <w:r>
        <w:rPr>
          <w:rFonts w:ascii="Arial" w:cs="Arial" w:eastAsia="Arial" w:hAnsi="Arial"/>
          <w:sz w:val="15"/>
          <w:szCs w:val="15"/>
          <w:u w:val="single" w:color="auto"/>
          <w:color w:val="auto"/>
        </w:rPr>
        <w:t>Legal Requirement</w:t>
      </w:r>
      <w:r>
        <w:rPr>
          <w:rFonts w:ascii="Arial" w:cs="Arial" w:eastAsia="Arial" w:hAnsi="Arial"/>
          <w:sz w:val="15"/>
          <w:szCs w:val="15"/>
          <w:color w:val="auto"/>
        </w:rPr>
        <w:t>”), annoys or interferes with the rights of tenants of the Building, or constitutes a nuisance or waste. Tenant shall obtain, maintain and pay for all permits and approvals and shall promptly take all actions necessary to comply with all Legal Requirements, including, without limitation, the Occupational Safety and Health Act, applicable to Tenant’s use of the Premises, the Property or the Building. Tenant shall maintain in full force and effect all certifications or permissions to provide its services required by any authority having jurisdiction to authorize, franchise or regulate such services.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Within ten (10) days of a request by Landlord, which request shall be made not more than once during each period of twelve (12) consecutive months during the Term hereof, unless otherwise reasonably requested by any mortgagee of Landlord,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w:t>
      </w:r>
    </w:p>
    <w:p>
      <w:pPr>
        <w:spacing w:after="0" w:line="1" w:lineRule="exact"/>
        <w:rPr>
          <w:sz w:val="20"/>
          <w:szCs w:val="20"/>
          <w:color w:val="auto"/>
        </w:rPr>
      </w:pPr>
    </w:p>
    <w:p>
      <w:pPr>
        <w:ind w:left="2" w:right="140" w:hanging="2"/>
        <w:spacing w:after="0" w:line="264" w:lineRule="auto"/>
        <w:tabs>
          <w:tab w:leader="none" w:pos="20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any such contest is made reasonably and in good faith, (ii) Tenant makes provisions, including, without limitation, posting bond(s) or giving other security, acceptable to Landlord to protect Landlord, the Building and the Property from any liability, costs, damages or expenses arising in connection with such violation and failure to</w:t>
      </w:r>
    </w:p>
    <w:p>
      <w:pPr>
        <w:spacing w:after="0" w:line="113"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42"/>
          </w:cols>
          <w:pgMar w:left="618" w:top="270" w:right="639" w:bottom="1440" w:gutter="0" w:footer="0" w:header="0"/>
        </w:sectPr>
      </w:pPr>
    </w:p>
    <w:bookmarkStart w:id="417" w:name="page418"/>
    <w:bookmarkEnd w:id="417"/>
    <w:p>
      <w:pPr>
        <w:ind w:right="6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cure, (iii) Tenant shall agree to indemnify, defend (with counsel reasonably acceptable to Landlord) and hold Landlord harmless from and against any and all liability, costs, damages, or expenses arising in connection with such condition and/or violation, (iv) Tenant shall promptly cure any violation in the event that its appeal of such violation is overruled or rejected, and (v) Tenant’s decision to delay such cure shall not, in Landlord’s good faith determination, be likely to result in any actual or threatened bodily injury, property damage, or any civil or criminal liability to Landlord, any tenant or occupant of the Building or the Property, or any other person or entity. Tenant shall have no obligation under this Lease to make structural or capital improvements to the Premises, the Building or the Property to comply with Legal Requirements unless said improvements are required because of Tenant’s particular manner of use of the Premises or Tenant Work. Landlord represents and warrants that as of the Term Commencement Date it has not received any written notices that the Premises are in violation of applicable law including, without limitation, the Americans with Disabilities Act.</w:t>
      </w:r>
    </w:p>
    <w:p>
      <w:pPr>
        <w:spacing w:after="0" w:line="149" w:lineRule="exact"/>
        <w:rPr>
          <w:sz w:val="20"/>
          <w:szCs w:val="20"/>
          <w:color w:val="auto"/>
        </w:rPr>
      </w:pPr>
    </w:p>
    <w:p>
      <w:pPr>
        <w:ind w:firstLine="426"/>
        <w:spacing w:after="0" w:line="296" w:lineRule="auto"/>
        <w:rPr>
          <w:sz w:val="20"/>
          <w:szCs w:val="20"/>
          <w:color w:val="auto"/>
        </w:rPr>
      </w:pPr>
      <w:r>
        <w:rPr>
          <w:rFonts w:ascii="Arial" w:cs="Arial" w:eastAsia="Arial" w:hAnsi="Arial"/>
          <w:sz w:val="15"/>
          <w:szCs w:val="15"/>
          <w:b w:val="1"/>
          <w:bCs w:val="1"/>
          <w:color w:val="auto"/>
        </w:rPr>
        <w:t>9.04 Environmental Substances</w:t>
      </w:r>
      <w:r>
        <w:rPr>
          <w:rFonts w:ascii="Arial" w:cs="Arial" w:eastAsia="Arial" w:hAnsi="Arial"/>
          <w:sz w:val="15"/>
          <w:szCs w:val="15"/>
          <w:color w:val="auto"/>
        </w:rPr>
        <w:t>. “</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all statutes, laws, rules, regulations, codes, ordinances, standards, guidelines,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authorizations and orders of federal, state and local public authorities pertaining to any of the Environmental Substances or to environmental compliance, contamination, cleanup or disclosures of any release or threat of release to the environment, of any hazardous, biological, chemical, radioactive or toxic substances, wastes or materials, any pollutants or contaminants that are included under or regulated by any municipal, county, state or federal statutes, laws, rules, regulations, codes, ordinances, standards, guidelines, authorizations or orders, including, without limitation, the Toxic Substances Control Act, 15 U.S.C. § 2601,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Clean Water Act, 33 U.S.C. § 1251,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Clean Air Act, 42 U.S.C. § 7401,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Safe Drinking Water Act, 42 U.S.C. § 300f-300j,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Federal Water Pollution Control Act, 33 U.S.C. § 1321,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Comprehensive Environmental Response, Compensation and Liability Act of 1980, 42 U.S.C. Section 9601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the Federal Resource Conservation and Recovery Act, 42 U.S.C. Section 6901 </w:t>
      </w:r>
      <w:r>
        <w:rPr>
          <w:rFonts w:ascii="Arial" w:cs="Arial" w:eastAsia="Arial" w:hAnsi="Arial"/>
          <w:sz w:val="15"/>
          <w:szCs w:val="15"/>
          <w:u w:val="single" w:color="auto"/>
          <w:color w:val="auto"/>
        </w:rPr>
        <w:t>et seq</w:t>
      </w:r>
      <w:r>
        <w:rPr>
          <w:rFonts w:ascii="Arial" w:cs="Arial" w:eastAsia="Arial" w:hAnsi="Arial"/>
          <w:sz w:val="15"/>
          <w:szCs w:val="15"/>
          <w:color w:val="auto"/>
        </w:rPr>
        <w:t>.; the Massachusetts Hazardous Waste Management Act, as amended, M.G.L. Chapter 21C, and the Massachusetts Oil and Hazardous Material Release Prevention Act, as amended, M.G.L., Chapter 21E, as any of the same are from time to time amended, and the rules and regulations promulgated thereunder, and any judicial or administrative interpretation thereof, including any judicial or administrative orders or judgments, and all other federal, state and local statutes, laws, rules, regulations, codes, ordinances, standards, guidelines, authorizations and orders regulating the generation, storage, containment or disposal of any Environmental Substances, including, but not limited to, those relating to lead paint, radon gas, asbestos, storage and disposal of oil, biological, chemical, radioactive and hazardous wastes, substances and materials, and underground and above ground oil storage tanks; and any amendments, modifications or supplements of any of the foregoing.</w:t>
      </w:r>
    </w:p>
    <w:p>
      <w:pPr>
        <w:spacing w:after="0" w:line="157" w:lineRule="exact"/>
        <w:rPr>
          <w:sz w:val="20"/>
          <w:szCs w:val="20"/>
          <w:color w:val="auto"/>
        </w:rPr>
      </w:pPr>
    </w:p>
    <w:p>
      <w:pPr>
        <w:ind w:firstLine="426"/>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Substances</w:t>
      </w:r>
      <w:r>
        <w:rPr>
          <w:rFonts w:ascii="Arial" w:cs="Arial" w:eastAsia="Arial" w:hAnsi="Arial"/>
          <w:sz w:val="15"/>
          <w:szCs w:val="15"/>
          <w:color w:val="auto"/>
        </w:rPr>
        <w:t>” means, but shall not be limited to, any hazardous substances, hazardous waste, environmental, biological, chemical, radioactive substances, oil, petroleum products and any waste or substance, which because of its quantitative concentration, chemical, biological, radioactive, flammable, explosive, infectious or other characteristics, constitutes or may reasonably be expected to constitute or contribute to a danger or hazard to public health, safety or welfare or to the environment, or that would trigger any employee or community “right-to-know” requirements adopted by any federal, state or local governing or regulatory body, or for which any such body has adopted any requirements for the preparation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20"/>
          </w:cols>
          <w:pgMar w:left="620" w:top="270" w:right="659" w:bottom="1440" w:gutter="0" w:footer="0" w:header="0"/>
        </w:sectPr>
      </w:pPr>
    </w:p>
    <w:bookmarkStart w:id="418" w:name="page419"/>
    <w:bookmarkEnd w:id="418"/>
    <w:p>
      <w:pPr>
        <w:ind w:left="2" w:right="1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distribution of a materials safety data sheet (“</w:t>
      </w:r>
      <w:r>
        <w:rPr>
          <w:rFonts w:ascii="Arial" w:cs="Arial" w:eastAsia="Arial" w:hAnsi="Arial"/>
          <w:sz w:val="17"/>
          <w:szCs w:val="17"/>
          <w:u w:val="single" w:color="auto"/>
          <w:color w:val="auto"/>
        </w:rPr>
        <w:t>MSDS</w:t>
      </w:r>
      <w:r>
        <w:rPr>
          <w:rFonts w:ascii="Arial" w:cs="Arial" w:eastAsia="Arial" w:hAnsi="Arial"/>
          <w:sz w:val="17"/>
          <w:szCs w:val="17"/>
          <w:color w:val="auto"/>
        </w:rPr>
        <w:t>”), including, without limitation, any asbestos (whether or not friable) and any asbestos-containing materials, lead paint, waste oils, solvents and chlorinated oils, polychlorinated biphenyls (PCBs), toxic metals, etchants, pickling and plating wastes, explosives, reactive metals and compounds, pesticides, herbicides, radon gas, urea formaldehyde foam insulation and chemical, biological and radioactive wastes, or any other similar materials that are mentioned under or regulated by any Environmental Law; and the regulations adopted under these acts, and including any other products or materials subsequently found by an authority of competent jurisdiction to have adverse effects on the environment or the health and safety of persons.</w:t>
      </w:r>
    </w:p>
    <w:p>
      <w:pPr>
        <w:spacing w:after="0" w:line="182" w:lineRule="exact"/>
        <w:rPr>
          <w:sz w:val="20"/>
          <w:szCs w:val="20"/>
          <w:color w:val="auto"/>
        </w:rPr>
      </w:pPr>
    </w:p>
    <w:p>
      <w:pPr>
        <w:ind w:left="2" w:firstLine="426"/>
        <w:spacing w:after="0" w:line="299" w:lineRule="auto"/>
        <w:rPr>
          <w:sz w:val="20"/>
          <w:szCs w:val="20"/>
          <w:color w:val="auto"/>
        </w:rPr>
      </w:pPr>
      <w:r>
        <w:rPr>
          <w:rFonts w:ascii="Arial" w:cs="Arial" w:eastAsia="Arial" w:hAnsi="Arial"/>
          <w:sz w:val="15"/>
          <w:szCs w:val="15"/>
          <w:color w:val="auto"/>
        </w:rPr>
        <w:t>Tenant shall neither cause or permit any Environmental Substances to be generated, produced, brought upon, used, stored, treated or disposed of in or about or on the Building by Tenant, nor permit or suffer persons acting under Tenant, to do the same, whether with or without negligence, without</w:t>
      </w:r>
    </w:p>
    <w:p>
      <w:pPr>
        <w:ind w:left="2" w:hanging="2"/>
        <w:spacing w:after="0" w:line="275" w:lineRule="auto"/>
        <w:tabs>
          <w:tab w:leader="none" w:pos="20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Landlord’s prior written consent and (ii) complying with all applicable Environmental Laws and Legal Requirements pertaining to the transportation, storage, use or disposal of such Environmental Substances, including obtaining proper permits and approvals and providing Landlord the applicable MSDS for each Environmental Substance. Landlord may take into account any factors or facts that Landlord reasonably believes relevant in determining whether to grant its consent. Landlord consents to Tenant’s use of the Environmental Substances listed in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in the amounts also listed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Tenant shall not be permitted to use any Environmental Substances other than those identified on foregoing exhibit and not in excess of the quantities listed on said exhibit in the Premises without Landlord’s prior written consent. From time to time at Landlord’s request, Tenant shall execute affidavits, representations and the like concerning Tenant’s best knowledge and belief, after due inquiry, regarding the presence or absence of Environmental Substances on the Premises, the Property or the Building and shall provide a then current list of all Environmental Substances and quantities used in the Premises. Tenant agrees to pay the cost of any environmental inspection or assessment requested by any lender that holds a security interest in the Property or this Lease, or by any insurance carrier, to the extent that such inspection or assessment pertains to any release, threat of release, contamination, claim of contamination, loss or damage or determination of condition in the Premises by Tenant, its employees, invitees, contractors or other persons acting under Tenant. In addition, at Landlord’s request, Tenant shall promptly provide to Landlord all MSDSs for products used within the Premises.</w:t>
      </w:r>
    </w:p>
    <w:p>
      <w:pPr>
        <w:spacing w:after="0" w:line="171" w:lineRule="exact"/>
        <w:rPr>
          <w:sz w:val="20"/>
          <w:szCs w:val="20"/>
          <w:color w:val="auto"/>
        </w:rPr>
      </w:pPr>
    </w:p>
    <w:p>
      <w:pPr>
        <w:ind w:left="2" w:firstLine="426"/>
        <w:spacing w:after="0" w:line="293" w:lineRule="auto"/>
        <w:rPr>
          <w:sz w:val="20"/>
          <w:szCs w:val="20"/>
          <w:color w:val="auto"/>
        </w:rPr>
      </w:pPr>
      <w:r>
        <w:rPr>
          <w:rFonts w:ascii="Arial" w:cs="Arial" w:eastAsia="Arial" w:hAnsi="Arial"/>
          <w:sz w:val="15"/>
          <w:szCs w:val="15"/>
          <w:color w:val="auto"/>
        </w:rPr>
        <w:t>If any transportation, storage, use or disposal of Environmental Substances on or about the Property or Building by Tenant, its agents, employees, independent contractors, or invitees results in any escape to, release to, threat of release to or contamination of the soil, surface or ground water, sewage system or ambient air or any loss or damage to person or property, Tenant agrees to: (a) notify Landlord immediately of the occurrence; (b) after consultation with Landlord, clean up the occurrence in full compliance with all applicable statutes, regulations and standards; and (c) indemnify, defend and hold Landlord, and the Indemnitees harmless from and against any claims, suits, causes of action, costs and fees, including attorneys’ fees and costs, arising from or connected with any such occurrence. In the event of such occurrence, Tenant agrees to cooperate fully with Landlord and provide such documents, affidavits, information and actions as may be requested by Landlord (1) to comply with any Environmental Law or Legal Requirement,</w:t>
      </w:r>
    </w:p>
    <w:p>
      <w:pPr>
        <w:ind w:left="2" w:right="280" w:hanging="2"/>
        <w:spacing w:after="0" w:line="272" w:lineRule="auto"/>
        <w:tabs>
          <w:tab w:leader="none" w:pos="248"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comply with any request of any mortgagee or tenant and/or (3) for any other reason deemed necessary by Landlord in its sole discretion. In the event of any such occurrence</w:t>
      </w:r>
    </w:p>
    <w:p>
      <w:pPr>
        <w:spacing w:after="0" w:line="10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2"/>
          </w:cols>
          <w:pgMar w:left="618" w:top="270" w:right="639" w:bottom="1440" w:gutter="0" w:footer="0" w:header="0"/>
        </w:sectPr>
      </w:pPr>
    </w:p>
    <w:bookmarkStart w:id="419" w:name="page420"/>
    <w:bookmarkEnd w:id="419"/>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that is required to be reported to a governmental authority under any Environmental Law or Legal Requirement, Tenant shall simultaneously deliver to Landlord copies of any notices given or received by Tenant and shall promptly pay when due any fine or assessment against Landlord, Tenant or the Premises or Property relating to such occurrence.</w:t>
      </w:r>
    </w:p>
    <w:p>
      <w:pPr>
        <w:spacing w:after="0" w:line="165" w:lineRule="exact"/>
        <w:rPr>
          <w:sz w:val="20"/>
          <w:szCs w:val="20"/>
          <w:color w:val="auto"/>
        </w:rPr>
      </w:pPr>
    </w:p>
    <w:p>
      <w:pPr>
        <w:ind w:right="60" w:firstLine="426"/>
        <w:spacing w:after="0" w:line="264" w:lineRule="auto"/>
        <w:rPr>
          <w:sz w:val="20"/>
          <w:szCs w:val="20"/>
          <w:color w:val="auto"/>
        </w:rPr>
      </w:pPr>
      <w:r>
        <w:rPr>
          <w:rFonts w:ascii="Arial" w:cs="Arial" w:eastAsia="Arial" w:hAnsi="Arial"/>
          <w:sz w:val="17"/>
          <w:szCs w:val="17"/>
          <w:b w:val="1"/>
          <w:bCs w:val="1"/>
          <w:color w:val="auto"/>
        </w:rPr>
        <w:t>9.05 Signs and Auctions</w:t>
      </w:r>
      <w:r>
        <w:rPr>
          <w:rFonts w:ascii="Arial" w:cs="Arial" w:eastAsia="Arial" w:hAnsi="Arial"/>
          <w:sz w:val="17"/>
          <w:szCs w:val="17"/>
          <w:color w:val="auto"/>
        </w:rPr>
        <w:t>. Except as may be expressly set forth herein, no sign, antenna or other structure or thing, shall be erected or placed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or any part of the exterior of the Building or erected so as to be visible from the exterior of the Building without first securing the written consent of the Landlord. Tenant shall not conduct or permit any auctions or sheriffs sales at the Property. Landlord, at Landlord’s cost, shall provide Tenant identification on existing multi-tenant signs or directories at the entrance to Building E and in the parking garage, as appropriate. Such signs will be mutually agreed upon by Landlord and Tenant provided that all such signs will be consistent with standard Building signage and will conform to local regulations.</w:t>
      </w:r>
    </w:p>
    <w:p>
      <w:pPr>
        <w:spacing w:after="0" w:line="172" w:lineRule="exact"/>
        <w:rPr>
          <w:sz w:val="20"/>
          <w:szCs w:val="20"/>
          <w:color w:val="auto"/>
        </w:rPr>
      </w:pPr>
    </w:p>
    <w:p>
      <w:pPr>
        <w:ind w:right="60" w:firstLine="426"/>
        <w:spacing w:after="0" w:line="262" w:lineRule="auto"/>
        <w:rPr>
          <w:sz w:val="20"/>
          <w:szCs w:val="20"/>
          <w:color w:val="auto"/>
        </w:rPr>
      </w:pPr>
      <w:r>
        <w:rPr>
          <w:rFonts w:ascii="Arial" w:cs="Arial" w:eastAsia="Arial" w:hAnsi="Arial"/>
          <w:sz w:val="17"/>
          <w:szCs w:val="17"/>
          <w:b w:val="1"/>
          <w:bCs w:val="1"/>
          <w:color w:val="auto"/>
        </w:rPr>
        <w:t>9.06 Landlord’s Access</w:t>
      </w:r>
      <w:r>
        <w:rPr>
          <w:rFonts w:ascii="Arial" w:cs="Arial" w:eastAsia="Arial" w:hAnsi="Arial"/>
          <w:sz w:val="17"/>
          <w:szCs w:val="17"/>
          <w:color w:val="auto"/>
        </w:rPr>
        <w:t>. Landlord or its agents may enter the Premises at all reasonable times to show the Premises to potential buyers, investors</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parties, or during the last nine (9) months of the Term, to potential tenants; to inspect and conduct tests in order to monitor Tenant’s compliance with Legal Requirements governing Environmental Substances; for purposes described in Sections 2.01, 9.04, 10.03 and/or 10.04(b) or for any other purpose Landlord reasonably deems necessary. Landlord shall give Tenant prior notice (which may be oral) of such entry. However, in case of emergency, Landlord may enter any part of the Premises without prior notice to Tenant’s representative and shall make reasonable efforts to notify Tenant. Except in the case of an emergency, Landlord agrees to provide Tenant with twenty-four (24) hours’ advance written notice (which notice may be by e-mail) prior to entering the Premises.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10: CONDITION AND MAINTENANCE OF PREMISES AND PROPERTY</w:t>
      </w:r>
    </w:p>
    <w:p>
      <w:pPr>
        <w:spacing w:after="0" w:line="118" w:lineRule="exact"/>
        <w:rPr>
          <w:sz w:val="20"/>
          <w:szCs w:val="20"/>
          <w:color w:val="auto"/>
        </w:rPr>
      </w:pPr>
    </w:p>
    <w:p>
      <w:pPr>
        <w:ind w:firstLine="426"/>
        <w:spacing w:after="0" w:line="305" w:lineRule="auto"/>
        <w:rPr>
          <w:sz w:val="20"/>
          <w:szCs w:val="20"/>
          <w:color w:val="auto"/>
        </w:rPr>
      </w:pPr>
      <w:r>
        <w:rPr>
          <w:rFonts w:ascii="Arial" w:cs="Arial" w:eastAsia="Arial" w:hAnsi="Arial"/>
          <w:sz w:val="15"/>
          <w:szCs w:val="15"/>
          <w:b w:val="1"/>
          <w:bCs w:val="1"/>
          <w:color w:val="auto"/>
        </w:rPr>
        <w:t>10.01 Existing Conditions</w:t>
      </w:r>
      <w:r>
        <w:rPr>
          <w:rFonts w:ascii="Arial" w:cs="Arial" w:eastAsia="Arial" w:hAnsi="Arial"/>
          <w:sz w:val="15"/>
          <w:szCs w:val="15"/>
          <w:color w:val="auto"/>
        </w:rPr>
        <w:t>. Tenant shall accept the Premises and Property in their condition as of the Term Commencement Date “as is”,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to Landlord’s completion of the Initial Tenant Improvements, and subject to all Legal Requirements. Notwithstanding the foregoing, on the Term Commencement Date, the Initial Tenant Improvements and all Core Building Systems shall be in good working condition. Tenant acknowledges that except for any express representations in this Lease, neither Landlord nor any person acting under Landlord has made any representation as to the condition of the Property or the suitability of the Property for Tenant’s intended use. Tenant represents and warrants that Tenant has made its own inspection and inquiry regarding the Property and is not relying on any representations of Landlord or any Broker or persons acting under either of them.</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10.02 Exemption and Limitation of Landlord’s Liability</w:t>
      </w:r>
      <w:r>
        <w:rPr>
          <w:rFonts w:ascii="Arial" w:cs="Arial" w:eastAsia="Arial" w:hAnsi="Arial"/>
          <w:sz w:val="17"/>
          <w:szCs w:val="17"/>
          <w:color w:val="auto"/>
        </w:rPr>
        <w:t>.</w:t>
      </w:r>
    </w:p>
    <w:p>
      <w:pPr>
        <w:spacing w:after="0" w:line="228" w:lineRule="exact"/>
        <w:rPr>
          <w:sz w:val="20"/>
          <w:szCs w:val="20"/>
          <w:color w:val="auto"/>
        </w:rPr>
      </w:pPr>
    </w:p>
    <w:p>
      <w:pPr>
        <w:ind w:right="280" w:firstLine="424"/>
        <w:spacing w:after="0" w:line="266" w:lineRule="auto"/>
        <w:tabs>
          <w:tab w:leader="none" w:pos="662"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Exemption of Landlord from Liability</w:t>
      </w:r>
      <w:r>
        <w:rPr>
          <w:rFonts w:ascii="Arial" w:cs="Arial" w:eastAsia="Arial" w:hAnsi="Arial"/>
          <w:sz w:val="17"/>
          <w:szCs w:val="17"/>
          <w:color w:val="auto"/>
        </w:rPr>
        <w:t>. Tenant shall insure its personal property under an all risk full replacement cost property insurance policy. Landlord shall not be liable for any damage or injury to the person, property or business (including loss of revenue, profits or data) of Tenant, Tenant’s employees, agents, contractors, or invitees, or any other person on or about the Property or the Building; provided, however, that this Section 10.02(a) shall not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40"/>
          </w:cols>
          <w:pgMar w:left="620" w:top="270" w:right="639" w:bottom="1440" w:gutter="0" w:footer="0" w:header="0"/>
        </w:sectPr>
      </w:pPr>
    </w:p>
    <w:bookmarkStart w:id="420" w:name="page421"/>
    <w:bookmarkEnd w:id="420"/>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exempt Landlord from liability for Landlord’s negligence or willful misconduct. This exemption shall apply whether such damage or injury is caused by (among other things): (i) fire, steam, electricity, water, gas, sewage, sewer gas or odors, snow, ice, frost or rain; (ii) the breakage, leakage, obstruction or other defects of pipes, faucets, sprinklers, wires, appliances, plumbing, windows, air conditioning or lighting fixtures or any other cause; (iii) any other casualty or any Taking; (iv) theft; (v) conditions in or about Property or the Building or from other sources or places; or (vi) any act or omission of any other tenant.</w:t>
      </w:r>
    </w:p>
    <w:p>
      <w:pPr>
        <w:spacing w:after="0" w:line="178" w:lineRule="exact"/>
        <w:rPr>
          <w:sz w:val="20"/>
          <w:szCs w:val="20"/>
          <w:color w:val="auto"/>
        </w:rPr>
      </w:pPr>
    </w:p>
    <w:p>
      <w:pPr>
        <w:ind w:firstLine="424"/>
        <w:spacing w:after="0" w:line="276" w:lineRule="auto"/>
        <w:tabs>
          <w:tab w:leader="none" w:pos="672"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Limitation On Landlord’s Liability</w:t>
      </w:r>
      <w:r>
        <w:rPr>
          <w:rFonts w:ascii="Arial" w:cs="Arial" w:eastAsia="Arial" w:hAnsi="Arial"/>
          <w:sz w:val="16"/>
          <w:szCs w:val="16"/>
          <w:color w:val="auto"/>
        </w:rPr>
        <w:t>. Tenant agrees that Landlord shall be liable only for breaches of its covenants occurring while it is owner of the Property (provided, however, that if Landlord from time to time is lessee of the ground or improvements constituting the Building, then Landlord’s period of ownership of the Property shall be deemed to mean only that period while Landlord holds such leasehold interest). Upon any sale or transfer of the Building, the transferor Landlord (including any mortgagee) shall be freed of any liability or obligation thereafter arising and, subject to Section 9.1, Tenant shall look solely to the transferee Landlord as aforesaid for satisfaction of such liability or obligation. Tenant and each person acting under Tenant agrees to look solely to Landlord’s interest from time to time in the Property for satisfaction of any claim against Landlord. No owner, trustee, beneficiary, partner, member, manager, agent, or employee of Landlord (or of any mortgagee or any lender or ground or improvements lessor) nor any person acting under any of them shall ever be personally or individually liable to Tenant or any person claiming under or through Tenant for or on account of any default by Landlord or failure by Landlord to perform any of its obligations hereunder, or for or on account of any amount or obligations that may be or become due under or in connection with this Lease or the Premises; nor shall it or they ever be answerable or liable in any judicial proceeding or order beyond the extent of their interest in the Property. No deficit capital account of any member or partner of Landlord shall be deemed to be a liability of such member or partner or an asset of Landlord. Any lien obtained to enforce any judgment against Landlord shall be subject and subordinate to any mortgage encumbering the Property. In no event shall Landlord (or any such persons) ever be liable to Tenant for indirect or consequential damages.</w:t>
      </w:r>
    </w:p>
    <w:p>
      <w:pPr>
        <w:spacing w:after="0" w:line="170" w:lineRule="exact"/>
        <w:rPr>
          <w:rFonts w:ascii="Arial" w:cs="Arial" w:eastAsia="Arial" w:hAnsi="Arial"/>
          <w:sz w:val="16"/>
          <w:szCs w:val="16"/>
          <w:color w:val="auto"/>
        </w:rPr>
      </w:pPr>
    </w:p>
    <w:p>
      <w:pPr>
        <w:ind w:right="80" w:firstLine="424"/>
        <w:spacing w:after="0" w:line="264" w:lineRule="auto"/>
        <w:tabs>
          <w:tab w:leader="none" w:pos="662"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Limitation On Tenant’s Liability</w:t>
      </w:r>
      <w:r>
        <w:rPr>
          <w:rFonts w:ascii="Arial" w:cs="Arial" w:eastAsia="Arial" w:hAnsi="Arial"/>
          <w:sz w:val="17"/>
          <w:szCs w:val="17"/>
          <w:color w:val="auto"/>
        </w:rPr>
        <w:t>. The obligations of Tenant under this Lease are not intended to be and shall not be personally binding on, nor shall any resort be had to the personal assets of, any of its directors, officers, partners, beneficiaries, members, stockholders, employees, or agents. Except for damages incurred by Landlord as a result of Tenant’s holdover after the expiration of the Term or in connection with a breach of Tenant’s obligations under Sections 9.04 and 10.07, in no case shall Tenant be liable to Landlord hereunder for any lost profits, damage to business, or any form of special, indirect or consequential damages.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10.03 Landlord’s Obligations</w:t>
      </w:r>
      <w:r>
        <w:rPr>
          <w:rFonts w:ascii="Arial" w:cs="Arial" w:eastAsia="Arial" w:hAnsi="Arial"/>
          <w:sz w:val="17"/>
          <w:szCs w:val="17"/>
          <w:color w:val="auto"/>
        </w:rPr>
        <w:t>.</w:t>
      </w:r>
    </w:p>
    <w:p>
      <w:pPr>
        <w:spacing w:after="0" w:line="228" w:lineRule="exact"/>
        <w:rPr>
          <w:sz w:val="20"/>
          <w:szCs w:val="20"/>
          <w:color w:val="auto"/>
        </w:rPr>
      </w:pPr>
    </w:p>
    <w:p>
      <w:pPr>
        <w:ind w:right="260" w:firstLine="424"/>
        <w:spacing w:after="0" w:line="264" w:lineRule="auto"/>
        <w:tabs>
          <w:tab w:leader="none" w:pos="662"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Repair and Maintenance</w:t>
      </w:r>
      <w:r>
        <w:rPr>
          <w:rFonts w:ascii="Arial" w:cs="Arial" w:eastAsia="Arial" w:hAnsi="Arial"/>
          <w:sz w:val="17"/>
          <w:szCs w:val="17"/>
          <w:color w:val="auto"/>
        </w:rPr>
        <w:t>. Subject to the provisions of Article 12, and except for damage caused by any act or omission of Tenant or persons acting under Tenant (but subject to the waiver in Section 7.03), Landlord shall keep the common areas of the Building (including, without limitation, common elevators and common parking areas) and the foundation, roof, Building systems including Core Building Systems (as defined in Section 10.05(a)) (to the extent not serving the Premises or another tenant’s premises exclusively), structural supports, exterior windows and exterior walls of the Building in good order, condition and repair reasonable wear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40"/>
          </w:cols>
          <w:pgMar w:left="620" w:top="270" w:right="639" w:bottom="1440" w:gutter="0" w:footer="0" w:header="0"/>
        </w:sectPr>
      </w:pPr>
    </w:p>
    <w:bookmarkStart w:id="421" w:name="page422"/>
    <w:bookmarkEnd w:id="421"/>
    <w:p>
      <w:pPr>
        <w:ind w:right="16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and tear excepted. Landlord shall not be obligated to maintain or repair any interior windows, doors, plate glass, the surfaces of walls or other fixtures, components or equipment within the Premises, but the same shall be Tenant’s obligation. Tenant shall promptly report in writing to Landlord any defective condition known to it that Landlord is required to repair. Tenant waives the benefit of any present or future law that provides Tenant the right to repair the Premises or Property at Landlord’s expense or to terminate this Lease because of the condition of the Property or Premises.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10.04 Tenant’s Obligations</w:t>
      </w:r>
      <w:r>
        <w:rPr>
          <w:rFonts w:ascii="Arial" w:cs="Arial" w:eastAsia="Arial" w:hAnsi="Arial"/>
          <w:sz w:val="17"/>
          <w:szCs w:val="17"/>
          <w:color w:val="auto"/>
        </w:rPr>
        <w:t>.</w:t>
      </w:r>
    </w:p>
    <w:p>
      <w:pPr>
        <w:spacing w:after="0" w:line="228" w:lineRule="exact"/>
        <w:rPr>
          <w:sz w:val="20"/>
          <w:szCs w:val="20"/>
          <w:color w:val="auto"/>
        </w:rPr>
      </w:pPr>
    </w:p>
    <w:p>
      <w:pPr>
        <w:ind w:right="20" w:firstLine="424"/>
        <w:spacing w:after="0" w:line="295" w:lineRule="auto"/>
        <w:tabs>
          <w:tab w:leader="none" w:pos="662" w:val="left"/>
        </w:tabs>
        <w:numPr>
          <w:ilvl w:val="0"/>
          <w:numId w:val="369"/>
        </w:numPr>
        <w:rPr>
          <w:rFonts w:ascii="Arial" w:cs="Arial" w:eastAsia="Arial" w:hAnsi="Arial"/>
          <w:sz w:val="15"/>
          <w:szCs w:val="15"/>
          <w:color w:val="auto"/>
        </w:rPr>
      </w:pPr>
      <w:r>
        <w:rPr>
          <w:rFonts w:ascii="Arial" w:cs="Arial" w:eastAsia="Arial" w:hAnsi="Arial"/>
          <w:sz w:val="15"/>
          <w:szCs w:val="15"/>
          <w:u w:val="single" w:color="auto"/>
          <w:color w:val="auto"/>
        </w:rPr>
        <w:t>Repair and Maintenance</w:t>
      </w:r>
      <w:r>
        <w:rPr>
          <w:rFonts w:ascii="Arial" w:cs="Arial" w:eastAsia="Arial" w:hAnsi="Arial"/>
          <w:sz w:val="15"/>
          <w:szCs w:val="15"/>
          <w:color w:val="auto"/>
        </w:rPr>
        <w:t>. Except for work that Section 10.03 or Article 12 requires Landlord to do, Tenant at its sole cost and expense shall keep the Premises including, without limitation, all Initial Tenant Improvements, other Tenant Work, Tenant Property, fixtures, systems and equipment now or hereafter on the Premises, or elsewhere exclusively serving the Premises, in good order, condition and repair, reasonable wear and tear excepted; shall keep in a safe, secure and sanitary condition all trash and rubbish temporarily stored at the Premises; and shall make all repairs and replacements and to do all other work necessary for the foregoing purposes whether the same may be ordinary or extraordinary, foreseen or unforeseen. The foregoing shall include, without limitation, Tenant’s obligation to maintain floors and floor coverings, to paint and repair walls and doors, to replace and repair all interior glass and windows, ceiling tiles, lights and light fixtures, pipes, drains and the like in the Premises. Tenant shall hire its own cleaning contractor for the Premises and shall provide first-class janitorial service in the Premises on each business day during the Term (including daily disposal of trash from trash bins in the Premises). Tenant shall have the non-exclusive use of the Building compactor for disposal of trash that is not lab-related or Environmental Substances. If applicable, Tenant shall arrange for disposal of its own lab-related refuse by a licensed vendor in accordance with all applicable Legal Requirements. No storage shall be permitted outside of the Premises. Storage inside the Premises shall be provided in a manner not visible from outside the Premises. (For purposes of this Section, the term “reasonable wear and tear” constitutes that normal, gradual deterioration that occurs due to aging and ordinary use despite reasonable and timely maintenance and repairs or repairs and restoration, as the case may be; in no event shall “reasonable wear and tear” excuse Tenant from its obligations duty to maintain and/or repair as may be required hereunder.)</w:t>
      </w:r>
    </w:p>
    <w:p>
      <w:pPr>
        <w:spacing w:after="0" w:line="164" w:lineRule="exact"/>
        <w:rPr>
          <w:rFonts w:ascii="Arial" w:cs="Arial" w:eastAsia="Arial" w:hAnsi="Arial"/>
          <w:sz w:val="15"/>
          <w:szCs w:val="15"/>
          <w:color w:val="auto"/>
        </w:rPr>
      </w:pPr>
    </w:p>
    <w:p>
      <w:pPr>
        <w:ind w:right="160" w:firstLine="424"/>
        <w:spacing w:after="0" w:line="266" w:lineRule="auto"/>
        <w:tabs>
          <w:tab w:leader="none" w:pos="672"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Landlord’s Right to Cure</w:t>
      </w:r>
      <w:r>
        <w:rPr>
          <w:rFonts w:ascii="Arial" w:cs="Arial" w:eastAsia="Arial" w:hAnsi="Arial"/>
          <w:sz w:val="17"/>
          <w:szCs w:val="17"/>
          <w:color w:val="auto"/>
        </w:rPr>
        <w:t>. If Tenant does not perform any of its obligations under Section 10.04(a), Landlord upon ten (10) days’ prior notice to Tenant (or without prior notice in the case of an emergency) may perform such maintenance, repair or replacement on Tenant’s behalf, and Tenant shall reimburse Landlord for all costs reasonably incurred together with an Administrative Charge (as defined in Section 14.02(f)), promptly upon demand.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10.05 Tenant Work</w:t>
      </w:r>
      <w:r>
        <w:rPr>
          <w:rFonts w:ascii="Arial" w:cs="Arial" w:eastAsia="Arial" w:hAnsi="Arial"/>
          <w:sz w:val="17"/>
          <w:szCs w:val="17"/>
          <w:color w:val="auto"/>
        </w:rPr>
        <w:t>.</w:t>
      </w:r>
    </w:p>
    <w:p>
      <w:pPr>
        <w:spacing w:after="0" w:line="228" w:lineRule="exact"/>
        <w:rPr>
          <w:sz w:val="20"/>
          <w:szCs w:val="20"/>
          <w:color w:val="auto"/>
        </w:rPr>
      </w:pPr>
    </w:p>
    <w:p>
      <w:pPr>
        <w:ind w:firstLine="424"/>
        <w:spacing w:after="0" w:line="296" w:lineRule="auto"/>
        <w:tabs>
          <w:tab w:leader="none" w:pos="66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w:t>
      </w:r>
      <w:r>
        <w:rPr>
          <w:rFonts w:ascii="Arial" w:cs="Arial" w:eastAsia="Arial" w:hAnsi="Arial"/>
          <w:sz w:val="16"/>
          <w:szCs w:val="16"/>
          <w:u w:val="single" w:color="auto"/>
          <w:color w:val="auto"/>
        </w:rPr>
        <w:t>Tenant Work</w:t>
      </w:r>
      <w:r>
        <w:rPr>
          <w:rFonts w:ascii="Arial" w:cs="Arial" w:eastAsia="Arial" w:hAnsi="Arial"/>
          <w:sz w:val="16"/>
          <w:szCs w:val="16"/>
          <w:color w:val="auto"/>
        </w:rPr>
        <w:t>” shall mean all work including demolition, improvements, additions and alterations in or to the Premises, except for the Initial Tenant Improvements. Without limitation, Tenant Work includes any penetrations in the walls, partitions, ceilings or floors and all attached carpeting, all signs visible from the exterior of the Premises, and any change in the exterior appearance of the windows in the Premises (including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40"/>
          </w:cols>
          <w:pgMar w:left="620" w:top="270" w:right="639" w:bottom="1440" w:gutter="0" w:footer="0" w:header="0"/>
        </w:sectPr>
      </w:pPr>
    </w:p>
    <w:bookmarkStart w:id="422" w:name="page423"/>
    <w:bookmarkEnd w:id="422"/>
    <w:p>
      <w:pPr>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shades, curtains and the like). All Tenant Work shall be subject to Landlord’s prior written approval (which approval shall not be unreasonably withheld, conditioned or delayed) and shall be arranged and paid for by Tenant all as provided herein; provided that any interior, non-structural Tenant Work (including any series of related Tenant Work projects) that (a) costs less than the “</w:t>
      </w:r>
      <w:r>
        <w:rPr>
          <w:rFonts w:ascii="Arial" w:cs="Arial" w:eastAsia="Arial" w:hAnsi="Arial"/>
          <w:sz w:val="16"/>
          <w:szCs w:val="16"/>
          <w:u w:val="single" w:color="auto"/>
          <w:color w:val="auto"/>
        </w:rPr>
        <w:t>Tenant Work Threshold Amount</w:t>
      </w:r>
      <w:r>
        <w:rPr>
          <w:rFonts w:ascii="Arial" w:cs="Arial" w:eastAsia="Arial" w:hAnsi="Arial"/>
          <w:sz w:val="16"/>
          <w:szCs w:val="16"/>
          <w:color w:val="auto"/>
        </w:rPr>
        <w:t>” (which shall be $10,000.00), (b) does not affect any fire-safety, telecommunications, electrical, mechanical, ventilation or plumbing systems of the Building (“</w:t>
      </w:r>
      <w:r>
        <w:rPr>
          <w:rFonts w:ascii="Arial" w:cs="Arial" w:eastAsia="Arial" w:hAnsi="Arial"/>
          <w:sz w:val="16"/>
          <w:szCs w:val="16"/>
          <w:u w:val="single" w:color="auto"/>
          <w:color w:val="auto"/>
        </w:rPr>
        <w:t>Core Building Systems</w:t>
      </w:r>
      <w:r>
        <w:rPr>
          <w:rFonts w:ascii="Arial" w:cs="Arial" w:eastAsia="Arial" w:hAnsi="Arial"/>
          <w:sz w:val="16"/>
          <w:szCs w:val="16"/>
          <w:color w:val="auto"/>
        </w:rPr>
        <w:t>”), and (c) does not affect any penetrations in or otherwise affect any walls, floors, roofs, or other structural elements of the Building or any signs visible from the exterior of the Premises or any change in the exterior appearance of the windows in the Premises (including shades, curtains and the like) shall not require Landlord’s prior approval if Tenant delivers the Construction Documents (as defined in Section 10.05(b)) for such work to Landlord at least five (5) business days’ prior to commencing such work, provided that Construction Documents shall not be required with respect to Tenant Work which is of a purely decorative or cosmetic nature (e.g., painting, carpeting) provided no building permit is required. Whether or not Landlord’s approval is required, Tenant shall neither propose nor effect any Tenant Work that in Landlord’s reasonable judgment (i) adversely affects any structural component of the Building, (ii) would be incompatible with the Core Building Systems, (iii) affects the exterior or the exterior appearance of the Building or common areas within or around the Building or other property than the Premises, (iv) diminishes the value of the Premises, or (v) requires any unusual expense to readapt the Premises. Prior to commencing any Tenant Work affecting air disbursement from ventilation systems serving Tenant or the Building, including, without limitation, the installation of Tenant’s exhaust systems, Tenant shall provide Landlord with a third party report from a consultant, and in a form, reasonably acceptable to Landlord, showing that such work will not adversely affect the ventilation systems of the Building (or of any other tenant in the Building) and shall, upon completion of such work, provide Landlord with a certification reasonably satisfactory to Landlord from such consultant confirming that no such adverse effects have resulted from such work. If, as a result of any Tenant Work, Landlord is obligated to comply with any Legal Requirement, including, but not limited to, the Americans With Disabilities Act, and such compliance requires Landlord to make any improvement or alteration to any portion of the Property, as a condition to Landlord’s consent, Landlord shall have the right to require Tenant to pay to Landlord prior to the construction of any improvement or alteration by Tenant, the entire cost of any improvement or alteration Landlord is obligated to complete by such law or regulation.</w:t>
      </w:r>
    </w:p>
    <w:p>
      <w:pPr>
        <w:spacing w:after="0" w:line="184" w:lineRule="exact"/>
        <w:rPr>
          <w:sz w:val="20"/>
          <w:szCs w:val="20"/>
          <w:color w:val="auto"/>
        </w:rPr>
      </w:pPr>
    </w:p>
    <w:p>
      <w:pPr>
        <w:ind w:right="40" w:firstLine="424"/>
        <w:spacing w:after="0" w:line="260" w:lineRule="auto"/>
        <w:tabs>
          <w:tab w:leader="none" w:pos="672"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Construction Documents</w:t>
      </w:r>
      <w:r>
        <w:rPr>
          <w:rFonts w:ascii="Arial" w:cs="Arial" w:eastAsia="Arial" w:hAnsi="Arial"/>
          <w:sz w:val="17"/>
          <w:szCs w:val="17"/>
          <w:color w:val="auto"/>
        </w:rPr>
        <w:t>. No Tenant Work shall be effected except in accordance with complete, coordinated construction drawings and specifications (“</w:t>
      </w:r>
      <w:r>
        <w:rPr>
          <w:rFonts w:ascii="Arial" w:cs="Arial" w:eastAsia="Arial" w:hAnsi="Arial"/>
          <w:sz w:val="17"/>
          <w:szCs w:val="17"/>
          <w:u w:val="single" w:color="auto"/>
          <w:color w:val="auto"/>
        </w:rPr>
        <w:t>Construction Documents</w:t>
      </w:r>
      <w:r>
        <w:rPr>
          <w:rFonts w:ascii="Arial" w:cs="Arial" w:eastAsia="Arial" w:hAnsi="Arial"/>
          <w:sz w:val="17"/>
          <w:szCs w:val="17"/>
          <w:color w:val="auto"/>
        </w:rPr>
        <w:t xml:space="preserve">”) prepared in accordance with </w:t>
      </w:r>
      <w:r>
        <w:rPr>
          <w:rFonts w:ascii="Arial" w:cs="Arial" w:eastAsia="Arial" w:hAnsi="Arial"/>
          <w:sz w:val="17"/>
          <w:szCs w:val="17"/>
          <w:u w:val="single" w:color="auto"/>
          <w:color w:val="auto"/>
        </w:rPr>
        <w:t>Exhibit F</w:t>
      </w:r>
      <w:r>
        <w:rPr>
          <w:rFonts w:ascii="Arial" w:cs="Arial" w:eastAsia="Arial" w:hAnsi="Arial"/>
          <w:sz w:val="17"/>
          <w:szCs w:val="17"/>
          <w:color w:val="auto"/>
        </w:rPr>
        <w:t>. Before commencing any Tenant Work requiring Landlord’s approval hereunder, Tenant shall obtain Landlord’s prior written approval of the Construction Documents for such work, which approval shall not be unreasonably withheld or delayed. The Construction Documents shall be prepared by an architect (“</w:t>
      </w:r>
      <w:r>
        <w:rPr>
          <w:rFonts w:ascii="Arial" w:cs="Arial" w:eastAsia="Arial" w:hAnsi="Arial"/>
          <w:sz w:val="17"/>
          <w:szCs w:val="17"/>
          <w:u w:val="single" w:color="auto"/>
          <w:color w:val="auto"/>
        </w:rPr>
        <w:t>Tenant’s Architect</w:t>
      </w:r>
      <w:r>
        <w:rPr>
          <w:rFonts w:ascii="Arial" w:cs="Arial" w:eastAsia="Arial" w:hAnsi="Arial"/>
          <w:sz w:val="17"/>
          <w:szCs w:val="17"/>
          <w:color w:val="auto"/>
        </w:rPr>
        <w:t>”) registered in the Commonwealth of Massachusetts experienced in the construction of tenant space improvements in comparable buildings in the area where the Premises are located and, if the value of such Tenant Work will equal or exceed the Tenant Work Threshold Amount or will affect any Core Building Systems or structural components of the Building, the identity of such Architect shall be approved by Landlord in advance, such approval not to be unreasonably withheld in the case of interior, non-structural Tenant Work. Tenant shall be solely responsible for the liabilities associated with and expenses of all architectural and engineering services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20"/>
          </w:cols>
          <w:pgMar w:left="620" w:top="270" w:right="659" w:bottom="1440" w:gutter="0" w:footer="0" w:header="0"/>
        </w:sectPr>
      </w:pPr>
    </w:p>
    <w:bookmarkStart w:id="423" w:name="page424"/>
    <w:bookmarkEnd w:id="423"/>
    <w:p>
      <w:pPr>
        <w:ind w:left="2" w:right="1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relating to Tenant Work and for the adequacy, accuracy, and completeness of the Construction Documents even if approved by Landlord (and even if Tenant’s Architect has been otherwise engaged by Landlord in connection with the Building). The Construction Documents shall set forth in detail the requirements for construction of the Tenant Work and shall show all work necessary to complete the Tenant Work including all cutting, fitting, and patching and all connections to the mechanical, electrical, and plumbing systems and components of the Building. Submission of the Construction Documents to Landlord for approval shall be deemed a warranty by Tenant that all Tenant Work described in the Construction Documents (i) complies with all applicable laws, regulations, building codes, and highest design standards, (ii) does not adversely affect any structural component of the Building, (iii) is compatible with and does not adversely affect the Core Building Systems, (iv) does not affect any property other than the Premises,</w:t>
      </w:r>
    </w:p>
    <w:p>
      <w:pPr>
        <w:ind w:left="2" w:right="40" w:hanging="2"/>
        <w:spacing w:after="0" w:line="259" w:lineRule="auto"/>
        <w:tabs>
          <w:tab w:leader="none" w:pos="24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conforms to floor loading limits specified by Landlord, and (vi) with respect to all materials, equipment and special designs, processes or products, does not infringe on any patent or other proprietary rights of others. The Construction Documents shall comply with Landlord’s requirements for the uniform exterior appearance of the Building, including, without limitation, the use of Building standard window blinds and Building standard light fixtures within fifteen (15) feet of each exterior window. Landlord’s approval of Construction Documents shall signify only Landlord’s consent to the Tenant Work shown and shall not result in any responsibility or warranty of Landlord concerning compliance of the Tenant Work with laws, regulations, or codes, or coordination or compatibility with any component or system of the Building, or the feasibility of constructing the Tenant Work without damage or harm to the Building, all of which shall be the sole responsibility of Tenant.</w:t>
      </w:r>
    </w:p>
    <w:p>
      <w:pPr>
        <w:spacing w:after="0" w:line="182" w:lineRule="exact"/>
        <w:rPr>
          <w:sz w:val="20"/>
          <w:szCs w:val="20"/>
          <w:color w:val="auto"/>
        </w:rPr>
      </w:pPr>
    </w:p>
    <w:p>
      <w:pPr>
        <w:ind w:left="422"/>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Performance</w:t>
      </w:r>
      <w:r>
        <w:rPr>
          <w:rFonts w:ascii="Arial" w:cs="Arial" w:eastAsia="Arial" w:hAnsi="Arial"/>
          <w:sz w:val="16"/>
          <w:szCs w:val="16"/>
          <w:color w:val="auto"/>
        </w:rPr>
        <w:t>. The identity of any person or entity (including any employee or agent of Tenant) performing or designing any Tenant Work</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 Contractor</w:t>
      </w:r>
      <w:r>
        <w:rPr>
          <w:rFonts w:ascii="Arial" w:cs="Arial" w:eastAsia="Arial" w:hAnsi="Arial"/>
          <w:sz w:val="16"/>
          <w:szCs w:val="16"/>
          <w:color w:val="auto"/>
        </w:rPr>
        <w:t>”) shall, if the cost of such work in any instance is in excess of the Tenant Work Threshold Amount or will affect any Core Building</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Systems or structural components of the Building or involves any work other than interior, nonstructural alterations, be approved in advance by</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Landlord, such approval not to be unreasonably withheld. Once any Tenant Contractor has been approved, then the same Tenant Contractor may</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thereafter be used by Tenant for the same type of work until Landlord notifies Tenant that such Tenant Contractor is no longer approved. Tenant shall</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procure at Tenant’s expense all necessary permits and licenses before undertaking any Tenant Work but shall not take any plans for Tenant Work to the</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municipal inspection services or fire departments, without on each occasion obtaining Landlord’s prior written consent. Tenant shall perform all Tenant</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 xml:space="preserve">Work at Tenant’s risk in compliance with all applicable laws and the rules and regulations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as the same may be amended by</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Landlord from time to time and in a good and workmanlike manner employing new materials of good quality and producing a result at least equal in</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quality to the other parts of the Premises. When any Tenant Work is in progress, Tenant shall cause to be maintained insurance as described in the Tenant</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 xml:space="preserve">Work Insurance Schedule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such other insurance as may be required under this Lease or reasonably required by Landlord</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covering any additional hazards due to such Tenant Work, and, if the cost of such Tenant Work exceeds the Tenant Work Threshold Amount also such</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bonds or other assurances of satisfactory completion and payment as Landlord may reasonably require, in each case for the benefit of Landlord. If the</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5"/>
          <w:szCs w:val="15"/>
          <w:color w:val="auto"/>
        </w:rPr>
        <w:t>Tenant Work in any instance requires Landlord’s approval hereunder, Tenant shall reimburse Landlord for its reasonable costs of reviewing the proposed</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Tenant Work and inspecting installation of the same. At all times while performing Tenant Work, Tenant shall require any Tenant Contractor to comply</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7"/>
          <w:szCs w:val="17"/>
          <w:color w:val="auto"/>
        </w:rPr>
        <w:t>with all</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42"/>
          </w:cols>
          <w:pgMar w:left="618" w:top="270" w:right="639" w:bottom="1440" w:gutter="0" w:footer="0" w:header="0"/>
        </w:sectPr>
      </w:pPr>
    </w:p>
    <w:bookmarkStart w:id="424" w:name="page425"/>
    <w:bookmarkEnd w:id="424"/>
    <w:p>
      <w:pPr>
        <w:ind w:right="6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applicable laws, regulations, permits and Landlord’s rules and regulations relating to such work, including, without limitation, use of loading areas, elevators and lobbies. Landlord shall have the right to stop any work not being performed in conformance with this Lease, and, at its option, may repair or remove non-conforming work at the expense of Tenant. Each Tenant Contractor working on the roof of the Building shall coordinate with Landlord’s roofing contractor, shall comply with its requirements and shall not violate existing roof warranties. Each Tenant Contractor shall work on the Premises without causing labor disharmony, coordination difficulties, or delay to or impairing of any guaranties, warranties or the work of any other contractor. Tenant shall obtain from each Tenant Contractor, prior to entry into the Building, an agreement to indemnify and hold the Indemnitees harmless from any claim, loss or expense arising in whole or in part out of any act or neglect committed by or under such person while on or about the Premises or Building to the same extent as Tenant has so agreed in this Lease, the indemnities of Tenant and Tenant Contractor being joint and several.</w:t>
      </w:r>
    </w:p>
    <w:p>
      <w:pPr>
        <w:spacing w:after="0" w:line="155" w:lineRule="exact"/>
        <w:rPr>
          <w:sz w:val="20"/>
          <w:szCs w:val="20"/>
          <w:color w:val="auto"/>
        </w:rPr>
      </w:pPr>
    </w:p>
    <w:p>
      <w:pPr>
        <w:ind w:firstLine="424"/>
        <w:spacing w:after="0" w:line="272" w:lineRule="auto"/>
        <w:tabs>
          <w:tab w:leader="none" w:pos="672"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Tenant shall pay the entire cost of all Tenant Work so that the Premises, including Tenant’s leasehold, shall always be free of liens for labor or materials. If any such lien is filed that is claimed to be attributable to Tenant or persons acting under Tenant, then Tenant shall promptly (and always within thirty (30) days of Tenant’s notice of filing thereof) discharge the same.</w:t>
      </w:r>
    </w:p>
    <w:p>
      <w:pPr>
        <w:spacing w:after="0" w:line="170" w:lineRule="exact"/>
        <w:rPr>
          <w:rFonts w:ascii="Arial" w:cs="Arial" w:eastAsia="Arial" w:hAnsi="Arial"/>
          <w:sz w:val="17"/>
          <w:szCs w:val="17"/>
          <w:color w:val="auto"/>
        </w:rPr>
      </w:pPr>
    </w:p>
    <w:p>
      <w:pPr>
        <w:ind w:left="660" w:hanging="2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right="40" w:firstLine="957"/>
        <w:spacing w:after="0" w:line="276" w:lineRule="auto"/>
        <w:tabs>
          <w:tab w:leader="none" w:pos="1166"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Tenant must schedule and coordinate all aspects of work with the Building manager and Building engineer and shall make prior arrangements for elevator use with the Building manager. If an operating engineer is required by any union regulations, Tenant shall pay for such engineer. If shutdown of risers and mains for electrical, mechanical and plumbing work is required, such work shall be supervised by Landlord’s representative at Tenant’s cost. If special security arrangements must be made (e.g., in connection with work outside normal business hours), Tenant Contractor shall pay the actual cost of such security. No work shall be performed in Building mechanical or electrical equipment rooms without Landlord’s approval, which approval shall not be unreasonably withheld or delayed, and all such work shall be performed under Landlord’s supervision. Except in case of emergency, at least forty-eight (48) hours’ prior notice must be given to the Building management office prior to the shutdown of fire, sprinkler and other alarm systems, and in case of emergency, prompt notice shall be given. In the event that such work unintentionally alerts the Fire or Police Department or any private alarm monitoring company through an alarm signal, Tenant shall be liable for any fees or charges levied in connection with such alarm. Tenant shall pay to Landlord such charges as may from time to time be in effect with respect to any such shutdown. All demolition, installations, removals or other work that is reasonably likely to inconvenience other tenants or disturb Building operations must be scheduled with the Building manager at least twenty-four (24) hours in advance.</w:t>
      </w:r>
    </w:p>
    <w:p>
      <w:pPr>
        <w:spacing w:after="0" w:line="176" w:lineRule="exact"/>
        <w:rPr>
          <w:rFonts w:ascii="Arial" w:cs="Arial" w:eastAsia="Arial" w:hAnsi="Arial"/>
          <w:sz w:val="16"/>
          <w:szCs w:val="16"/>
          <w:color w:val="auto"/>
        </w:rPr>
      </w:pPr>
    </w:p>
    <w:p>
      <w:pPr>
        <w:ind w:right="120" w:firstLine="957"/>
        <w:spacing w:after="0" w:line="284" w:lineRule="auto"/>
        <w:tabs>
          <w:tab w:leader="none" w:pos="121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Tenant shall take all necessary and appropriate steps to ensure that any work carried out by or on behalf of Tenant is done in a manner so as to not interfere with any other tenants or occupants of the Building. Installations within the Premises (and elsewhere where Tenant is permitted to make installations) shall not interfere with existing services and shall be installed so as not to unreasonably interfere with subsequent installation of ceilings or services for other tenants. Redundant electrical, control and alarm systems and mechanical equipment and sheet metal used or placed on the Property during construction and not maintained as part of Tenant’s use of the Premises must be removed as part of the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40"/>
          </w:cols>
          <w:pgMar w:left="620" w:top="270" w:right="639" w:bottom="1440" w:gutter="0" w:footer="0" w:header="0"/>
        </w:sectPr>
      </w:pPr>
    </w:p>
    <w:bookmarkStart w:id="425" w:name="page426"/>
    <w:bookmarkEnd w:id="425"/>
    <w:p>
      <w:pPr>
        <w:ind w:firstLine="957"/>
        <w:spacing w:after="0" w:line="282" w:lineRule="auto"/>
        <w:tabs>
          <w:tab w:leader="none" w:pos="1263" w:val="left"/>
        </w:tabs>
        <w:numPr>
          <w:ilvl w:val="0"/>
          <w:numId w:val="3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Tenant Contractor shall take all reasonable steps to assure that any work is carried out without disruption from labor disputes arising from whatever cause, including disputes concerning union jurisdiction and the affiliation of workers employed by said Tenant Contractor or its subcontractors. Tenant shall be responsible for, and shall reimburse Landlord for, all actual costs and expenses, including reasonable attorneys’ fees incurred by Landlord in connection with the breach by any Tenant Contractor of such obligations. If Tenant does not promptly resolve any labor dispute caused by or relating to any Tenant Contractor, Landlord may in its sole discretion request that Tenant remove such Tenant Contractor from the Property, and if such Tenant Contractor is not promptly removed, Landlord may prohibit such Tenant Contractor from entering the Property.</w:t>
      </w:r>
    </w:p>
    <w:p>
      <w:pPr>
        <w:spacing w:after="0" w:line="164" w:lineRule="exact"/>
        <w:rPr>
          <w:rFonts w:ascii="Arial" w:cs="Arial" w:eastAsia="Arial" w:hAnsi="Arial"/>
          <w:sz w:val="16"/>
          <w:szCs w:val="16"/>
          <w:color w:val="auto"/>
        </w:rPr>
      </w:pPr>
    </w:p>
    <w:p>
      <w:pPr>
        <w:ind w:right="400" w:firstLine="957"/>
        <w:spacing w:after="0" w:line="272" w:lineRule="auto"/>
        <w:tabs>
          <w:tab w:leader="none" w:pos="1253"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Tenant shall diligently pursue and complete all Tenant Work and upon completion thereof, Tenant shall give to Landlord (x) a permanent certificate of occupancy (if one is legally required) and any other final governmental approvals required for such work, (y) copies of “as built” plans and all construction contracts and (z) proof of payment for all labor and materials.</w:t>
      </w:r>
    </w:p>
    <w:p>
      <w:pPr>
        <w:spacing w:after="0" w:line="165" w:lineRule="exact"/>
        <w:rPr>
          <w:sz w:val="20"/>
          <w:szCs w:val="20"/>
          <w:color w:val="auto"/>
        </w:rPr>
      </w:pPr>
    </w:p>
    <w:p>
      <w:pPr>
        <w:ind w:right="40" w:firstLine="426"/>
        <w:spacing w:after="0" w:line="295" w:lineRule="auto"/>
        <w:rPr>
          <w:sz w:val="20"/>
          <w:szCs w:val="20"/>
          <w:color w:val="auto"/>
        </w:rPr>
      </w:pPr>
      <w:r>
        <w:rPr>
          <w:rFonts w:ascii="Arial" w:cs="Arial" w:eastAsia="Arial" w:hAnsi="Arial"/>
          <w:sz w:val="15"/>
          <w:szCs w:val="15"/>
          <w:b w:val="1"/>
          <w:bCs w:val="1"/>
          <w:color w:val="auto"/>
        </w:rPr>
        <w:t>10.06 Condition upon Termination</w:t>
      </w:r>
      <w:r>
        <w:rPr>
          <w:rFonts w:ascii="Arial" w:cs="Arial" w:eastAsia="Arial" w:hAnsi="Arial"/>
          <w:sz w:val="15"/>
          <w:szCs w:val="15"/>
          <w:color w:val="auto"/>
        </w:rPr>
        <w:t>. At the expiration or earlier termination of the Term, Tenant (and all persons claiming through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the necessity of notice, deliver the Premises (including all Initial Tenant Improvements and Tenant Work, and all replacements thereof, except such additions, alterations, Initial Tenant Improvements and other Tenant Work as the Landlord may direct to be removed at the time the Landlord approves the plans thereof, or, in the case of Tenant Work not subject to Landlord approval, at the time of expiration or earlier termination of the Term) broom-clean, in compliance with the requirements of Section 10.07 and in good and tenantable condition, reasonable wear and tear, and damage by casualty or taking (to the extent provided in Article 12 only) excepted. (For purposes of the foregoing sentence, the term “reasonable wear and tear” constitutes that normal, gradual deterioration that occurs due to aging and ordinary use despite reasonable and timely maintenance and repairs; in no event shall “reasonable wear and tear” excuse Tenant from its duty to maintain same in good condition and repair and otherwise serviceable.) The Premises shall be surrendered to Landlord free and clear of any mechanic’s liens (or any similar lien related to labor or materials) filed against any part of the Premises and free and clear of any financing or other encumbrance on any equipment and/or Initial Tenant Improvements or Tenant Work to be surrendered with the Premises. As part of such delivery, Tenant shall also provide all keys (or lock combinations, codes or electronic passes) to the Premises to Landlord; remove all signs wherever located; and, except as provided in this Section 10.06, remove all Tenant Property whether or not bolted or otherwise attached. As used herein, “</w:t>
      </w:r>
      <w:r>
        <w:rPr>
          <w:rFonts w:ascii="Arial" w:cs="Arial" w:eastAsia="Arial" w:hAnsi="Arial"/>
          <w:sz w:val="15"/>
          <w:szCs w:val="15"/>
          <w:u w:val="single" w:color="auto"/>
          <w:color w:val="auto"/>
        </w:rPr>
        <w:t>Tenant Property</w:t>
      </w:r>
      <w:r>
        <w:rPr>
          <w:rFonts w:ascii="Arial" w:cs="Arial" w:eastAsia="Arial" w:hAnsi="Arial"/>
          <w:sz w:val="15"/>
          <w:szCs w:val="15"/>
          <w:color w:val="auto"/>
        </w:rPr>
        <w:t>” shall mean all trade fixtures, furnishings, equipment inventory, cabling and other personal property owned by Tenant or any person acting under Tenant at the Premises. Tenant shall repair all damage that results from such removal and restore the Premises substantially to a fully functional and tenantable condition (including the filling of all floor and wall holes, the removal of all disconnected wiring back to junction boxes and the replacement of all damaged ceiling tiles). Any property not so removed shall be deemed abandoned, shall at once become the property of Landlord, and may be disposed of in such manner as Landlord shall see fit; and Tenant shall pay the cost of removal and disposal to Landlord upon demand. The covenants of this Section shall survive the expiration or earlier termination of the Term.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40"/>
          </w:cols>
          <w:pgMar w:left="620" w:top="270" w:right="639" w:bottom="1440" w:gutter="0" w:footer="0" w:header="0"/>
        </w:sectPr>
      </w:pPr>
    </w:p>
    <w:bookmarkStart w:id="426" w:name="page427"/>
    <w:bookmarkEnd w:id="426"/>
    <w:p>
      <w:pPr>
        <w:ind w:firstLine="426"/>
        <w:spacing w:after="0" w:line="27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10.07 Decommissioning of the Premises</w:t>
      </w:r>
      <w:r>
        <w:rPr>
          <w:rFonts w:ascii="Arial" w:cs="Arial" w:eastAsia="Arial" w:hAnsi="Arial"/>
          <w:sz w:val="16"/>
          <w:szCs w:val="16"/>
          <w:color w:val="auto"/>
        </w:rPr>
        <w:t>. Prior to the expiration of this Lease (or within thirty (30) days after any earlier termination),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clean and otherwise decommission all interior surfaces (including floors, walls, ceilings, and counters), piping, supply lines, waste lines and plumbing in and/or exclusively serving the Premises, and all exhaust or other ductwork in and/or exclusively serving the Premises, in each case which has carried or released or been exposed to any Environmental Substances, and shall otherwise clean the Premises so as to permit the report hereinafter called for by this Section 10.07 to be issued. Prior to the expiration of this Lease (or within thirty (30) days after any earlier termination), Tenant, at Tenant’s expense, shall obtain for Landlord a report addressed to Landlord and Landlord’s designees (and, at Tenant’s election, Tenant) by a reputable licensed environmental engineer or industrial hygienist that is designated by Tenant and acceptable to Landlord in Landlord’s reasonable discretion, which report shall be based on the environmental engineer’s or industrial hygienist’s inspection of the Premises and shall show: that the Environmental Substances, to the extent, if any, existing prior to such decommissioning, have been removed as necessary so that the interior surfaces of the Premises (including floors, walls, ceilings, and counters), piping, supply lines, waste lines and plumbing, and all such exhaust or other ductwork in and/or exclusively serving the Premises, may be reused by a subsequent tenant or disposed of in compliance with applicable Environmental Laws (as defined in Section 9.04 hereof) without taking any special precautions for Environmental Substances, without incurring special costs or undertaking special procedures for demolition, disposal, investigation, assessment, cleaning or removal of Environmental Substances and without incurring regulatory compliance requirements or giving notice in connection with Environmental Substances; and that the Premises may be reoccupied for office or laboratory use, demolished or renovated without taking any special precautions for Environmental Substances, without incurring special costs or undertaking special procedures for disposal, investigation, assessment, cleaning or removal of Environmental Substances and without incurring regulatory requirements or giving notice in connection with Environmental Substances.</w:t>
      </w:r>
    </w:p>
    <w:p>
      <w:pPr>
        <w:spacing w:after="0" w:line="182" w:lineRule="exact"/>
        <w:rPr>
          <w:sz w:val="20"/>
          <w:szCs w:val="20"/>
          <w:color w:val="auto"/>
        </w:rPr>
      </w:pPr>
    </w:p>
    <w:p>
      <w:pPr>
        <w:ind w:right="60" w:firstLine="426"/>
        <w:spacing w:after="0" w:line="304" w:lineRule="auto"/>
        <w:rPr>
          <w:sz w:val="20"/>
          <w:szCs w:val="20"/>
          <w:color w:val="auto"/>
        </w:rPr>
      </w:pPr>
      <w:r>
        <w:rPr>
          <w:rFonts w:ascii="Arial" w:cs="Arial" w:eastAsia="Arial" w:hAnsi="Arial"/>
          <w:sz w:val="15"/>
          <w:szCs w:val="15"/>
          <w:color w:val="auto"/>
        </w:rPr>
        <w:t>Further, for purposes of this Section: “</w:t>
      </w:r>
      <w:r>
        <w:rPr>
          <w:rFonts w:ascii="Arial" w:cs="Arial" w:eastAsia="Arial" w:hAnsi="Arial"/>
          <w:sz w:val="15"/>
          <w:szCs w:val="15"/>
          <w:u w:val="single" w:color="auto"/>
          <w:color w:val="auto"/>
        </w:rPr>
        <w:t>special costs</w:t>
      </w:r>
      <w:r>
        <w:rPr>
          <w:rFonts w:ascii="Arial" w:cs="Arial" w:eastAsia="Arial" w:hAnsi="Arial"/>
          <w:sz w:val="15"/>
          <w:szCs w:val="15"/>
          <w:color w:val="auto"/>
        </w:rPr>
        <w:t>” or “</w:t>
      </w:r>
      <w:r>
        <w:rPr>
          <w:rFonts w:ascii="Arial" w:cs="Arial" w:eastAsia="Arial" w:hAnsi="Arial"/>
          <w:sz w:val="15"/>
          <w:szCs w:val="15"/>
          <w:u w:val="single" w:color="auto"/>
          <w:color w:val="auto"/>
        </w:rPr>
        <w:t>special procedures</w:t>
      </w:r>
      <w:r>
        <w:rPr>
          <w:rFonts w:ascii="Arial" w:cs="Arial" w:eastAsia="Arial" w:hAnsi="Arial"/>
          <w:sz w:val="15"/>
          <w:szCs w:val="15"/>
          <w:color w:val="auto"/>
        </w:rPr>
        <w:t>” shall mean costs or procedures, as the case may be, that would not be incurred but for the nature of the Environmental Substances as Environmental Substances instead of non-hazardous materials. The report shall include reasonable detail concerning the clean-up location, the tests run and the analytic results. If Tenant fails to perform its obligations under this Section, without limiting any other right or remedy, Landlord may, on five (5) business days’ prior written notice to Tenant perform such obligations at Tenant’s expense, and Tenant shall promptly reimburse Landlord upon demand for all costs and expenses reasonably incurred together with an Administrative Charge, as defined in Section 14.02(f). Tenant’s obligations under this Section shall survive the expiration or earlier termination of this Lease.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40"/>
          </w:cols>
          <w:pgMar w:left="620" w:top="264" w:right="639" w:bottom="1440" w:gutter="0" w:footer="0" w:header="0"/>
        </w:sectPr>
      </w:pPr>
    </w:p>
    <w:bookmarkStart w:id="427" w:name="page428"/>
    <w:bookmarkEnd w:id="4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11: INITIAL TENANT IMPROVEMENTS</w:t>
      </w:r>
    </w:p>
    <w:p>
      <w:pPr>
        <w:spacing w:after="0" w:line="118" w:lineRule="exact"/>
        <w:rPr>
          <w:sz w:val="20"/>
          <w:szCs w:val="20"/>
          <w:color w:val="auto"/>
        </w:rPr>
      </w:pPr>
    </w:p>
    <w:p>
      <w:pPr>
        <w:ind w:right="40" w:firstLine="426"/>
        <w:spacing w:after="0" w:line="280" w:lineRule="auto"/>
        <w:rPr>
          <w:sz w:val="20"/>
          <w:szCs w:val="20"/>
          <w:color w:val="auto"/>
        </w:rPr>
      </w:pPr>
      <w:r>
        <w:rPr>
          <w:rFonts w:ascii="Arial" w:cs="Arial" w:eastAsia="Arial" w:hAnsi="Arial"/>
          <w:sz w:val="16"/>
          <w:szCs w:val="16"/>
          <w:b w:val="1"/>
          <w:bCs w:val="1"/>
          <w:color w:val="auto"/>
        </w:rPr>
        <w:t xml:space="preserve">11.01 </w:t>
      </w:r>
      <w:r>
        <w:rPr>
          <w:rFonts w:ascii="Arial" w:cs="Arial" w:eastAsia="Arial" w:hAnsi="Arial"/>
          <w:sz w:val="16"/>
          <w:szCs w:val="16"/>
          <w:color w:val="auto"/>
        </w:rPr>
        <w:t>Tenant has provided Landlord with all necessary information regarding Tenant’s space planning needs in connection with its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Based upon such information supplied by Tenant, space plans and specifications have been prepared (the “</w:t>
      </w:r>
      <w:r>
        <w:rPr>
          <w:rFonts w:ascii="Arial" w:cs="Arial" w:eastAsia="Arial" w:hAnsi="Arial"/>
          <w:sz w:val="16"/>
          <w:szCs w:val="16"/>
          <w:u w:val="single" w:color="auto"/>
          <w:color w:val="auto"/>
        </w:rPr>
        <w:t>Plans and Specifications</w:t>
      </w:r>
      <w:r>
        <w:rPr>
          <w:rFonts w:ascii="Arial" w:cs="Arial" w:eastAsia="Arial" w:hAnsi="Arial"/>
          <w:sz w:val="16"/>
          <w:szCs w:val="16"/>
          <w:color w:val="auto"/>
        </w:rPr>
        <w:t>”) for the layout of Tenant’s leasehold improvements to the Premises (“</w:t>
      </w:r>
      <w:r>
        <w:rPr>
          <w:rFonts w:ascii="Arial" w:cs="Arial" w:eastAsia="Arial" w:hAnsi="Arial"/>
          <w:sz w:val="16"/>
          <w:szCs w:val="16"/>
          <w:u w:val="single" w:color="auto"/>
          <w:color w:val="auto"/>
        </w:rPr>
        <w:t>Initial Tenant Improvements</w:t>
      </w:r>
      <w:r>
        <w:rPr>
          <w:rFonts w:ascii="Arial" w:cs="Arial" w:eastAsia="Arial" w:hAnsi="Arial"/>
          <w:sz w:val="16"/>
          <w:szCs w:val="16"/>
          <w:color w:val="auto"/>
        </w:rPr>
        <w:t xml:space="preserve">”). The Initial Tenant Improvements shall not include Tenant’s furniture, trade fixtures, equipment and personal property and are limited to the fit-up construction, as generally laid out and specified on the Plans and Specifications. Tenant acknowledges that the Initial Tenant Improvements, except as expressly provided in the Plans and Specifications, will be designed and constructed at Landlord’s sole cost and expense (except as otherwise provided herein), in compliance with all applicable law and to the general quality of the design and construction of the Building and in accordance with Landlord’s building standards for the Building. Tenant has approved and agreed to the Plans and Specifications. The Plans and Specifications are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63" w:lineRule="exact"/>
        <w:rPr>
          <w:sz w:val="20"/>
          <w:szCs w:val="20"/>
          <w:color w:val="auto"/>
        </w:rPr>
      </w:pPr>
    </w:p>
    <w:p>
      <w:pPr>
        <w:ind w:right="120" w:firstLine="426"/>
        <w:spacing w:after="0" w:line="315" w:lineRule="auto"/>
        <w:rPr>
          <w:sz w:val="20"/>
          <w:szCs w:val="20"/>
          <w:color w:val="auto"/>
        </w:rPr>
      </w:pPr>
      <w:r>
        <w:rPr>
          <w:rFonts w:ascii="Arial" w:cs="Arial" w:eastAsia="Arial" w:hAnsi="Arial"/>
          <w:sz w:val="15"/>
          <w:szCs w:val="15"/>
          <w:b w:val="1"/>
          <w:bCs w:val="1"/>
          <w:color w:val="auto"/>
        </w:rPr>
        <w:t xml:space="preserve">11.02 </w:t>
      </w:r>
      <w:r>
        <w:rPr>
          <w:rFonts w:ascii="Arial" w:cs="Arial" w:eastAsia="Arial" w:hAnsi="Arial"/>
          <w:sz w:val="15"/>
          <w:szCs w:val="15"/>
          <w:color w:val="auto"/>
        </w:rPr>
        <w:t>Tenant agrees that Landlord shall have no obligation to make any changes to the Plans and Specifications requested by Tenant, 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however, to the extent Landlord agrees to any such changes, Tenant agrees that any additional cost resulting from such approved changes shall be the responsibility of Tenant and shall be paid in full by Tenant to Landlord within ten (10) business days of billing therefor by Landlord; and Tenant agrees that if any such changes do result in delay in Substantial Completion, same shall be deemed a Tenant Delay (as defined below).</w:t>
      </w:r>
    </w:p>
    <w:p>
      <w:pPr>
        <w:spacing w:after="0" w:line="139" w:lineRule="exact"/>
        <w:rPr>
          <w:sz w:val="20"/>
          <w:szCs w:val="20"/>
          <w:color w:val="auto"/>
        </w:rPr>
      </w:pPr>
    </w:p>
    <w:p>
      <w:pPr>
        <w:ind w:firstLine="426"/>
        <w:spacing w:after="0" w:line="277" w:lineRule="auto"/>
        <w:rPr>
          <w:sz w:val="20"/>
          <w:szCs w:val="20"/>
          <w:color w:val="auto"/>
        </w:rPr>
      </w:pPr>
      <w:r>
        <w:rPr>
          <w:rFonts w:ascii="Arial" w:cs="Arial" w:eastAsia="Arial" w:hAnsi="Arial"/>
          <w:sz w:val="16"/>
          <w:szCs w:val="16"/>
          <w:b w:val="1"/>
          <w:bCs w:val="1"/>
          <w:color w:val="auto"/>
        </w:rPr>
        <w:t xml:space="preserve">11.03 </w:t>
      </w:r>
      <w:r>
        <w:rPr>
          <w:rFonts w:ascii="Arial" w:cs="Arial" w:eastAsia="Arial" w:hAnsi="Arial"/>
          <w:sz w:val="16"/>
          <w:szCs w:val="16"/>
          <w:color w:val="auto"/>
        </w:rPr>
        <w:t>Landlord shall proceed, using reasonable efforts, to obtain all necessary permits and approvals for the construction of the Initial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to engage a contractor or construction manager to perform or supervise the construction and to proceed to construct the Initial Tenant Improvements in substantial conformance with the Plans and Specifications. Landlord reserves the right to make changes and substitutions to the Plans and Specifications in connection with the construction of the Initial Tenant Improvements, provided (i) same do not materially adversely modify the Plans and Specifications; and (ii) such changes and substitutions will not adversely affect Tenant’s operations in the Premises. Landlord hereby agrees to notify Tenant of such changes and substitutions before implementing the same. Landlord agrees to use reasonable efforts to Substantially Complete the Initial Tenant Improvements in a good and workmanlike manner by August 10, 2017, but in no event shall Landlord be liable to Tenant for any failure to deliver the Premises on any specified date, nor shall such failure give rise to any default or other remedies under this Lease or at law or equity; provided that in the event the Initial Tenant Improvements are not completed by October 10, 2017 (the “</w:t>
      </w:r>
      <w:r>
        <w:rPr>
          <w:rFonts w:ascii="Arial" w:cs="Arial" w:eastAsia="Arial" w:hAnsi="Arial"/>
          <w:sz w:val="16"/>
          <w:szCs w:val="16"/>
          <w:u w:val="single" w:color="auto"/>
          <w:color w:val="auto"/>
        </w:rPr>
        <w:t>Abatement Date</w:t>
      </w:r>
      <w:r>
        <w:rPr>
          <w:rFonts w:ascii="Arial" w:cs="Arial" w:eastAsia="Arial" w:hAnsi="Arial"/>
          <w:sz w:val="16"/>
          <w:szCs w:val="16"/>
          <w:color w:val="auto"/>
        </w:rPr>
        <w:t>”), and provided that such failure to complete is not due to Tenant Delay (as defined below), Tenant shall receive a rent abatement of Base Rent on a day for day basis for each day after the Abatement Date that such work has not been Substantially Completed. Except for the Initial Tenant Improvements and any repairs expressly required to be made by Landlord under this Lease, Landlord shall have no obligation to perform any work or construction to make the Premises fit for use and occupation or for Tenant’s particular purpose or to make them acceptable to Tenant.</w:t>
      </w:r>
    </w:p>
    <w:p>
      <w:pPr>
        <w:spacing w:after="0" w:line="163" w:lineRule="exact"/>
        <w:rPr>
          <w:sz w:val="20"/>
          <w:szCs w:val="20"/>
          <w:color w:val="auto"/>
        </w:rPr>
      </w:pPr>
    </w:p>
    <w:p>
      <w:pPr>
        <w:ind w:firstLine="426"/>
        <w:spacing w:after="0" w:line="269" w:lineRule="auto"/>
        <w:rPr>
          <w:sz w:val="20"/>
          <w:szCs w:val="20"/>
          <w:color w:val="auto"/>
        </w:rPr>
      </w:pPr>
      <w:r>
        <w:rPr>
          <w:rFonts w:ascii="Arial" w:cs="Arial" w:eastAsia="Arial" w:hAnsi="Arial"/>
          <w:sz w:val="17"/>
          <w:szCs w:val="17"/>
          <w:b w:val="1"/>
          <w:bCs w:val="1"/>
          <w:color w:val="auto"/>
        </w:rPr>
        <w:t xml:space="preserve">11.04 </w:t>
      </w:r>
      <w:r>
        <w:rPr>
          <w:rFonts w:ascii="Arial" w:cs="Arial" w:eastAsia="Arial" w:hAnsi="Arial"/>
          <w:sz w:val="17"/>
          <w:szCs w:val="17"/>
          <w:color w:val="auto"/>
        </w:rPr>
        <w:t>The Initial Tenant Improvements shall be deemed “</w:t>
      </w:r>
      <w:r>
        <w:rPr>
          <w:rFonts w:ascii="Arial" w:cs="Arial" w:eastAsia="Arial" w:hAnsi="Arial"/>
          <w:sz w:val="17"/>
          <w:szCs w:val="17"/>
          <w:u w:val="single" w:color="auto"/>
          <w:color w:val="auto"/>
        </w:rPr>
        <w:t>Substantially Complete</w:t>
      </w:r>
      <w:r>
        <w:rPr>
          <w:rFonts w:ascii="Arial" w:cs="Arial" w:eastAsia="Arial" w:hAnsi="Arial"/>
          <w:sz w:val="17"/>
          <w:szCs w:val="17"/>
          <w:color w:val="auto"/>
        </w:rPr>
        <w:t>” on the date (the “</w:t>
      </w:r>
      <w:r>
        <w:rPr>
          <w:rFonts w:ascii="Arial" w:cs="Arial" w:eastAsia="Arial" w:hAnsi="Arial"/>
          <w:sz w:val="17"/>
          <w:szCs w:val="17"/>
          <w:u w:val="single" w:color="auto"/>
          <w:color w:val="auto"/>
        </w:rPr>
        <w:t>Substantial Completion Date</w:t>
      </w:r>
      <w:r>
        <w:rPr>
          <w:rFonts w:ascii="Arial" w:cs="Arial" w:eastAsia="Arial" w:hAnsi="Arial"/>
          <w:sz w:val="17"/>
          <w:szCs w:val="17"/>
          <w:color w:val="auto"/>
        </w:rPr>
        <w:t>”) Tenant receives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from Landlord that Landlord has received a certificate of occupancy (temporary or permanent) or a fully-signed off building permit for the Premises issued by the Town of Lexington (the “</w:t>
      </w:r>
      <w:r>
        <w:rPr>
          <w:rFonts w:ascii="Arial" w:cs="Arial" w:eastAsia="Arial" w:hAnsi="Arial"/>
          <w:sz w:val="17"/>
          <w:szCs w:val="17"/>
          <w:u w:val="single" w:color="auto"/>
          <w:color w:val="auto"/>
        </w:rPr>
        <w:t>Certificate of Occupancy</w:t>
      </w:r>
      <w:r>
        <w:rPr>
          <w:rFonts w:ascii="Arial" w:cs="Arial" w:eastAsia="Arial" w:hAnsi="Arial"/>
          <w:sz w:val="17"/>
          <w:szCs w:val="17"/>
          <w:color w:val="auto"/>
        </w:rPr>
        <w:t>”) and a letter from Landlord’s contractor that the Initial Tenant Improvements are Substantially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640"/>
          </w:cols>
          <w:pgMar w:left="620" w:top="264" w:right="639" w:bottom="1440" w:gutter="0" w:footer="0" w:header="0"/>
        </w:sectPr>
      </w:pPr>
    </w:p>
    <w:bookmarkStart w:id="428" w:name="page429"/>
    <w:bookmarkEnd w:id="428"/>
    <w:p>
      <w:pPr>
        <w:ind w:left="2" w:right="2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Complete (subject to the Punchlist (as defined below)) and that the same may be occupied by Tenant for the Permitted Use. Landlord agrees to endeavor to keep Tenant reasonably apprised of the progress of the construction of the Initial Tenant Improvements and to give Tenant no less than fourteen</w:t>
      </w:r>
    </w:p>
    <w:p>
      <w:pPr>
        <w:ind w:left="2" w:hanging="2"/>
        <w:spacing w:after="0" w:line="274" w:lineRule="auto"/>
        <w:tabs>
          <w:tab w:leader="none" w:pos="33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days’ notice of the anticipated Substantial Completion Date. If a temporary Certificate of Occupancy is issued by the Town of Lexington, Landlord shall be responsible for obtaining a permanent Certificate of Occupancy or fully signed off building permit to the extent that is the common practice of the Town. Any of the Punchlist items that are not fully completed (of which Tenant shall give Landlord notice as provided below) on the Term Commencement Date shall thereafter be so completed with reasonable diligence by Landlord. Notwithstanding the foregoing, if any delay in the Substantial Completion of the Initial Tenant Improvements by Landlord is due to Tenant Delays (hereinafter defined), then Tenant shall be liable for Rent for each day that the Initial Tenant Improvements would have been Substantially Complete, if not for such Tenant Delays, as reasonably determined by Landlord. “</w:t>
      </w:r>
      <w:r>
        <w:rPr>
          <w:rFonts w:ascii="Arial" w:cs="Arial" w:eastAsia="Arial" w:hAnsi="Arial"/>
          <w:sz w:val="16"/>
          <w:szCs w:val="16"/>
          <w:u w:val="single" w:color="auto"/>
          <w:color w:val="auto"/>
        </w:rPr>
        <w:t>Tenant Delays</w:t>
      </w:r>
      <w:r>
        <w:rPr>
          <w:rFonts w:ascii="Arial" w:cs="Arial" w:eastAsia="Arial" w:hAnsi="Arial"/>
          <w:sz w:val="16"/>
          <w:szCs w:val="16"/>
          <w:color w:val="auto"/>
        </w:rPr>
        <w:t>” shall mean delays caused by: (i) requirements of the Plans and Specifications requested by Tenant that do not conform to Landlord’s building standards for office and lab build-out, or which contain long lead-time or non-standard items requested by Tenant; provided that Landlord has notified Tenant of such deviations upon execution of this Lease (ii) any material change in the Plans and Specifications requested by Tenant and agreed to by Landlord; (iii) any request by Tenant for a delay in the commencement or completion of the Initial Tenant Improvements for any reason; (iv) Tenant delay in finalizing and approving the design of the vivarium and value engineering of same or (v) any other act or omission of Tenant or its employees, agents or contractors which reasonably inhibits the Landlord from timely completing the Initial Tenant Improvements including, without limitation any delays caused by Tenant’s presence in the Premises prior to the Term Commencement Date. The Premises shall not be deemed to be incomplete if only minor or insubstantial details of construction, decoration or mechanical adjustments remain to be done which do not unreasonably interfere with Tenant’s occupancy of the Premises. If as a result of Tenant Delays the Premises are deemed ready for Tenant’s occupancy, pursuant to the foregoing (and the term shall have commenced by reason thereof), but the Premises are not in fact actually ready for Tenant’s occupancy, Tenant shall not (except with Landlord’s consent not to be unreasonably withheld, conditioned or delayed) be entitled to take possession of the Premises for the permitted use until the Premises are in fact actually ready for such occupancy.</w:t>
      </w:r>
    </w:p>
    <w:p>
      <w:pPr>
        <w:spacing w:after="0" w:line="169" w:lineRule="exact"/>
        <w:rPr>
          <w:sz w:val="20"/>
          <w:szCs w:val="20"/>
          <w:color w:val="auto"/>
        </w:rPr>
      </w:pPr>
    </w:p>
    <w:p>
      <w:pPr>
        <w:ind w:left="2" w:right="20" w:firstLine="426"/>
        <w:spacing w:after="0" w:line="264" w:lineRule="auto"/>
        <w:rPr>
          <w:sz w:val="20"/>
          <w:szCs w:val="20"/>
          <w:color w:val="auto"/>
        </w:rPr>
      </w:pPr>
      <w:r>
        <w:rPr>
          <w:rFonts w:ascii="Arial" w:cs="Arial" w:eastAsia="Arial" w:hAnsi="Arial"/>
          <w:sz w:val="17"/>
          <w:szCs w:val="17"/>
          <w:b w:val="1"/>
          <w:bCs w:val="1"/>
          <w:color w:val="auto"/>
        </w:rPr>
        <w:t xml:space="preserve">11.05 </w:t>
      </w:r>
      <w:r>
        <w:rPr>
          <w:rFonts w:ascii="Arial" w:cs="Arial" w:eastAsia="Arial" w:hAnsi="Arial"/>
          <w:sz w:val="17"/>
          <w:szCs w:val="17"/>
          <w:color w:val="auto"/>
        </w:rPr>
        <w:t>Within seven (7) business days after the Term Commencement Date, Landlord and Tenant shall confer and create a specific list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defects or incomplete remaining items of work with respect to the Initial Tenant Improvements (a “</w:t>
      </w:r>
      <w:r>
        <w:rPr>
          <w:rFonts w:ascii="Arial" w:cs="Arial" w:eastAsia="Arial" w:hAnsi="Arial"/>
          <w:sz w:val="17"/>
          <w:szCs w:val="17"/>
          <w:u w:val="single" w:color="auto"/>
          <w:color w:val="auto"/>
        </w:rPr>
        <w:t>Punchlist</w:t>
      </w:r>
      <w:r>
        <w:rPr>
          <w:rFonts w:ascii="Arial" w:cs="Arial" w:eastAsia="Arial" w:hAnsi="Arial"/>
          <w:sz w:val="17"/>
          <w:szCs w:val="17"/>
          <w:color w:val="auto"/>
        </w:rPr>
        <w:t>”). Except with respect to the items contained in the Punchlist and defects not readily discoverable by Tenant upon a reasonably diligent inspection and which are identified in writing to Landlord within nine (9) months after the Term Commencement Date , Tenant shall be deemed satisfied with the Initial Tenant Improvements, Landlord shall be deemed to have completed all of its obligations under this Article 11 and Tenant shall have no claim that Landlord has failed to perform in full its obligations hereunder</w:t>
      </w:r>
    </w:p>
    <w:p>
      <w:pPr>
        <w:spacing w:after="0" w:line="172"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 xml:space="preserve">11.06 </w:t>
      </w:r>
      <w:r>
        <w:rPr>
          <w:rFonts w:ascii="Arial" w:cs="Arial" w:eastAsia="Arial" w:hAnsi="Arial"/>
          <w:sz w:val="17"/>
          <w:szCs w:val="17"/>
          <w:color w:val="auto"/>
        </w:rPr>
        <w:t>Intentionally omitted.</w:t>
      </w:r>
    </w:p>
    <w:p>
      <w:pPr>
        <w:spacing w:after="0" w:line="163"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22"/>
          </w:cols>
          <w:pgMar w:left="618" w:top="270" w:right="659" w:bottom="1440" w:gutter="0" w:footer="0" w:header="0"/>
        </w:sectPr>
      </w:pPr>
    </w:p>
    <w:bookmarkStart w:id="429" w:name="page430"/>
    <w:bookmarkEnd w:id="429"/>
    <w:p>
      <w:pPr>
        <w:ind w:right="60" w:firstLine="426"/>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11.07 </w:t>
      </w:r>
      <w:r>
        <w:rPr>
          <w:rFonts w:ascii="Arial" w:cs="Arial" w:eastAsia="Arial" w:hAnsi="Arial"/>
          <w:sz w:val="16"/>
          <w:szCs w:val="16"/>
          <w:color w:val="auto"/>
        </w:rPr>
        <w:t>If Tenant occupies the Premises prior to the Term Commencement Date (which shall only be allowed upon the prior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such occupancy shall be subject to all provisions of this Lease, such occupancy shall not change the Termination Date, and Tenant shall pay rent and all other charges provided for in this Lease during the period of such occupancy. Tenant shall be liable for any damages or delays caused by Tenant’s activities at the Premises. Prior to entering the Premises, Tenant shall obtain all insurance it is required to obtain by the Lease and shall provide certificates of said insurance to Landlord; Tenant shall coordinate such entry with Landlord’s building manager, and such entry shall be made in compliance with all terms and conditions of this Lease and the rules and regulations in effect from time to time.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11.08 </w:t>
      </w:r>
      <w:r>
        <w:rPr>
          <w:rFonts w:ascii="Arial" w:cs="Arial" w:eastAsia="Arial" w:hAnsi="Arial"/>
          <w:sz w:val="17"/>
          <w:szCs w:val="17"/>
          <w:color w:val="auto"/>
        </w:rPr>
        <w:t>All components of the Initial Tenant Improvements shall be part of the Building.</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11.09 </w:t>
      </w:r>
      <w:r>
        <w:rPr>
          <w:rFonts w:ascii="Arial" w:cs="Arial" w:eastAsia="Arial" w:hAnsi="Arial"/>
          <w:sz w:val="16"/>
          <w:szCs w:val="16"/>
          <w:color w:val="auto"/>
        </w:rPr>
        <w:t>Based upon information provided by Tenant to Landlord regarding the vivarium portion of the Initial Tenant Improvements as shown on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Exhibit E</w:t>
      </w:r>
      <w:r>
        <w:rPr>
          <w:rFonts w:ascii="Arial" w:cs="Arial" w:eastAsia="Arial" w:hAnsi="Arial"/>
          <w:sz w:val="15"/>
          <w:szCs w:val="15"/>
          <w:color w:val="auto"/>
        </w:rPr>
        <w:t>, Landlord shall cause final plans and specifications for the vivarium to be prepared and submitted to Tenant for approval, which approval shall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not be unreasonably withheld or delayed and shall be deemed given if not disapproved of in writing within five (5) business days of submittal. The final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plans and specifications for the vivarium shall be attached to this Lease as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following completion. Tenant acknowledges and agrees that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estimated cost to complete the vivarium portion of the Initial Tenant Improvements based upon Tenant’s specifications as detailed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$304,900.00 (the “</w:t>
      </w:r>
      <w:r>
        <w:rPr>
          <w:rFonts w:ascii="Arial" w:cs="Arial" w:eastAsia="Arial" w:hAnsi="Arial"/>
          <w:sz w:val="16"/>
          <w:szCs w:val="16"/>
          <w:u w:val="single" w:color="auto"/>
          <w:color w:val="auto"/>
        </w:rPr>
        <w:t>Estimate</w:t>
      </w:r>
      <w:r>
        <w:rPr>
          <w:rFonts w:ascii="Arial" w:cs="Arial" w:eastAsia="Arial" w:hAnsi="Arial"/>
          <w:sz w:val="16"/>
          <w:szCs w:val="16"/>
          <w:color w:val="auto"/>
        </w:rPr>
        <w:t>”). Tenant has agreed to pay $196,864.00 towards the cost of the vivarium portion of the Initial Tenant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Improvements. Landlord acknowledges and agrees that all costs associated with the construction of the vivarium within the Premises in excess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$196,864.00 shall be Landlord’s responsibility; provided, however, that Tenant shall be responsible for any costs in excess of the Estimate due to Tenant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requested changes to the plans and specifications for the vivarium as attached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E-1</w:t>
      </w:r>
      <w:r>
        <w:rPr>
          <w:rFonts w:ascii="Arial" w:cs="Arial" w:eastAsia="Arial" w:hAnsi="Arial"/>
          <w:sz w:val="15"/>
          <w:szCs w:val="15"/>
          <w:color w:val="auto"/>
        </w:rPr>
        <w:t>. Tenant understands and agrees that changes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to the plans and specifications for the vivarium that may be needed or desired by Tenant will be subject to Landlord’s reasonable approval. Tenant may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elect to amortize, on a straight line basis, up to $196,864.00 of Tenant’s contribution to the total cost of the vivarium over the Initial Term with 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implied interest rate of 8%. Such payments shall be made with Tenant’s payment of the Monthly Installment of Base Rent and shall be considered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 rent due under this lease. The balance, if any, owed by Tenant that cannot be amortized shall be paid by Tenant to Landlord within fifteen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(15) days of when billed therefor.</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 DAMAGE OR DESTRUCTION; CONDEMNATION</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12.01 Damage or Destruction of Premises</w:t>
      </w:r>
      <w:r>
        <w:rPr>
          <w:rFonts w:ascii="Arial" w:cs="Arial" w:eastAsia="Arial" w:hAnsi="Arial"/>
          <w:sz w:val="17"/>
          <w:szCs w:val="17"/>
          <w:color w:val="auto"/>
        </w:rPr>
        <w:t>.</w:t>
      </w:r>
    </w:p>
    <w:p>
      <w:pPr>
        <w:spacing w:after="0" w:line="118" w:lineRule="exact"/>
        <w:rPr>
          <w:sz w:val="20"/>
          <w:szCs w:val="20"/>
          <w:color w:val="auto"/>
        </w:rPr>
      </w:pPr>
    </w:p>
    <w:p>
      <w:pPr>
        <w:ind w:firstLine="426"/>
        <w:spacing w:after="0" w:line="262" w:lineRule="auto"/>
        <w:rPr>
          <w:sz w:val="20"/>
          <w:szCs w:val="20"/>
          <w:color w:val="auto"/>
        </w:rPr>
      </w:pPr>
      <w:r>
        <w:rPr>
          <w:rFonts w:ascii="Arial" w:cs="Arial" w:eastAsia="Arial" w:hAnsi="Arial"/>
          <w:sz w:val="17"/>
          <w:szCs w:val="17"/>
          <w:b w:val="1"/>
          <w:bCs w:val="1"/>
          <w:color w:val="auto"/>
        </w:rPr>
        <w:t xml:space="preserve">12.01.01 </w:t>
      </w:r>
      <w:r>
        <w:rPr>
          <w:rFonts w:ascii="Arial" w:cs="Arial" w:eastAsia="Arial" w:hAnsi="Arial"/>
          <w:sz w:val="17"/>
          <w:szCs w:val="17"/>
          <w:color w:val="auto"/>
        </w:rPr>
        <w:t>If the Premises or any part thereof shall be damaged by fire or other insured casualty, then, subject to the last paragraph of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proceed with diligence, subject to then applicable statutes, building codes, zoning ordinances and regulations of any governmental authority, and at the expense of Landlord (but only to the extent of insurance proceeds made available to Landlord by any mortgagee of the Building and any ground lessor) to repair or cause to be repaired such damage (including the Initial Tenant Improvements but excluding Tenant Work, which Tenant shall promptly commence, and proceed with diligence, to restore). All such repairs made necessary by any act or omission of Tenant shall be made at the Tenant’s expense to the extent that the cost of such repairs are less than the deductible amount in Landlord’s insurance policy. All repairs to and replacements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40"/>
          </w:cols>
          <w:pgMar w:left="620" w:top="264" w:right="639" w:bottom="1440" w:gutter="0" w:footer="0" w:header="0"/>
        </w:sectPr>
      </w:pPr>
    </w:p>
    <w:bookmarkStart w:id="430" w:name="page431"/>
    <w:bookmarkEnd w:id="430"/>
    <w:p>
      <w:pPr>
        <w:ind w:left="2"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Tenant Property and any Tenant Work shall be made by and at the expense of Tenant. The cost of any repairs performed under this Section by Landlord which pursuant to this Section are to be at Tenant’s expense (including costs of design fees, financing, and charges for administration, overhead and construction management services by Landlord and Landlord’s contractor) shall constitute Additional Rent hereunder. If the Premises or any part thereof shall have been rendered unfit for use and occupation hereunder by reason of such damage, the Base Rent or a just and proportionate part thereof, according to the nature and extent to which the Premises shall have been so rendered unfit, shall be abated until the Premises (except as to Tenant Property, and any Tenant Work) shall have been restored as nearly as practicable to the condition in which they were immediately prior to such fire or other casualty, and that if and to the extent Landlord shall be unable to collect the insurance proceeds (including rent insurance proceeds) applicable to such damage because of some action or inaction on the part of Tenant, or the employees, licensees or invitees of Tenant, the cost of repairing such damage shall be paid by Tenant and there shall be no abatement of rent. Landlord shall not be liable for delays in the making of any such repairs that are due to government regulation, casualties, and strikes, unavailability of labor and materials, delays in obtaining insurance proceeds, and other causes beyond the reasonable control of Landlord, nor shall Landlord be liable for any inconvenience or annoyance to Tenant or injury to the business of Tenant resulting from delays in repairing such damage.</w:t>
      </w:r>
    </w:p>
    <w:p>
      <w:pPr>
        <w:spacing w:after="0" w:line="170" w:lineRule="exact"/>
        <w:rPr>
          <w:sz w:val="20"/>
          <w:szCs w:val="20"/>
          <w:color w:val="auto"/>
        </w:rPr>
      </w:pPr>
    </w:p>
    <w:p>
      <w:pPr>
        <w:ind w:left="2" w:right="80" w:firstLine="426"/>
        <w:spacing w:after="0" w:line="292" w:lineRule="auto"/>
        <w:rPr>
          <w:sz w:val="20"/>
          <w:szCs w:val="20"/>
          <w:color w:val="auto"/>
        </w:rPr>
      </w:pPr>
      <w:r>
        <w:rPr>
          <w:rFonts w:ascii="Arial" w:cs="Arial" w:eastAsia="Arial" w:hAnsi="Arial"/>
          <w:sz w:val="15"/>
          <w:szCs w:val="15"/>
          <w:b w:val="1"/>
          <w:bCs w:val="1"/>
          <w:color w:val="auto"/>
        </w:rPr>
        <w:t xml:space="preserve">12.01.02 </w:t>
      </w:r>
      <w:r>
        <w:rPr>
          <w:rFonts w:ascii="Arial" w:cs="Arial" w:eastAsia="Arial" w:hAnsi="Arial"/>
          <w:sz w:val="15"/>
          <w:szCs w:val="15"/>
          <w:color w:val="auto"/>
        </w:rPr>
        <w:t>If (i) the Premises are so damaged by fire or other casualty (whether or not insured) at any time during the last thirty (30) months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 that the cost to repair such damage is reasonably estimated to exceed one-third (1/3) of the total Base Rent payable hereunder for the period from the estimated completion date of repair until the end of the Term, (ii) at any time the Building (or any portion thereof, whether or not including any portion of the Premises) is so damaged by fire or other casualty (whether or not insured) that substantial alteration or reconstruction or demolition of the Building (or a portion thereof) shall in Landlord’s judgment be required, or (iii) at any time damage to the Building occurs by fire or other insured casualty and any mortgagee or ground lessor shall refuse to permit insurance proceeds to be utilized for the repair or replacement of such property and Landlord determines not to repair such damage, then and in any of such events, this Lease and the term hereof may be terminated at the election of Landlord by a notice from Landlord to Tenant within six (6) months, or such longer period as is required to complete arrangements with any mortgagee or ground lessor regarding such situation, following such fire or other casualty; the effective termination date pursuant to such notice shall be not less than thirty (30) days after the day on which such termination notice is received by Tenant. If any mortgagee refuses without fault by Tenant to permit insurance proceeds to be applied to replacement of the Premises, and neither Landlord nor such mortgagee has commenced such replacement within six</w:t>
      </w:r>
    </w:p>
    <w:p>
      <w:pPr>
        <w:spacing w:after="0" w:line="7" w:lineRule="exact"/>
        <w:rPr>
          <w:sz w:val="20"/>
          <w:szCs w:val="20"/>
          <w:color w:val="auto"/>
        </w:rPr>
      </w:pPr>
    </w:p>
    <w:p>
      <w:pPr>
        <w:ind w:left="2" w:hanging="2"/>
        <w:spacing w:after="0" w:line="259" w:lineRule="auto"/>
        <w:tabs>
          <w:tab w:leader="none" w:pos="248" w:val="left"/>
        </w:tabs>
        <w:numPr>
          <w:ilvl w:val="0"/>
          <w:numId w:val="376"/>
        </w:numPr>
        <w:rPr>
          <w:rFonts w:ascii="Arial" w:cs="Arial" w:eastAsia="Arial" w:hAnsi="Arial"/>
          <w:sz w:val="17"/>
          <w:szCs w:val="17"/>
          <w:color w:val="auto"/>
        </w:rPr>
      </w:pPr>
      <w:r>
        <w:rPr>
          <w:rFonts w:ascii="Arial" w:cs="Arial" w:eastAsia="Arial" w:hAnsi="Arial"/>
          <w:sz w:val="17"/>
          <w:szCs w:val="17"/>
          <w:color w:val="auto"/>
        </w:rPr>
        <w:t>months following adjustment of such casualty loss with the insurer, then Tenant may, until any such replacement commences, terminate this Lease by giving at least thirty (30) days prior written notice thereof to Landlord and such termination shall be effective on the date specified if such replacement has not then commenced. Notwithstanding anything to the contrary herein, if the Premises or the Building are substantially damaged so as to render the Premises completely untenantable or inaccessible for the uses permitted under this Lease, Tenant shall have the right to terminate this Lease by prior written notice thereof either (i) within fifteen (15) days after receipt of Landlord’s notice electing to repair the damage if Landlord estimates that the repair will take longer than six (6) months to complete or that once the damage is repaired there will be less than nine (9) months remaining in the Term, or (ii) given upon thirty (30) days if Landlord fails to repair the</w:t>
      </w:r>
    </w:p>
    <w:p>
      <w:pPr>
        <w:spacing w:after="0" w:line="11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62"/>
          </w:cols>
          <w:pgMar w:left="618" w:top="270" w:right="619" w:bottom="1440" w:gutter="0" w:footer="0" w:header="0"/>
        </w:sectPr>
      </w:pPr>
    </w:p>
    <w:bookmarkStart w:id="431" w:name="page432"/>
    <w:bookmarkEnd w:id="431"/>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damage prior to six (6) months from the date of Landlord’s notice; provided Tenant’s termination shall be void if Landlord delivers the Premises to Tenant within such thirty (30) day period. In the event of any termination, the Term shall expire as though such effective termination date were the date originally stipulated in Article I for the end of the Term and the Base Rent and Additional Rent for Total Operating Costs (to the extent not abated as set forth above) shall be apportioned as of such date.</w:t>
      </w:r>
    </w:p>
    <w:p>
      <w:pPr>
        <w:spacing w:after="0" w:line="172" w:lineRule="exact"/>
        <w:rPr>
          <w:sz w:val="20"/>
          <w:szCs w:val="20"/>
          <w:color w:val="auto"/>
        </w:rPr>
      </w:pPr>
    </w:p>
    <w:p>
      <w:pPr>
        <w:ind w:firstLine="426"/>
        <w:spacing w:after="0" w:line="275" w:lineRule="auto"/>
        <w:rPr>
          <w:sz w:val="20"/>
          <w:szCs w:val="20"/>
          <w:color w:val="auto"/>
        </w:rPr>
      </w:pPr>
      <w:r>
        <w:rPr>
          <w:rFonts w:ascii="Arial" w:cs="Arial" w:eastAsia="Arial" w:hAnsi="Arial"/>
          <w:sz w:val="16"/>
          <w:szCs w:val="16"/>
          <w:b w:val="1"/>
          <w:bCs w:val="1"/>
          <w:color w:val="auto"/>
        </w:rPr>
        <w:t>12.02 Eminent Domain</w:t>
      </w:r>
      <w:r>
        <w:rPr>
          <w:rFonts w:ascii="Arial" w:cs="Arial" w:eastAsia="Arial" w:hAnsi="Arial"/>
          <w:sz w:val="16"/>
          <w:szCs w:val="16"/>
          <w:color w:val="auto"/>
        </w:rPr>
        <w:t>. In the event that all or any substantial part of the Premises or the Building or its common areas is taken (other than for</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use, hereafter described) by public authority under power of eminent domain (or by conveyance in lieu thereof), then by notice given within three (3) months following the recording of such taking (or conveyance) in the appropriate registry of deeds, this Lease may be terminated at Landlord’s election thirty (30) days after such notice. In the event there is a taking that results in the loss of reasonable access to the Premises; results in the loss of more than twenty-five percent (25%) of the rentable floor area of the Premises; or results in loss of parking facilities for the Building and Landlord reasonably determines it is not practical to relocate such parking or relocate and reconnect such facilities within the remaining Building or Property then Tenant shall have the right, upon written notice to Landlord given within thirty (30) days after notice of the taking, to terminate the Lease. In the event of termination, Base Rent and Tenant’s share of Total Operating Costs and Taxes shall be apportioned as of the date of termination. If this Lease is not terminated as aforesaid, subject to the rights of mortgagees Landlord shall within a reasonable time thereafter, diligently restore what may remain of the Premises (excluding any Tenant Property or other items installed or paid for by Tenant that Tenant is permitted or may be required to remove upon expiration and any and Tenant Work) to a tenantable condition. In the event some portion of rentable floor area of the Premises is taken (other than for temporary use) and this Lease is not terminated, Base Rent and Tenant’s Pro Rata Share of Total Operating Costs shall be proportionally abated for the remainder of the Term. In the event of any taking of the Premises or any part thereof for temporary use, (i) this Lease shall be and remain unaffected thereby and rent shall not abate, and (ii) Tenant shall be entitled to receive for itself such portion or portions of any award made for such use with respect to the period of the taking that is within the Term, provided that if such taking shall remain in force at the expiration or earlier termination of this Lease, then Tenant shall pay to Landlord a sum equal to the reasonable cost of performing Tenant’s obligations hereunder with respect to surrender of the Premises and upon such payment shall be excused from such obligations.</w:t>
      </w:r>
    </w:p>
    <w:p>
      <w:pPr>
        <w:spacing w:after="0" w:line="182" w:lineRule="exact"/>
        <w:rPr>
          <w:sz w:val="20"/>
          <w:szCs w:val="20"/>
          <w:color w:val="auto"/>
        </w:rPr>
      </w:pPr>
    </w:p>
    <w:p>
      <w:pPr>
        <w:ind w:firstLine="426"/>
        <w:spacing w:after="0" w:line="261" w:lineRule="auto"/>
        <w:rPr>
          <w:sz w:val="20"/>
          <w:szCs w:val="20"/>
          <w:color w:val="auto"/>
        </w:rPr>
      </w:pPr>
      <w:r>
        <w:rPr>
          <w:rFonts w:ascii="Arial" w:cs="Arial" w:eastAsia="Arial" w:hAnsi="Arial"/>
          <w:sz w:val="17"/>
          <w:szCs w:val="17"/>
          <w:color w:val="auto"/>
        </w:rPr>
        <w:t>So long as Tenant is not then in breach of any covenant or condition of this Lease, any specific damages that are expressly awarded to Tenant on account of its relocation expenses, and specifically so designated, shall belong to Tenant. Except as provided in the preceding sentence of this paragraph, Landlord reserves to itself, and Tenant releases and assigns to Landlord, all rights to damages accruing on account of any taking or by reason of any act of any public authority for which damages are payable. Tenant agrees to execute such further instruments of assignment as may be reasonably requested by Landlord, and to turn over to Landlord any damages that may be recovered in any proceeding or otherwise; and Tenant irrevocably appoints Landlord as its attorney-in-fact with full power of substitution so to execute and deliver in Tenant’s name, place and stead all such further instruments if Tenant shall fail to do so after ten (10) days’ notice.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40"/>
          </w:cols>
          <w:pgMar w:left="620" w:top="270" w:right="639" w:bottom="1440" w:gutter="0" w:footer="0" w:header="0"/>
        </w:sectPr>
      </w:pPr>
    </w:p>
    <w:bookmarkStart w:id="432" w:name="page433"/>
    <w:bookmarkEnd w:id="4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ARTICLE 13: ASSIGNMENT AND SUBLETTING</w:t>
      </w:r>
    </w:p>
    <w:p>
      <w:pPr>
        <w:spacing w:after="0" w:line="118" w:lineRule="exact"/>
        <w:rPr>
          <w:sz w:val="20"/>
          <w:szCs w:val="20"/>
          <w:color w:val="auto"/>
        </w:rPr>
      </w:pPr>
    </w:p>
    <w:p>
      <w:pPr>
        <w:ind w:firstLine="426"/>
        <w:spacing w:after="0" w:line="277" w:lineRule="auto"/>
        <w:rPr>
          <w:sz w:val="20"/>
          <w:szCs w:val="20"/>
          <w:color w:val="auto"/>
        </w:rPr>
      </w:pPr>
      <w:r>
        <w:rPr>
          <w:rFonts w:ascii="Arial" w:cs="Arial" w:eastAsia="Arial" w:hAnsi="Arial"/>
          <w:sz w:val="16"/>
          <w:szCs w:val="16"/>
          <w:b w:val="1"/>
          <w:bCs w:val="1"/>
          <w:color w:val="auto"/>
        </w:rPr>
        <w:t>13.01 Landlord’s Consent Required</w:t>
      </w:r>
      <w:r>
        <w:rPr>
          <w:rFonts w:ascii="Arial" w:cs="Arial" w:eastAsia="Arial" w:hAnsi="Arial"/>
          <w:sz w:val="16"/>
          <w:szCs w:val="16"/>
          <w:color w:val="auto"/>
        </w:rPr>
        <w:t>. Except as set forth in this Article, Tenant shall not directly or indirectly assign this Lease, or sublet or</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the Premises or any portion thereof, or advertise the Premises for assignment or subletting or permit the occupancy of all or any portion of the Premises by any person other than Tenant (each of the foregoing actions are collectively referred to as a “</w:t>
      </w:r>
      <w:r>
        <w:rPr>
          <w:rFonts w:ascii="Arial" w:cs="Arial" w:eastAsia="Arial" w:hAnsi="Arial"/>
          <w:sz w:val="16"/>
          <w:szCs w:val="16"/>
          <w:u w:val="single" w:color="auto"/>
          <w:color w:val="auto"/>
        </w:rPr>
        <w:t>Transfer</w:t>
      </w:r>
      <w:r>
        <w:rPr>
          <w:rFonts w:ascii="Arial" w:cs="Arial" w:eastAsia="Arial" w:hAnsi="Arial"/>
          <w:sz w:val="16"/>
          <w:szCs w:val="16"/>
          <w:color w:val="auto"/>
        </w:rPr>
        <w:t>”) without obtaining, on each occasion, the prior written consent of Landlord, which consent shall not be unreasonably withheld, conditioned or delayed provided that Tenant complies with the provisions of this Article. A Transfer shall include, without limitation, any transfer of Tenant’s interest in this Lease by operation of law, merger or consolidation of Tenant into any other firm or corporation, and the transfer or sale of a controlling interest in Tenant, whether by sale of its capital stock or otherwise or any sale of all or a substantial part of Tenant’s assets. Any Transfer shall be subject to this Lease, all of the provisions of which shall be conditions to such Transfer and be binding on any transferee. No transferee shall have any right further to transfer its interest in the Premises except in accordance with this Article 13. The foregoing restrictions shall be binding on any assignee or sublessee to which Landlord has consented, provided, notwithstanding anything else contained in this Lease, Landlord’s consent to any further assignment, subleasing or any sub-subleasing by any approved assignee or sublessee may be granted or withheld by Landlord in accordance with this Article 13. If Tenant does Transfer with (or without) Landlord’s consent, any option or other right that Tenant may have relating to the Premises, including any right to extend the Term or lease other premises, shall automatically be terminated except in the case of a Related Party Transfer.</w:t>
      </w:r>
    </w:p>
    <w:p>
      <w:pPr>
        <w:spacing w:after="0" w:line="163" w:lineRule="exact"/>
        <w:rPr>
          <w:sz w:val="20"/>
          <w:szCs w:val="20"/>
          <w:color w:val="auto"/>
        </w:rPr>
      </w:pPr>
    </w:p>
    <w:p>
      <w:pPr>
        <w:ind w:firstLine="426"/>
        <w:spacing w:after="0" w:line="276" w:lineRule="auto"/>
        <w:rPr>
          <w:sz w:val="20"/>
          <w:szCs w:val="20"/>
          <w:color w:val="auto"/>
        </w:rPr>
      </w:pPr>
      <w:r>
        <w:rPr>
          <w:rFonts w:ascii="Arial" w:cs="Arial" w:eastAsia="Arial" w:hAnsi="Arial"/>
          <w:sz w:val="16"/>
          <w:szCs w:val="16"/>
          <w:b w:val="1"/>
          <w:bCs w:val="1"/>
          <w:color w:val="auto"/>
        </w:rPr>
        <w:t>13.02 Terms</w:t>
      </w:r>
      <w:r>
        <w:rPr>
          <w:rFonts w:ascii="Arial" w:cs="Arial" w:eastAsia="Arial" w:hAnsi="Arial"/>
          <w:sz w:val="16"/>
          <w:szCs w:val="16"/>
          <w:color w:val="auto"/>
        </w:rPr>
        <w:t>. Without limitation, it shall not be unreasonable for Landlord to withhold such consent for any Transfer where,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opinion: (i) the proposed transferee does not have a financial standing and credit rating reasonably acceptable to Landlord; (ii) the proposed transferee does not have a good reputation in the community; (iii) the business in which the proposed transferee is engaged could detract from, or be inappropriate for, the Building, its value or the costs of ownership thereof; (iv) intentionally omitted; (v) the proposed transferee is a current tenant or a prospective tenant (or any affiliate of such tenant or prospective tenant), meaning such tenant has been shown space or has been presented with or has made an offer to lease space, of the Building or the Project and Landlord has comparable space available in the Project; (vi) the use of the Premises by any transferee (even though a Permitted Use) violates any use restriction granted by Landlord in any other lease or would otherwise cause Landlord to be in violation of its obligations under another lease or agreement to which Landlord is a party; (vii) if such Transfer is not approved of by the holder of any mortgage on the Property (if such approval is required); (viii) a proposed transferee’s business will impose a burden on the Property’s parking facilities, elevators, common areas, facilities, or utilities that is greater than the burden imposed by Tenant, in Landlord’s reasonable judgment; (ix) any guarantor of this Lease refuses to consent to the proposed transfer or to execute a written agreement reaffirming the guaranty; (x) Tenant is in default of any of its obligations under the Lease at the time of the request or at the time of the proposed Transfer; (xi) if requested by Landlord, the transferee refuses to sign a non-disturbance and attornment agreement in favor of Landlord’s lender; (xii) Landlord has sued or been sued by the proposed transferee or has otherwise been involved in a legal dispute with the proposed transferee; (xiii) the transferee is involved in a business which is not in keeping with the then current standards of the Property; (xiv) the Transfer will result in there being more than one subtenant of the Premises; or (xv) the transferee is a governmental 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580"/>
          </w:cols>
          <w:pgMar w:left="620" w:top="264" w:right="699" w:bottom="1440" w:gutter="0" w:footer="0" w:header="0"/>
        </w:sectPr>
      </w:pPr>
    </w:p>
    <w:bookmarkStart w:id="433" w:name="page434"/>
    <w:bookmarkEnd w:id="433"/>
    <w:p>
      <w:pPr>
        <w:ind w:left="2" w:right="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quasi-governmental entity or an agency, department or instrumentality of a governmental or quasi-governmental agency. Landlord may condition its consent upon such transferee depositing with Landlord such additional security as Landlord may reasonably require to assure the performance and observance of the obligations of such party to Landlord. In no event, however, shall Tenant assign this Lease or sublet the whole or any part of the Premises to a proposed transferee which has been judicially declared bankrupt or insolvent according to law, or with respect to which an assignment has been made of property for the benefit of creditors, or with respect to which a receiver, guardian, conservator, trustee in involuntary bankruptcy or similar officer has been appointed to take charge of all or any substantial part of the proposed transferee’s property by a court of competent jurisdiction, or with respect to which a petition has been filed for reorganization under any provisions of the Bankruptcy Code now or hereafter enacted, or if a proposed transferee has filed a petition for such reorganization, or for arrangements under any provisions of the Bankruptcy Code now or hereafter enacted and providing a plan for a debtor to settle, satisfy or extend the time for the payment of debts.</w:t>
      </w:r>
    </w:p>
    <w:p>
      <w:pPr>
        <w:spacing w:after="0" w:line="165" w:lineRule="exact"/>
        <w:rPr>
          <w:sz w:val="20"/>
          <w:szCs w:val="20"/>
          <w:color w:val="auto"/>
        </w:rPr>
      </w:pPr>
    </w:p>
    <w:p>
      <w:pPr>
        <w:ind w:left="2" w:right="40" w:firstLine="426"/>
        <w:spacing w:after="0" w:line="299" w:lineRule="auto"/>
        <w:rPr>
          <w:sz w:val="20"/>
          <w:szCs w:val="20"/>
          <w:color w:val="auto"/>
        </w:rPr>
      </w:pPr>
      <w:r>
        <w:rPr>
          <w:rFonts w:ascii="Arial" w:cs="Arial" w:eastAsia="Arial" w:hAnsi="Arial"/>
          <w:sz w:val="15"/>
          <w:szCs w:val="15"/>
          <w:b w:val="1"/>
          <w:bCs w:val="1"/>
          <w:color w:val="auto"/>
        </w:rPr>
        <w:t>13.03 Right of Termination or Recapture</w:t>
      </w:r>
      <w:r>
        <w:rPr>
          <w:rFonts w:ascii="Arial" w:cs="Arial" w:eastAsia="Arial" w:hAnsi="Arial"/>
          <w:sz w:val="15"/>
          <w:szCs w:val="15"/>
          <w:color w:val="auto"/>
        </w:rPr>
        <w:t>. If Tenant requests Landlord’s consent to a Transfer (excepting a Related Party Transfer, as hereinafter</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of all or a portion of the Premises, Landlord shall have the option, exercisable by written notice to Tenant given within thirty (30) days after Landlord’s receipt of Tenant’s completed request, to terminate this Lease as of the date specified in such notice, which shall not be less than thirty</w:t>
      </w:r>
    </w:p>
    <w:p>
      <w:pPr>
        <w:ind w:left="2" w:hanging="2"/>
        <w:spacing w:after="0" w:line="275" w:lineRule="auto"/>
        <w:tabs>
          <w:tab w:leader="none" w:pos="33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nor more than one hundred twenty (120) days after the date of such notice, as to the entire Premises in the case of a proposed Transfer of the whole Premises, and as to the portion of the Premises to be transferred in the case of a partial Transfer. In the event of termination in respect of a portion of the Premises, the portion so eliminated shall be delivered to Landlord on the date specified in good order and condition in the manner required under this Lease at the end of the Term and thereafter, to the extent necessary in Landlord’s judgment, Landlord, at Tenant’s cost and expense, may have access to and may make modification to the Premises (or portion thereof) so as to make such portion a self-contained rental unit with access to common areas, elevators and the like. Base Rent and the Tenant’s share shall be adjusted according to the extent of the rentable square footage of the Premises for which the Lease is terminated. If Landlord does exercise its right to terminate this Lease or recapture the portion of the Premises pursuant to this Section 13.03, Tenant may rescind its request for consent to Transfer within three (3) business days and, in such case, Landlord’s recapture shall be null and void and this Lease shall continue in full force and effect. If Landlord does not exercise its right to terminate this Lease or recapture the portion of the Premises pursuant to this Section 13.03, then Landlord, subject to the provisions of Section 13.02, will not unreasonably withhold, condition or delay its consent to the proposed Transfer.</w:t>
      </w:r>
    </w:p>
    <w:p>
      <w:pPr>
        <w:spacing w:after="0" w:line="169" w:lineRule="exact"/>
        <w:rPr>
          <w:sz w:val="20"/>
          <w:szCs w:val="20"/>
          <w:color w:val="auto"/>
        </w:rPr>
      </w:pPr>
    </w:p>
    <w:p>
      <w:pPr>
        <w:ind w:left="2" w:right="180" w:firstLine="426"/>
        <w:spacing w:after="0" w:line="283" w:lineRule="auto"/>
        <w:rPr>
          <w:sz w:val="20"/>
          <w:szCs w:val="20"/>
          <w:color w:val="auto"/>
        </w:rPr>
      </w:pPr>
      <w:r>
        <w:rPr>
          <w:rFonts w:ascii="Arial" w:cs="Arial" w:eastAsia="Arial" w:hAnsi="Arial"/>
          <w:sz w:val="16"/>
          <w:szCs w:val="16"/>
          <w:b w:val="1"/>
          <w:bCs w:val="1"/>
          <w:color w:val="auto"/>
        </w:rPr>
        <w:t>13.04 Procedures</w:t>
      </w:r>
      <w:r>
        <w:rPr>
          <w:rFonts w:ascii="Arial" w:cs="Arial" w:eastAsia="Arial" w:hAnsi="Arial"/>
          <w:sz w:val="16"/>
          <w:szCs w:val="16"/>
          <w:color w:val="auto"/>
        </w:rPr>
        <w:t>. At least twenty (20) days prior to the effective date of any Transfer, Tenant shall give Landlord in writing the details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Transfer, including, but not limited to: (i) the name, business, and financial condition of the prospective transferee, (ii) a true and complete copy of the letter of intent containing all of the principal terms and conditions of such Transfer, and (iii) any other information Landlord reasonably deems relevant. Prior to the effective date of the Transfer, Tenant shall give Landlord (y) a true and complete copy of the proposed assignment or sublease, and (z) a written agreement of the assignee, subtenant or licensee agreeing with Landlord to perform and observe all of the terms, covenants, and conditions of this Lease undertaken by such transferee and such other matters as are contained in</w:t>
      </w:r>
    </w:p>
    <w:p>
      <w:pPr>
        <w:spacing w:after="0" w:line="10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42"/>
          </w:cols>
          <w:pgMar w:left="618" w:top="270" w:right="639" w:bottom="1440" w:gutter="0" w:footer="0" w:header="0"/>
        </w:sectPr>
      </w:pPr>
    </w:p>
    <w:bookmarkStart w:id="434" w:name="page435"/>
    <w:bookmarkEnd w:id="434"/>
    <w:p>
      <w:pPr>
        <w:ind w:left="2"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Landlord’s standard form of consent to a Transfer. Tenant shall pay to Landlord, as Additional Rent, Landlord’s reasonable out-of-pocket attorneys’ fees in reviewing any Transfer up to a maximum amount of $5,000. Notwithstanding the foregoing, Tenant may make a Related Party Transfer (as defined below) without the consent of Landlord provided that Tenant gives Landlord at least ten (10) days’ prior notice thereof together with evidence reasonably satisfactory to Landlord that the proposed Transfer is a Related Party Transfer and such Related Party Transfer is subject to all of the other terms and conditions for this Article. A “</w:t>
      </w:r>
      <w:r>
        <w:rPr>
          <w:rFonts w:ascii="Arial" w:cs="Arial" w:eastAsia="Arial" w:hAnsi="Arial"/>
          <w:sz w:val="15"/>
          <w:szCs w:val="15"/>
          <w:u w:val="single" w:color="auto"/>
          <w:color w:val="auto"/>
        </w:rPr>
        <w:t>Related Party Transfer</w:t>
      </w:r>
      <w:r>
        <w:rPr>
          <w:rFonts w:ascii="Arial" w:cs="Arial" w:eastAsia="Arial" w:hAnsi="Arial"/>
          <w:sz w:val="15"/>
          <w:szCs w:val="15"/>
          <w:color w:val="auto"/>
        </w:rPr>
        <w:t>” transactions with an entity (i) into or with which Tenant is merged or consolidated,</w:t>
      </w:r>
    </w:p>
    <w:p>
      <w:pPr>
        <w:ind w:left="2" w:hanging="2"/>
        <w:spacing w:after="0" w:line="275" w:lineRule="auto"/>
        <w:tabs>
          <w:tab w:leader="none" w:pos="258"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to which substantially all of Tenant’s assets are transferred as a going concern, or (iii) which controls or is controlled by Tenant or is under common control with Tenant, shall not be deemed to be a Transfer within the meaning of this Section, provided that in any of such events (1) Landlord receives prior written notice of any such transactions, (2) the assignee or subtenant agrees directly with Landlord, by written instrument in form satisfactory to Landlord, to be bound by all the obligations of Tenant hereunder including, without limitation, the covenant against further assignment and subletting without complying with this Article 13, (3) in no event shall Tenant be released from its obligations under this Lease, (4) any such transfer or transaction is for a legitimate, regular business purpose of Tenant other than a transfer of Tenant’s interest in this Lease, and (5) the involvement by Tenant or its assets in any transaction, or series of transactions (by way of merger, sale, acquisition, financing, refinancing, transfer, leveraged buy-out or otherwise) whether or not a formal assignment or hypothecation of this Lease or Tenant’s assets occurs, will not result in a reduction of the Net Worth of Tenant (as defined below), from the Net Worth of Tenant as it is represented to Landlord at the time of the execution by Landlord of this Lease, or as it exists immediately prior to said transaction or transactions constituting such reduction, at whichever time said Net Worth of Tenant was or is greater.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Worth</w:t>
      </w:r>
      <w:r>
        <w:rPr>
          <w:rFonts w:ascii="Arial" w:cs="Arial" w:eastAsia="Arial" w:hAnsi="Arial"/>
          <w:sz w:val="16"/>
          <w:szCs w:val="16"/>
          <w:color w:val="auto"/>
        </w:rPr>
        <w:t>” of Tenant for purposes of this Section shall be the tangible net worth of Tenant (excluding any guarantors) established under generally accepted accounting principles consistently applied.</w:t>
      </w:r>
    </w:p>
    <w:p>
      <w:pPr>
        <w:spacing w:after="0" w:line="167" w:lineRule="exact"/>
        <w:rPr>
          <w:sz w:val="20"/>
          <w:szCs w:val="20"/>
          <w:color w:val="auto"/>
        </w:rPr>
      </w:pPr>
    </w:p>
    <w:p>
      <w:pPr>
        <w:ind w:left="2" w:firstLine="426"/>
        <w:spacing w:after="0" w:line="303" w:lineRule="auto"/>
        <w:rPr>
          <w:sz w:val="20"/>
          <w:szCs w:val="20"/>
          <w:color w:val="auto"/>
        </w:rPr>
      </w:pPr>
      <w:r>
        <w:rPr>
          <w:rFonts w:ascii="Arial" w:cs="Arial" w:eastAsia="Arial" w:hAnsi="Arial"/>
          <w:sz w:val="15"/>
          <w:szCs w:val="15"/>
          <w:b w:val="1"/>
          <w:bCs w:val="1"/>
          <w:color w:val="auto"/>
        </w:rPr>
        <w:t>13.05 Excess Rents</w:t>
      </w:r>
      <w:r>
        <w:rPr>
          <w:rFonts w:ascii="Arial" w:cs="Arial" w:eastAsia="Arial" w:hAnsi="Arial"/>
          <w:sz w:val="15"/>
          <w:szCs w:val="15"/>
          <w:color w:val="auto"/>
        </w:rPr>
        <w:t>. If the consideration, rent, or other amounts payable to Tenant under any other Transfer exceed the Rent and Tenant’s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((a) pro rated based on floor area in the case of a subletting, license or other occupancy of less than the entire area of the Premises and</w:t>
      </w:r>
    </w:p>
    <w:p>
      <w:pPr>
        <w:ind w:left="2" w:hanging="2"/>
        <w:spacing w:after="0" w:line="259" w:lineRule="auto"/>
        <w:tabs>
          <w:tab w:leader="none" w:pos="24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amortized on a straight line basis over the remaining Term), then Tenant shall pay to Landlord, as Additional Rent, fifty percent (50%) of the amount of such excess when and as received. Tenant’s “</w:t>
      </w:r>
      <w:r>
        <w:rPr>
          <w:rFonts w:ascii="Arial" w:cs="Arial" w:eastAsia="Arial" w:hAnsi="Arial"/>
          <w:sz w:val="17"/>
          <w:szCs w:val="17"/>
          <w:u w:val="single" w:color="auto"/>
          <w:color w:val="auto"/>
        </w:rPr>
        <w:t>Transfer Expenses</w:t>
      </w:r>
      <w:r>
        <w:rPr>
          <w:rFonts w:ascii="Arial" w:cs="Arial" w:eastAsia="Arial" w:hAnsi="Arial"/>
          <w:sz w:val="17"/>
          <w:szCs w:val="17"/>
          <w:color w:val="auto"/>
        </w:rPr>
        <w:t>” shall mean Tenant’s actual reasonable payments to third parties in connection with such a Transfer on account of brokerage, legal and market-based fit-up costs or market-based improvement allowances. Without limiting the generality of the first sentence of this Section, any non-market lump-sum payment or series of payments (including, without limitation, for the purchase or use of so-called leasehold improvements or Tenant Property and any separate charges for services) on account of any Transfer shall be deemed to be in excess of Rent and other charges in its or their entirety.</w:t>
      </w:r>
    </w:p>
    <w:p>
      <w:pPr>
        <w:spacing w:after="0" w:line="178" w:lineRule="exact"/>
        <w:rPr>
          <w:sz w:val="20"/>
          <w:szCs w:val="20"/>
          <w:color w:val="auto"/>
        </w:rPr>
      </w:pPr>
    </w:p>
    <w:p>
      <w:pPr>
        <w:ind w:left="2" w:right="20" w:firstLine="426"/>
        <w:spacing w:after="0" w:line="291" w:lineRule="auto"/>
        <w:rPr>
          <w:sz w:val="20"/>
          <w:szCs w:val="20"/>
          <w:color w:val="auto"/>
        </w:rPr>
      </w:pPr>
      <w:r>
        <w:rPr>
          <w:rFonts w:ascii="Arial" w:cs="Arial" w:eastAsia="Arial" w:hAnsi="Arial"/>
          <w:sz w:val="16"/>
          <w:szCs w:val="16"/>
          <w:b w:val="1"/>
          <w:bCs w:val="1"/>
          <w:color w:val="auto"/>
        </w:rPr>
        <w:t>13.06 No Release</w:t>
      </w:r>
      <w:r>
        <w:rPr>
          <w:rFonts w:ascii="Arial" w:cs="Arial" w:eastAsia="Arial" w:hAnsi="Arial"/>
          <w:sz w:val="16"/>
          <w:szCs w:val="16"/>
          <w:color w:val="auto"/>
        </w:rPr>
        <w:t>. Notwithstanding any Transfer and whether or not the same is a Related Party Transfer or is consented to, the liability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to Landlord shall remain direct and primary. Any transferee of all or substantially all of Tenant’s interest in the Premises (including any such transferee under a Related Party Transfer) shall be jointly and severally liable with Tenant to Landlord for the performance of all of Tenant’s covenants under this Lease; and such assignee shall upon request execute and deliver such instruments as Landlord</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22"/>
          </w:cols>
          <w:pgMar w:left="618" w:top="270" w:right="659" w:bottom="1440" w:gutter="0" w:footer="0" w:header="0"/>
        </w:sectPr>
      </w:pPr>
    </w:p>
    <w:bookmarkStart w:id="435" w:name="page436"/>
    <w:bookmarkEnd w:id="435"/>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reasonably requests in confirmation thereof (and agrees that its failure to do so shall be a default). Tenant hereby irrevocably authorizes Landlord to collect Rent from any transferee (and upon notice any transferee shall pay directly to Landlord) and apply the net amount collected to the rent and other charges reserved under this Lease. No Transfer shall be deemed a waiver of the provisions of this Section, or the acceptance of the transferee as a tenant, or a release of Tenant from direct and primary liability for the performance of all of the covenants of this Lease. Notwithstanding anything to the contrary in the documents effecting the Transfer, no Transfer shall alter in any manner whatsoever the terms of this Lease, to which any Transfer at all times shall be subject and subordinate. The breach by Tenant or any transferee of any covenant in this Article shall be a default for which there is no cure period.</w:t>
      </w:r>
    </w:p>
    <w:p>
      <w:pPr>
        <w:spacing w:after="0" w:line="183" w:lineRule="exact"/>
        <w:rPr>
          <w:sz w:val="20"/>
          <w:szCs w:val="20"/>
          <w:color w:val="auto"/>
        </w:rPr>
      </w:pPr>
    </w:p>
    <w:p>
      <w:pPr>
        <w:ind w:right="40" w:firstLine="426"/>
        <w:spacing w:after="0" w:line="261" w:lineRule="auto"/>
        <w:rPr>
          <w:sz w:val="20"/>
          <w:szCs w:val="20"/>
          <w:color w:val="auto"/>
        </w:rPr>
      </w:pPr>
      <w:r>
        <w:rPr>
          <w:rFonts w:ascii="Arial" w:cs="Arial" w:eastAsia="Arial" w:hAnsi="Arial"/>
          <w:sz w:val="17"/>
          <w:szCs w:val="17"/>
          <w:color w:val="auto"/>
        </w:rPr>
        <w:t>Anything contained in the foregoing provisions of this section to the contrary notwithstanding, neither Tenant nor any transferee nor any other person having an interest in the possession, use, occupancy or utilization of the Premises shall enter into any lease, sublease, assignment, license, concession or other agreement for use, occupancy or utilization of space in the Premises that provides for rental or other payment for such use, occupancy or utilization based, in whole or in part, on the net income or profits derived by any person from the Premises leased, used, occupied or utilized (other than an amount based on a fixed percentage or percentages of receipts or sales), and any such purported lease, sublease, assignment, license, concession or other agreement shall be absolutely void and ineffective as a conveyance of any right or interest in the possession, use, occupancy or utilization of any part of the Premises.</w:t>
      </w:r>
    </w:p>
    <w:p>
      <w:pPr>
        <w:spacing w:after="0" w:line="177" w:lineRule="exact"/>
        <w:rPr>
          <w:sz w:val="20"/>
          <w:szCs w:val="20"/>
          <w:color w:val="auto"/>
        </w:rPr>
      </w:pPr>
    </w:p>
    <w:p>
      <w:pPr>
        <w:ind w:firstLine="426"/>
        <w:spacing w:after="0" w:line="295" w:lineRule="auto"/>
        <w:rPr>
          <w:sz w:val="20"/>
          <w:szCs w:val="20"/>
          <w:color w:val="auto"/>
        </w:rPr>
      </w:pPr>
      <w:r>
        <w:rPr>
          <w:rFonts w:ascii="Arial" w:cs="Arial" w:eastAsia="Arial" w:hAnsi="Arial"/>
          <w:sz w:val="15"/>
          <w:szCs w:val="15"/>
          <w:b w:val="1"/>
          <w:bCs w:val="1"/>
          <w:color w:val="auto"/>
        </w:rPr>
        <w:t>13.07 Certain Additional Rights</w:t>
      </w:r>
      <w:r>
        <w:rPr>
          <w:rFonts w:ascii="Arial" w:cs="Arial" w:eastAsia="Arial" w:hAnsi="Arial"/>
          <w:sz w:val="15"/>
          <w:szCs w:val="15"/>
          <w:color w:val="auto"/>
        </w:rPr>
        <w:t>. If the Premises or any part thereof are Transferred by Tenant, following the occurrence of a default which has</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continued beyond any applicable cure period, Landlord, in addition to any other remedies provided hereunder or at law, may at its option collect directly from any such transferee(s) all rents becoming due to the Tenant under any such Transfer and apply such rent against any amounts due Landlord by Tenant under this Lease, and Tenant hereby irrevocably authorizes and directs such transferee(s) to so make all such rent payments, if so directed by Landlord; and it is understood that no such election or collection or payment shall be construed to constitute a novation of this Lease or a release of Tenant hereunder, or to create any lease or occupancy agreement between the Landlord and such subtenant or impose any obligations on Landlord, or otherwise constitute the recognition of such sublease by Landlord for any purpose whatsoever. Tenant hereby absolutely and unconditionally assigns and transfers to Landlord all of Tenant’s interest in all rentals and income arising from any Transfer entered into by Tenant, and Landlord may collect such rent and income and apply same toward Tenant’s obligations under this Lease; provided, however, that until a default occurs in the performance of Tenant’s obligations under this Lease, Tenant may receive, collect and enjoy the rents accruing under such Transfer. Landlord shall not, by reason of this or any other assignment of such rents to Landlord nor by reason of the collection of the rents from a transferee, be deemed to have assumed or recognized any Transfer or to be liable to the transferee for any failure of Tenant to perform and comply with any of Tenant’s obligations to such transferee under such Transfer, including, but not limited to, Tenant’s obligation to return any security deposit. Tenant hereby irrevocably authorizes and directs any such transferee, upon receipt of a written notice from Landlord stating that a default exists in the performance of Tenant’s obligations under this Lease, to pay to Landlord the rents due as they become due under the Transfer. Tenant agrees that such transferee shall have the right to rely upon any such statement and request from Landlord, and that such transferee shall pay such rents to Landlord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40"/>
          </w:cols>
          <w:pgMar w:left="620" w:top="271" w:right="639" w:bottom="1440" w:gutter="0" w:footer="0" w:header="0"/>
        </w:sectPr>
      </w:pPr>
    </w:p>
    <w:bookmarkStart w:id="436" w:name="page437"/>
    <w:bookmarkEnd w:id="436"/>
    <w:p>
      <w:pPr>
        <w:jc w:val="both"/>
        <w:ind w:left="2"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without any obligation or right to inquire as to whether such default exists and notwithstanding any notice from or claim from Tenant to the contrary. In the event Tenant shall default in the performance of its obligations under this Lease or Landlord terminates this Lease by reason of a default of Tenant, Landlord at its option and without any obligation to do so, may require any transferee to attorn to Landlord.</w:t>
      </w:r>
    </w:p>
    <w:p>
      <w:pPr>
        <w:spacing w:after="0" w:line="26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ARTICLE 14: EVENTS OF DEFAULT AND REMEDIES</w:t>
      </w:r>
    </w:p>
    <w:p>
      <w:pPr>
        <w:spacing w:after="0" w:line="118" w:lineRule="exact"/>
        <w:rPr>
          <w:sz w:val="20"/>
          <w:szCs w:val="20"/>
          <w:color w:val="auto"/>
        </w:rPr>
      </w:pPr>
    </w:p>
    <w:p>
      <w:pPr>
        <w:ind w:left="2" w:right="220" w:firstLine="426"/>
        <w:spacing w:after="0" w:line="295" w:lineRule="auto"/>
        <w:rPr>
          <w:sz w:val="20"/>
          <w:szCs w:val="20"/>
          <w:color w:val="auto"/>
        </w:rPr>
      </w:pPr>
      <w:r>
        <w:rPr>
          <w:rFonts w:ascii="Arial" w:cs="Arial" w:eastAsia="Arial" w:hAnsi="Arial"/>
          <w:sz w:val="17"/>
          <w:szCs w:val="17"/>
          <w:b w:val="1"/>
          <w:bCs w:val="1"/>
          <w:color w:val="auto"/>
        </w:rPr>
        <w:t>14.01 Events of Default</w:t>
      </w:r>
      <w:r>
        <w:rPr>
          <w:rFonts w:ascii="Arial" w:cs="Arial" w:eastAsia="Arial" w:hAnsi="Arial"/>
          <w:sz w:val="17"/>
          <w:szCs w:val="17"/>
          <w:color w:val="auto"/>
        </w:rPr>
        <w:t>. Landlord and Tenant hereby agree that the occurrence of any one or more of the following events is a material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(sometimes referred to as an “Event of Default”) by Tenant under this Lease:</w:t>
      </w:r>
    </w:p>
    <w:p>
      <w:pPr>
        <w:spacing w:after="0" w:line="42" w:lineRule="exact"/>
        <w:rPr>
          <w:sz w:val="20"/>
          <w:szCs w:val="20"/>
          <w:color w:val="auto"/>
        </w:rPr>
      </w:pPr>
    </w:p>
    <w:p>
      <w:pPr>
        <w:ind w:left="2" w:right="80" w:firstLine="426"/>
        <w:spacing w:after="0" w:line="266" w:lineRule="auto"/>
        <w:rPr>
          <w:sz w:val="20"/>
          <w:szCs w:val="20"/>
          <w:color w:val="auto"/>
        </w:rPr>
      </w:pPr>
      <w:r>
        <w:rPr>
          <w:rFonts w:ascii="Arial" w:cs="Arial" w:eastAsia="Arial" w:hAnsi="Arial"/>
          <w:sz w:val="17"/>
          <w:szCs w:val="17"/>
          <w:b w:val="1"/>
          <w:bCs w:val="1"/>
          <w:color w:val="auto"/>
        </w:rPr>
        <w:t xml:space="preserve">14.01.01 </w:t>
      </w:r>
      <w:r>
        <w:rPr>
          <w:rFonts w:ascii="Arial" w:cs="Arial" w:eastAsia="Arial" w:hAnsi="Arial"/>
          <w:sz w:val="17"/>
          <w:szCs w:val="17"/>
          <w:color w:val="auto"/>
        </w:rPr>
        <w:t>Tenant’s failure to make any payment of Base Rent, Additional Rent, Rent, Tenant’s share of Operating Expenses, Tenant’s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Taxes, late charges, or any other payment required to be made by Tenant hereunder, as and when due, where such failure shall continue for a period of five (5) days after written notice thereof from Landlord to Tenant; provided if Landlord has given two (2) prior notices of any such failure (under this subsection 14.01.01) in any twelve (12) month period, then Tenant shall be in default if any such payment is not made on or before the due date without notice;</w:t>
      </w:r>
    </w:p>
    <w:p>
      <w:pPr>
        <w:spacing w:after="0" w:line="170" w:lineRule="exact"/>
        <w:rPr>
          <w:sz w:val="20"/>
          <w:szCs w:val="20"/>
          <w:color w:val="auto"/>
        </w:rPr>
      </w:pPr>
    </w:p>
    <w:p>
      <w:pPr>
        <w:ind w:left="2" w:firstLine="426"/>
        <w:spacing w:after="0" w:line="264" w:lineRule="auto"/>
        <w:rPr>
          <w:sz w:val="20"/>
          <w:szCs w:val="20"/>
          <w:color w:val="auto"/>
        </w:rPr>
      </w:pPr>
      <w:r>
        <w:rPr>
          <w:rFonts w:ascii="Arial" w:cs="Arial" w:eastAsia="Arial" w:hAnsi="Arial"/>
          <w:sz w:val="17"/>
          <w:szCs w:val="17"/>
          <w:b w:val="1"/>
          <w:bCs w:val="1"/>
          <w:color w:val="auto"/>
        </w:rPr>
        <w:t xml:space="preserve">14.01.02 </w:t>
      </w:r>
      <w:r>
        <w:rPr>
          <w:rFonts w:ascii="Arial" w:cs="Arial" w:eastAsia="Arial" w:hAnsi="Arial"/>
          <w:sz w:val="17"/>
          <w:szCs w:val="17"/>
          <w:color w:val="auto"/>
        </w:rPr>
        <w:t>Tenant’s failure to observe or perform any of the covenants, conditions or provisions of this Lease to be observed or performed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those referenced in Section 14.01(a), above) where such failure shall continue for a period of thirty (30) days after written notice thereof from Landlord to Tenant (or such additional time as may be reasonable provided that Tenant notifies Landlord within such thirty (30) day period of the circumstances requiring such extended cure period; commences cure of such failure within such 30-day period and is diligently pursuing completion of the same and keeps Landlord reasonably apprised of such diligent efforts to cure same. In no event, however, shall such extended cure period exceed sixty (60) days) plus reasonable extensions for delays due to Force Majeure;</w:t>
      </w:r>
    </w:p>
    <w:p>
      <w:pPr>
        <w:spacing w:after="0" w:line="172" w:lineRule="exact"/>
        <w:rPr>
          <w:sz w:val="20"/>
          <w:szCs w:val="20"/>
          <w:color w:val="auto"/>
        </w:rPr>
      </w:pPr>
    </w:p>
    <w:p>
      <w:pPr>
        <w:jc w:val="both"/>
        <w:ind w:left="2" w:right="280" w:firstLine="426"/>
        <w:spacing w:after="0" w:line="275" w:lineRule="auto"/>
        <w:rPr>
          <w:sz w:val="20"/>
          <w:szCs w:val="20"/>
          <w:color w:val="auto"/>
        </w:rPr>
      </w:pPr>
      <w:r>
        <w:rPr>
          <w:rFonts w:ascii="Arial" w:cs="Arial" w:eastAsia="Arial" w:hAnsi="Arial"/>
          <w:sz w:val="17"/>
          <w:szCs w:val="17"/>
          <w:b w:val="1"/>
          <w:bCs w:val="1"/>
          <w:color w:val="auto"/>
        </w:rPr>
        <w:t xml:space="preserve">14.01.03 </w:t>
      </w:r>
      <w:r>
        <w:rPr>
          <w:rFonts w:ascii="Arial" w:cs="Arial" w:eastAsia="Arial" w:hAnsi="Arial"/>
          <w:sz w:val="17"/>
          <w:szCs w:val="17"/>
          <w:color w:val="auto"/>
        </w:rPr>
        <w:t>Tenant’s abandonment of the Premises; provided that Tenant shall not be deemed to have abandoned the Premises if Tenant has made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arrangements for the security of the Premises for the balance of the Term, has decommissioned the Premises as required by Section 10.07 herein and Tenant continues to satisfy its obligations under this Lease;</w:t>
      </w:r>
    </w:p>
    <w:p>
      <w:pPr>
        <w:spacing w:after="0" w:line="163" w:lineRule="exact"/>
        <w:rPr>
          <w:sz w:val="20"/>
          <w:szCs w:val="20"/>
          <w:color w:val="auto"/>
        </w:rPr>
      </w:pPr>
    </w:p>
    <w:p>
      <w:pPr>
        <w:ind w:left="422"/>
        <w:spacing w:after="0"/>
        <w:rPr>
          <w:sz w:val="20"/>
          <w:szCs w:val="20"/>
          <w:color w:val="auto"/>
        </w:rPr>
      </w:pPr>
      <w:r>
        <w:rPr>
          <w:rFonts w:ascii="Arial" w:cs="Arial" w:eastAsia="Arial" w:hAnsi="Arial"/>
          <w:sz w:val="17"/>
          <w:szCs w:val="17"/>
          <w:b w:val="1"/>
          <w:bCs w:val="1"/>
          <w:color w:val="auto"/>
        </w:rPr>
        <w:t xml:space="preserve">14.01.04 </w:t>
      </w:r>
      <w:r>
        <w:rPr>
          <w:rFonts w:ascii="Arial" w:cs="Arial" w:eastAsia="Arial" w:hAnsi="Arial"/>
          <w:sz w:val="17"/>
          <w:szCs w:val="17"/>
          <w:color w:val="auto"/>
        </w:rPr>
        <w:t>Tenant’s (or any transferee of Tenant’s) attempt to make any Transfer of the Premises in violation of this Lease;</w:t>
      </w:r>
    </w:p>
    <w:p>
      <w:pPr>
        <w:spacing w:after="0" w:line="222" w:lineRule="exact"/>
        <w:rPr>
          <w:sz w:val="20"/>
          <w:szCs w:val="20"/>
          <w:color w:val="auto"/>
        </w:rPr>
      </w:pPr>
    </w:p>
    <w:p>
      <w:pPr>
        <w:ind w:left="2" w:right="20" w:firstLine="426"/>
        <w:spacing w:after="0" w:line="296" w:lineRule="auto"/>
        <w:rPr>
          <w:sz w:val="20"/>
          <w:szCs w:val="20"/>
          <w:color w:val="auto"/>
        </w:rPr>
      </w:pPr>
      <w:r>
        <w:rPr>
          <w:rFonts w:ascii="Arial" w:cs="Arial" w:eastAsia="Arial" w:hAnsi="Arial"/>
          <w:sz w:val="15"/>
          <w:szCs w:val="15"/>
          <w:b w:val="1"/>
          <w:bCs w:val="1"/>
          <w:color w:val="auto"/>
        </w:rPr>
        <w:t xml:space="preserve">14.01.05 </w:t>
      </w:r>
      <w:r>
        <w:rPr>
          <w:rFonts w:ascii="Arial" w:cs="Arial" w:eastAsia="Arial" w:hAnsi="Arial"/>
          <w:sz w:val="15"/>
          <w:szCs w:val="15"/>
          <w:color w:val="auto"/>
        </w:rPr>
        <w:t>(i) The making by Tenant or any guarantor of Tenant’s obligations hereunder of any general arrangement or general assignment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benefit of creditors; (ii) Tenant or any guarantor becoming a “debtor” as defined in 11 U.S.C. 101 or any successor statute thereto (unless, in the case of a petition filed against Tenant or guarantor, the same is dismissed within sixty (60) days); (iii) the appointment of a trustee or receiver to take possession of substantially all of Tenant’s assets located at the Premises or of Tenant’s interest in this Lease, where possession is not restored to Tenant within thirty</w:t>
      </w:r>
    </w:p>
    <w:p>
      <w:pPr>
        <w:spacing w:after="0" w:line="3" w:lineRule="exact"/>
        <w:rPr>
          <w:sz w:val="20"/>
          <w:szCs w:val="20"/>
          <w:color w:val="auto"/>
        </w:rPr>
      </w:pPr>
    </w:p>
    <w:p>
      <w:pPr>
        <w:ind w:left="2" w:right="140" w:hanging="2"/>
        <w:spacing w:after="0" w:line="264" w:lineRule="auto"/>
        <w:tabs>
          <w:tab w:leader="none" w:pos="33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days; (iv) the attachment, execution or other judicial seizure of substantially all of Tenant’s assets located at the Premises or of Tenant’s interest in this Lease, where such seizure is not discharged within thirty (30) days; or (v) the insolvency of Tenant. In the event that any provision of this Section 14.04(e) is unenforceable under applicable law, such provision shall be of no force or effect;</w:t>
      </w:r>
    </w:p>
    <w:p>
      <w:pPr>
        <w:spacing w:after="0" w:line="11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42"/>
          </w:cols>
          <w:pgMar w:left="618" w:top="270" w:right="639" w:bottom="1440" w:gutter="0" w:footer="0" w:header="0"/>
        </w:sectPr>
      </w:pPr>
    </w:p>
    <w:bookmarkStart w:id="437" w:name="page438"/>
    <w:bookmarkEnd w:id="437"/>
    <w:p>
      <w:pPr>
        <w:ind w:right="120" w:firstLine="426"/>
        <w:spacing w:after="0" w:line="27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14.01.06 </w:t>
      </w:r>
      <w:r>
        <w:rPr>
          <w:rFonts w:ascii="Arial" w:cs="Arial" w:eastAsia="Arial" w:hAnsi="Arial"/>
          <w:sz w:val="17"/>
          <w:szCs w:val="17"/>
          <w:color w:val="auto"/>
        </w:rPr>
        <w:t>The discovery by Landlord that any financial statement, representation or warranty given to Landlord by Tenant, or by any guarantor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hereunder, was materially false at the time given, Tenant acknowledging that Landlord has entered into this Lease in material reliance on such information;</w:t>
      </w:r>
    </w:p>
    <w:p>
      <w:pPr>
        <w:spacing w:after="0" w:line="163" w:lineRule="exact"/>
        <w:rPr>
          <w:sz w:val="20"/>
          <w:szCs w:val="20"/>
          <w:color w:val="auto"/>
        </w:rPr>
      </w:pPr>
    </w:p>
    <w:p>
      <w:pPr>
        <w:ind w:right="120" w:firstLine="426"/>
        <w:spacing w:after="0" w:line="295" w:lineRule="auto"/>
        <w:rPr>
          <w:sz w:val="20"/>
          <w:szCs w:val="20"/>
          <w:color w:val="auto"/>
        </w:rPr>
      </w:pPr>
      <w:r>
        <w:rPr>
          <w:rFonts w:ascii="Arial" w:cs="Arial" w:eastAsia="Arial" w:hAnsi="Arial"/>
          <w:sz w:val="17"/>
          <w:szCs w:val="17"/>
          <w:b w:val="1"/>
          <w:bCs w:val="1"/>
          <w:color w:val="auto"/>
        </w:rPr>
        <w:t xml:space="preserve">14.01.07 </w:t>
      </w:r>
      <w:r>
        <w:rPr>
          <w:rFonts w:ascii="Arial" w:cs="Arial" w:eastAsia="Arial" w:hAnsi="Arial"/>
          <w:sz w:val="17"/>
          <w:szCs w:val="17"/>
          <w:color w:val="auto"/>
        </w:rPr>
        <w:t>The failure of Tenant to comply with any of its obligations within the applicable specified timeframes under (i) Article 7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maintaining and evidencing the required insurance coverages; (ii) Article 15; (iii) Section 16.03; and (iv) Section 16.04.</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then, and in any such case, Landlord and its agents lawfully may, in addition to any remedies for any preceding breach, immediately or at any time thereafter without demand or notice and with or without process of law, enter upon any part of the Premises in the name of the whole or mail or deliver a notice of termination of the Term of this Lease addressed to Tenant at the Premises or any other address herein, and thereby terminate the Term and repossess the Premises as of Landlord’s former estate. At Landlord’s election such notice of termination may be included in any notice of default. Upon such entry or mailing the Term shall terminate, all executory rights of Tenant and all obligations of Landlord will immediately cease, and Landlord may expel Tenant and all persons claiming under Tenant and remove their effects without any trespass and without prejudice to any remedies for arrears of Rent or prior breach; and Tenant waives all statutory and equitable rights to its leasehold (including rights in the nature of further cure or redemption, if any). If Landlord engages attorneys in connection with any failure to perform by Tenant hereunder, Tenant shall promptly reimburse Landlord for the fees of such attorneys on demand as Additional Rent. Without implying that other provisions do not survive, the provisions of this Article shall survive the Term or earlier termination of this Lease.</w:t>
      </w:r>
    </w:p>
    <w:p>
      <w:pPr>
        <w:spacing w:after="0" w:line="188" w:lineRule="exact"/>
        <w:rPr>
          <w:sz w:val="20"/>
          <w:szCs w:val="20"/>
          <w:color w:val="auto"/>
        </w:rPr>
      </w:pPr>
    </w:p>
    <w:p>
      <w:pPr>
        <w:ind w:right="240" w:firstLine="426"/>
        <w:spacing w:after="0" w:line="266" w:lineRule="auto"/>
        <w:rPr>
          <w:sz w:val="20"/>
          <w:szCs w:val="20"/>
          <w:color w:val="auto"/>
        </w:rPr>
      </w:pPr>
      <w:r>
        <w:rPr>
          <w:rFonts w:ascii="Arial" w:cs="Arial" w:eastAsia="Arial" w:hAnsi="Arial"/>
          <w:sz w:val="17"/>
          <w:szCs w:val="17"/>
          <w:color w:val="auto"/>
        </w:rPr>
        <w:t>Rent forgiveness, allowances for (and/or Landlord expenses in designing and constructing) leasehold improvements to ready the Premises for Tenant’s occupancy and the like, if any, have been agreed to by Landlord as inducements for Tenant faithfully to perform all of its obligations. For all purposes, upon the occurrence and during the pendency of any Event of Default any future payments relating to such inducements shall be, at Landlord’s election, be tolled until the Event of Default has been cured.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14.02 Remedies for Default</w:t>
      </w:r>
      <w:r>
        <w:rPr>
          <w:rFonts w:ascii="Arial" w:cs="Arial" w:eastAsia="Arial" w:hAnsi="Arial"/>
          <w:sz w:val="17"/>
          <w:szCs w:val="17"/>
          <w:color w:val="auto"/>
        </w:rPr>
        <w:t>.</w:t>
      </w:r>
    </w:p>
    <w:p>
      <w:pPr>
        <w:spacing w:after="0" w:line="222" w:lineRule="exact"/>
        <w:rPr>
          <w:sz w:val="20"/>
          <w:szCs w:val="20"/>
          <w:color w:val="auto"/>
        </w:rPr>
      </w:pPr>
    </w:p>
    <w:p>
      <w:pPr>
        <w:ind w:right="140" w:firstLine="426"/>
        <w:spacing w:after="0" w:line="262" w:lineRule="auto"/>
        <w:rPr>
          <w:sz w:val="20"/>
          <w:szCs w:val="20"/>
          <w:color w:val="auto"/>
        </w:rPr>
      </w:pPr>
      <w:r>
        <w:rPr>
          <w:rFonts w:ascii="Arial" w:cs="Arial" w:eastAsia="Arial" w:hAnsi="Arial"/>
          <w:sz w:val="17"/>
          <w:szCs w:val="17"/>
          <w:b w:val="1"/>
          <w:bCs w:val="1"/>
          <w:color w:val="auto"/>
        </w:rPr>
        <w:t xml:space="preserve">14.02.01 </w:t>
      </w:r>
      <w:r>
        <w:rPr>
          <w:rFonts w:ascii="Arial" w:cs="Arial" w:eastAsia="Arial" w:hAnsi="Arial"/>
          <w:sz w:val="17"/>
          <w:szCs w:val="17"/>
          <w:u w:val="single" w:color="auto"/>
          <w:color w:val="auto"/>
        </w:rPr>
        <w:t>Reletting Expenses Damages</w:t>
      </w:r>
      <w:r>
        <w:rPr>
          <w:rFonts w:ascii="Arial" w:cs="Arial" w:eastAsia="Arial" w:hAnsi="Arial"/>
          <w:sz w:val="17"/>
          <w:szCs w:val="17"/>
          <w:color w:val="auto"/>
        </w:rPr>
        <w:t>. If the Term of this Lease is terminated for an Event of Default, Tenant covenants, as an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cumulative obligation after such termination, to pay all of Landlord’s reasonable out-of-pocket costs, including reasonable attorneys’ fees, related to Tenant’s Event of Default and in collecting amounts due and all reasonable expenses in connection with reletting, including tenant inducements to new tenants, brokerage commissions, fees for legal services, expenses of preparing the Premises for reletting and the like together with an administrative charge of fifteen percent (15%) of all the foregoing costs (“</w:t>
      </w:r>
      <w:r>
        <w:rPr>
          <w:rFonts w:ascii="Arial" w:cs="Arial" w:eastAsia="Arial" w:hAnsi="Arial"/>
          <w:sz w:val="17"/>
          <w:szCs w:val="17"/>
          <w:u w:val="single" w:color="auto"/>
          <w:color w:val="auto"/>
        </w:rPr>
        <w:t>Reletting Expenses</w:t>
      </w:r>
      <w:r>
        <w:rPr>
          <w:rFonts w:ascii="Arial" w:cs="Arial" w:eastAsia="Arial" w:hAnsi="Arial"/>
          <w:sz w:val="17"/>
          <w:szCs w:val="17"/>
          <w:color w:val="auto"/>
        </w:rPr>
        <w:t>”). It is agreed that Landlord may (i) relet the Premises or part or parts thereof for a term or terms that may be equal to, less than or exceed the period that would otherwise have constituted the balance of the Term, and may grant such tenant inducements,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40"/>
          </w:cols>
          <w:pgMar w:left="620" w:top="264" w:right="639" w:bottom="1440" w:gutter="0" w:footer="0" w:header="0"/>
        </w:sectPr>
      </w:pPr>
    </w:p>
    <w:bookmarkStart w:id="438" w:name="page439"/>
    <w:bookmarkEnd w:id="438"/>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including free rent, as Landlord in its sole discretion considers advisable, and (ii) make such alterations to the Premises as Landlord in its sole discretion considers advisable, and no failure to relet or to collect rent under any reletting shall operate to reduce Tenant’s liability. Any obligation to relet imposed by law will be subject to Landlord’s reasonable objectives of developing its property in a harmonious manner with appropriate mixes of tenants, uses, floor areas, terms and the like. Landlord’s Reletting Expenses together with all other sums provided for whether incurred prior to or after such termination will be due upon demand. Subject to the conditions and limitations hereafter set forth, Landlord agrees to use commercially reasonable efforts to relet the Premises to another tenant after Tenant vacates the Premises in the event that this Lease is terminated by Landlord as the result of an Event of Default hereunder. Marketing of the Premises in a manner similar to the manner in which Landlord markets other premises within Landlord’s control in the Building shall be deemed to have satisfied Landlord’s obligation to use “commercially reasonable efforts” to relet the Premises. In no event shall Landlord be required to (a) solicit or entertain negotiations with any other prospective tenants for the Premises until Landlord obtains full and complete possession of the Premises including, without limitation, the final and unappealable legal right to relet the Premises free of any claim of Tenant, (b) relet the Premises before leasing other vacant space in the Building, (c) lease the Premises for a rental or upon terms and conditions less than the current fair market rental and terms and conditions then prevailing for similar office space in the Building, (d) enter into a lease with any proposed tenant that does not have, in Landlord’s good faith opinion, sufficient financial resources or operating experience to operate the Premises in a first-class manner, or (e) relet the Premises for a use that is inconsistent with other uses in the Building or inconsistent with Landlord’s leasing program for the Building.</w:t>
      </w:r>
    </w:p>
    <w:p>
      <w:pPr>
        <w:spacing w:after="0" w:line="173" w:lineRule="exact"/>
        <w:rPr>
          <w:sz w:val="20"/>
          <w:szCs w:val="20"/>
          <w:color w:val="auto"/>
        </w:rPr>
      </w:pPr>
    </w:p>
    <w:p>
      <w:pPr>
        <w:ind w:right="40" w:firstLine="426"/>
        <w:spacing w:after="0" w:line="264" w:lineRule="auto"/>
        <w:rPr>
          <w:sz w:val="20"/>
          <w:szCs w:val="20"/>
          <w:color w:val="auto"/>
        </w:rPr>
      </w:pPr>
      <w:r>
        <w:rPr>
          <w:rFonts w:ascii="Arial" w:cs="Arial" w:eastAsia="Arial" w:hAnsi="Arial"/>
          <w:sz w:val="17"/>
          <w:szCs w:val="17"/>
          <w:b w:val="1"/>
          <w:bCs w:val="1"/>
          <w:color w:val="auto"/>
        </w:rPr>
        <w:t xml:space="preserve">14.02.02 </w:t>
      </w:r>
      <w:r>
        <w:rPr>
          <w:rFonts w:ascii="Arial" w:cs="Arial" w:eastAsia="Arial" w:hAnsi="Arial"/>
          <w:sz w:val="17"/>
          <w:szCs w:val="17"/>
          <w:u w:val="single" w:color="auto"/>
          <w:color w:val="auto"/>
        </w:rPr>
        <w:t>Termination Damages</w:t>
      </w:r>
      <w:r>
        <w:rPr>
          <w:rFonts w:ascii="Arial" w:cs="Arial" w:eastAsia="Arial" w:hAnsi="Arial"/>
          <w:sz w:val="17"/>
          <w:szCs w:val="17"/>
          <w:color w:val="auto"/>
        </w:rPr>
        <w:t>. If the Term of this Lease is terminated for default, unless and until Landlord elects lump sum liquidated damages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the next paragraph, Tenant covenants, as an additional, cumulative obligation after any such termination, to pay punctually to Landlord all the sums and perform all of its obligations in the same manner as if the Term had not been terminated. In calculating such amounts Tenant will be credited with the net proceeds of any rent then actually received by Landlord from a reletting of the Premises after deducting all Rent that has not then been paid by Tenant, provided that Tenant shall never be entitled to receive any portion of the re-letting proceeds, even if the same exceed the Rent originally due hereunder.</w:t>
      </w:r>
    </w:p>
    <w:p>
      <w:pPr>
        <w:spacing w:after="0" w:line="172" w:lineRule="exact"/>
        <w:rPr>
          <w:sz w:val="20"/>
          <w:szCs w:val="20"/>
          <w:color w:val="auto"/>
        </w:rPr>
      </w:pPr>
    </w:p>
    <w:p>
      <w:pPr>
        <w:ind w:right="20" w:firstLine="426"/>
        <w:spacing w:after="0" w:line="301" w:lineRule="auto"/>
        <w:rPr>
          <w:sz w:val="20"/>
          <w:szCs w:val="20"/>
          <w:color w:val="auto"/>
        </w:rPr>
      </w:pPr>
      <w:r>
        <w:rPr>
          <w:rFonts w:ascii="Arial" w:cs="Arial" w:eastAsia="Arial" w:hAnsi="Arial"/>
          <w:sz w:val="15"/>
          <w:szCs w:val="15"/>
          <w:b w:val="1"/>
          <w:bCs w:val="1"/>
          <w:color w:val="auto"/>
        </w:rPr>
        <w:t xml:space="preserve">14.02.03 </w:t>
      </w:r>
      <w:r>
        <w:rPr>
          <w:rFonts w:ascii="Arial" w:cs="Arial" w:eastAsia="Arial" w:hAnsi="Arial"/>
          <w:sz w:val="15"/>
          <w:szCs w:val="15"/>
          <w:u w:val="single" w:color="auto"/>
          <w:color w:val="auto"/>
        </w:rPr>
        <w:t>Lump Sum Liquidated Damages</w:t>
      </w:r>
      <w:r>
        <w:rPr>
          <w:rFonts w:ascii="Arial" w:cs="Arial" w:eastAsia="Arial" w:hAnsi="Arial"/>
          <w:sz w:val="15"/>
          <w:szCs w:val="15"/>
          <w:color w:val="auto"/>
        </w:rPr>
        <w:t>. If this Lease is terminated for default, Tenant covenants, as an additional, cumulative obligation after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such termination, to pay forthwith to Landlord at Landlord’s election made by written notice at any time after termination, as liquidated damages a single lump sum payment equal to </w:t>
      </w:r>
      <w:r>
        <w:rPr>
          <w:rFonts w:ascii="Arial" w:cs="Arial" w:eastAsia="Arial" w:hAnsi="Arial"/>
          <w:sz w:val="15"/>
          <w:szCs w:val="15"/>
          <w:u w:val="single" w:color="auto"/>
          <w:color w:val="auto"/>
        </w:rPr>
        <w:t>the sum</w:t>
      </w:r>
      <w:r>
        <w:rPr>
          <w:rFonts w:ascii="Arial" w:cs="Arial" w:eastAsia="Arial" w:hAnsi="Arial"/>
          <w:sz w:val="15"/>
          <w:szCs w:val="15"/>
          <w:color w:val="auto"/>
        </w:rPr>
        <w:t xml:space="preserve"> of (i) all sums to be paid by Tenant and not then paid at the time of such election, </w:t>
      </w:r>
      <w:r>
        <w:rPr>
          <w:rFonts w:ascii="Arial" w:cs="Arial" w:eastAsia="Arial" w:hAnsi="Arial"/>
          <w:sz w:val="15"/>
          <w:szCs w:val="15"/>
          <w:u w:val="single" w:color="auto"/>
          <w:color w:val="auto"/>
        </w:rPr>
        <w:t>plus</w:t>
      </w:r>
      <w:r>
        <w:rPr>
          <w:rFonts w:ascii="Arial" w:cs="Arial" w:eastAsia="Arial" w:hAnsi="Arial"/>
          <w:sz w:val="15"/>
          <w:szCs w:val="15"/>
          <w:color w:val="auto"/>
        </w:rPr>
        <w:t>, (ii) the excess of the present value of all of the Rent reserved for the residue of the Term (with Additional Rent deemed to increase ten percent (10%) in each year on a compounding basis) over the present value of the aggregate fair market rent and Additional Rent payable (if less than the Rent payable hereunder) on account of the Premises during such period, which fair market rent shall be reduced by reasonable projections of vacancies and by Landlord’s Reletting Expenses described above to the extent not theretofore paid to Landlord). (The Federal Reserve discount rate (or equivalent) shall be used in calculating such present values under clause (ii), and in the event the parties are unable to agree on such fair market rent, the matter shall be submitted, upon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600"/>
          </w:cols>
          <w:pgMar w:left="620" w:top="270" w:right="679" w:bottom="1440" w:gutter="0" w:footer="0" w:header="0"/>
        </w:sectPr>
      </w:pPr>
    </w:p>
    <w:bookmarkStart w:id="439" w:name="page440"/>
    <w:bookmarkEnd w:id="439"/>
    <w:p>
      <w:pPr>
        <w:spacing w:after="0" w:line="32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demand of either party, to the office of the American Arbitration Association (or successor) closest to the Property, with a request for arbitration in accordance with the rules of the Association by a single arbitrator who shall be a licensed real estate broker with at least ten (10) years’ experience in the leasing of office/laboratory buildings similar in character and location to the Premises, whose decision shall be conclusive and binding on the parties.)</w:t>
      </w:r>
    </w:p>
    <w:p>
      <w:pPr>
        <w:spacing w:after="0" w:line="131" w:lineRule="exact"/>
        <w:rPr>
          <w:sz w:val="20"/>
          <w:szCs w:val="20"/>
          <w:color w:val="auto"/>
        </w:rPr>
      </w:pPr>
    </w:p>
    <w:p>
      <w:pPr>
        <w:ind w:firstLine="426"/>
        <w:spacing w:after="0" w:line="279" w:lineRule="auto"/>
        <w:rPr>
          <w:sz w:val="20"/>
          <w:szCs w:val="20"/>
          <w:color w:val="auto"/>
        </w:rPr>
      </w:pPr>
      <w:r>
        <w:rPr>
          <w:rFonts w:ascii="Arial" w:cs="Arial" w:eastAsia="Arial" w:hAnsi="Arial"/>
          <w:sz w:val="16"/>
          <w:szCs w:val="16"/>
          <w:b w:val="1"/>
          <w:bCs w:val="1"/>
          <w:color w:val="auto"/>
        </w:rPr>
        <w:t xml:space="preserve">14.02.04 </w:t>
      </w:r>
      <w:r>
        <w:rPr>
          <w:rFonts w:ascii="Arial" w:cs="Arial" w:eastAsia="Arial" w:hAnsi="Arial"/>
          <w:sz w:val="16"/>
          <w:szCs w:val="16"/>
          <w:u w:val="single" w:color="auto"/>
          <w:color w:val="auto"/>
        </w:rPr>
        <w:t>Remedies Cumulative; Late Performance</w:t>
      </w:r>
      <w:r>
        <w:rPr>
          <w:rFonts w:ascii="Arial" w:cs="Arial" w:eastAsia="Arial" w:hAnsi="Arial"/>
          <w:sz w:val="16"/>
          <w:szCs w:val="16"/>
          <w:color w:val="auto"/>
        </w:rPr>
        <w:t>. The remedies to which Landlord may resort under this Lease, and all other rights and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of Landlord are cumulative, and any two or more may be exercised at the same time. Nothing in this Lease shall limit the right of Landlord to prove and obtain in proceedings for bankruptcy or insolvency an amount equal to the maximum allowed by any statute or rule of law in effect at the time; and Tenant agrees that the fair value for occupancy of all or any part of the Premises at all times shall never be less than the Base Rent and all Additional Rent payable from time to time. Tenant shall also indemnify and hold Landlord harmless in the manner provided elsewhere herein if Landlord shall become or be made a party to any claim or action (a) instituted by Tenant against any third party, or by any third party against Tenant, or by or against any person claiming Tenant; (b) for foreclosure of any lien for labor or material furnished to or for Tenant or such other person; (c) otherwise arising out of or resulting from any act or transaction of Tenant or such other person; or (d) necessary to protect Landlord’s interest under this Lease in a bankruptcy proceeding, or other proceeding under Title 11 of the United States Code, as amended.</w:t>
      </w:r>
    </w:p>
    <w:p>
      <w:pPr>
        <w:spacing w:after="0" w:line="164" w:lineRule="exact"/>
        <w:rPr>
          <w:sz w:val="20"/>
          <w:szCs w:val="20"/>
          <w:color w:val="auto"/>
        </w:rPr>
      </w:pPr>
    </w:p>
    <w:p>
      <w:pPr>
        <w:ind w:right="100" w:firstLine="426"/>
        <w:spacing w:after="0" w:line="260" w:lineRule="auto"/>
        <w:rPr>
          <w:sz w:val="20"/>
          <w:szCs w:val="20"/>
          <w:color w:val="auto"/>
        </w:rPr>
      </w:pPr>
      <w:r>
        <w:rPr>
          <w:rFonts w:ascii="Arial" w:cs="Arial" w:eastAsia="Arial" w:hAnsi="Arial"/>
          <w:sz w:val="17"/>
          <w:szCs w:val="17"/>
          <w:b w:val="1"/>
          <w:bCs w:val="1"/>
          <w:color w:val="auto"/>
        </w:rPr>
        <w:t xml:space="preserve">14.02.05 </w:t>
      </w:r>
      <w:r>
        <w:rPr>
          <w:rFonts w:ascii="Arial" w:cs="Arial" w:eastAsia="Arial" w:hAnsi="Arial"/>
          <w:sz w:val="17"/>
          <w:szCs w:val="17"/>
          <w:u w:val="single" w:color="auto"/>
          <w:color w:val="auto"/>
        </w:rPr>
        <w:t>Waivers; Accord and Satisfaction</w:t>
      </w:r>
      <w:r>
        <w:rPr>
          <w:rFonts w:ascii="Arial" w:cs="Arial" w:eastAsia="Arial" w:hAnsi="Arial"/>
          <w:sz w:val="17"/>
          <w:szCs w:val="17"/>
          <w:color w:val="auto"/>
        </w:rPr>
        <w:t>. No consent by Landlord or Tenant to any act or omission that otherwise would be a default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permit other similar acts or omissions. Neither party’s failure to seek redress for violation or to insist upon the strict performance of any covenant, nor the receipt by Landlord of Rent with knowledge of any breach of covenant, shall be deemed a consent to or waiver of such breach. No breach of covenant shall be implied to have been waived unless such is in writing, signed by the party benefiting from such covenant and delivered to the other party; and no acceptance by Landlord of a lesser sum than the Rent due shall be deemed to be other than on account of the earliest installment of such Rent. Nor shall any endorsement or statement on any check or in any letter accompanying any check or payment be deemed an accord and satisfaction; and Landlord may accept such check or payment without prejudice to Landlord’s right to recover the balance of such installment or pursue any other right or remedy. The acceptance by Landlord of any Rent following the giving of any default and/or termination notice shall not be deemed a waiver of such notice. If Landlord commences any summary proceeding for possession of the Premises or in any action based on non-payment of Rent by Tenant hereunder, Tenant hereby waives the right to interpose any non-compulsory claim or counterclaim of whatever nature or description in any such proceeding.</w:t>
      </w:r>
    </w:p>
    <w:p>
      <w:pPr>
        <w:spacing w:after="0" w:line="177" w:lineRule="exact"/>
        <w:rPr>
          <w:sz w:val="20"/>
          <w:szCs w:val="20"/>
          <w:color w:val="auto"/>
        </w:rPr>
      </w:pPr>
    </w:p>
    <w:p>
      <w:pPr>
        <w:ind w:firstLine="426"/>
        <w:spacing w:after="0" w:line="262" w:lineRule="auto"/>
        <w:rPr>
          <w:sz w:val="20"/>
          <w:szCs w:val="20"/>
          <w:color w:val="auto"/>
        </w:rPr>
      </w:pPr>
      <w:r>
        <w:rPr>
          <w:rFonts w:ascii="Arial" w:cs="Arial" w:eastAsia="Arial" w:hAnsi="Arial"/>
          <w:sz w:val="17"/>
          <w:szCs w:val="17"/>
          <w:b w:val="1"/>
          <w:bCs w:val="1"/>
          <w:color w:val="auto"/>
        </w:rPr>
        <w:t xml:space="preserve">14.02.06 </w:t>
      </w:r>
      <w:r>
        <w:rPr>
          <w:rFonts w:ascii="Arial" w:cs="Arial" w:eastAsia="Arial" w:hAnsi="Arial"/>
          <w:sz w:val="17"/>
          <w:szCs w:val="17"/>
          <w:u w:val="single" w:color="auto"/>
          <w:color w:val="auto"/>
        </w:rPr>
        <w:t>Landlord’s Curing</w:t>
      </w:r>
      <w:r>
        <w:rPr>
          <w:rFonts w:ascii="Arial" w:cs="Arial" w:eastAsia="Arial" w:hAnsi="Arial"/>
          <w:sz w:val="17"/>
          <w:szCs w:val="17"/>
          <w:color w:val="auto"/>
        </w:rPr>
        <w:t>. If Tenant fails to perform any covenant within any applicable cure period, then Landlord at its option may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waiving any right or remedy for Tenant’s non-performance) at any time thereafter perform the covenant for the account of Tenant. Tenant shall upon demand reimburse Landlord’s out-of-pocket cost (including reasonable attorneys’ fees) of so performing, together with an administrative charge equal to fifteen percent (15%) of such cost (“</w:t>
      </w:r>
      <w:r>
        <w:rPr>
          <w:rFonts w:ascii="Arial" w:cs="Arial" w:eastAsia="Arial" w:hAnsi="Arial"/>
          <w:sz w:val="17"/>
          <w:szCs w:val="17"/>
          <w:u w:val="single" w:color="auto"/>
          <w:color w:val="auto"/>
        </w:rPr>
        <w:t>Administrative Charge</w:t>
      </w:r>
      <w:r>
        <w:rPr>
          <w:rFonts w:ascii="Arial" w:cs="Arial" w:eastAsia="Arial" w:hAnsi="Arial"/>
          <w:sz w:val="17"/>
          <w:szCs w:val="17"/>
          <w:color w:val="auto"/>
        </w:rPr>
        <w:t>”) on demand as Additional Rent. Notwithstanding any other provision concerning cure periods, Landlord may cure any non-performance for the account of Tenant after such notice to Tenant, if any, as is reasonable under the circumstances if curing prior to the expiration of the applicable cure period is reasonably necessary to prevent likely damage to the Premises or possible injury to persons, or to protect Landlord’s interest in the Premises.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640"/>
          </w:cols>
          <w:pgMar w:left="620" w:top="270" w:right="639" w:bottom="1440" w:gutter="0" w:footer="0" w:header="0"/>
        </w:sectPr>
      </w:pPr>
    </w:p>
    <w:bookmarkStart w:id="440" w:name="page441"/>
    <w:bookmarkEnd w:id="44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15: SECURITY DEPOSIT/LETTER OF CREDIT</w:t>
      </w:r>
    </w:p>
    <w:p>
      <w:pPr>
        <w:spacing w:after="0" w:line="124" w:lineRule="exact"/>
        <w:rPr>
          <w:sz w:val="20"/>
          <w:szCs w:val="20"/>
          <w:color w:val="auto"/>
        </w:rPr>
      </w:pPr>
    </w:p>
    <w:p>
      <w:pPr>
        <w:ind w:right="60" w:firstLine="426"/>
        <w:spacing w:after="0" w:line="274" w:lineRule="auto"/>
        <w:rPr>
          <w:sz w:val="20"/>
          <w:szCs w:val="20"/>
          <w:color w:val="auto"/>
        </w:rPr>
      </w:pPr>
      <w:r>
        <w:rPr>
          <w:rFonts w:ascii="Arial" w:cs="Arial" w:eastAsia="Arial" w:hAnsi="Arial"/>
          <w:sz w:val="16"/>
          <w:szCs w:val="16"/>
          <w:color w:val="auto"/>
        </w:rPr>
        <w:t xml:space="preserve">Simultaneously with the execution and delivery of this Lease, Tenant shall deliver to Landlord a clean, irrevocable letter of credit in the Letter of Credit Amount (as defined in Article 1)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or otherwise satisfactory in form and content to Landlord and issued by an FDIC insured bank reasonably satisfactory to Landlord in favor of Landlord. During the Term hereof, including any extensions thereof, or for any period that Tenant remains in possession of the premises following the expiration of the term, or for any period Tenant has obligations hereunder to Landlord that remain unsatisfied following the expiration of the term (as may be extended), and for ninety (90) days after the latest to occur of the foregoing (i.e., the expiration of the term (as may be extended), the date on which Tenant vacates and yields up the premises, etc.), the letter of credit shall be held to ensure the full and timely performance of Tenant’s obligations under this Lease; which letter of credit may be drawn upon by Landlord after an Event of Default (provided, however, that delivery of a default notice to Tenant shall not be required for purposes of this Article 15 and to draw on the letter of credit if Landlord is prohibited from delivering same under applicable law, including, without limitation, all applicable bankruptcy insolvency laws) and applied from time to time against outstanding obligations of Tenant hereunder without notice or demand. Tenant shall have no right to require Landlord to so draw and apply the letter of credit, nor shall Tenant be entitled to credit the same against rents or other sums payable hereunder. During the entire Term hereof, including any extension thereof, Tenant shall cause said letter of credit to be renewed, in form reasonably acceptable to Landlord if different in form to that delivered hereunder, prior to the date of expiration of same. Without limiting any other remedies of Landlord, in the event that Tenant fails to renew any letter of credit given hereunder prior to the date of expiration thereof, then Landlord shall have the right to draw down the entire amount of said letter of credit and hold such sums as a cash deposit. If and to the extent that Landlord makes such use of the letter of credit, or any part thereof, the sum so applied by Landlord (from cash or from a drawing on the letter of credit) shall be restored to the letter of credit (or by a new letter of credit equal to the difference) by Tenant forthwith upon notice from Landlord, and failure to so restore (within the grace period applicable to Base Rent hereunder) shall be a default hereunder giving rise to all of Landlord’s rights and remedies applicable to a default in the payment of rent. In the event of a change of circumstance relating to the bank issuing the letter of credit, or Landlord otherwise reasonably believes the financial conditions of the issuing bank has been degraded, Landlord reserves the right to require Tenant to replace the letter of credit from time to time with a substitute similar letter of credit issued by another bank satisfactory to Landlord.</w:t>
      </w:r>
    </w:p>
    <w:p>
      <w:pPr>
        <w:spacing w:after="0" w:line="184" w:lineRule="exact"/>
        <w:rPr>
          <w:sz w:val="20"/>
          <w:szCs w:val="20"/>
          <w:color w:val="auto"/>
        </w:rPr>
      </w:pPr>
    </w:p>
    <w:p>
      <w:pPr>
        <w:ind w:firstLine="426"/>
        <w:spacing w:after="0" w:line="284" w:lineRule="auto"/>
        <w:rPr>
          <w:sz w:val="20"/>
          <w:szCs w:val="20"/>
          <w:color w:val="auto"/>
        </w:rPr>
      </w:pPr>
      <w:r>
        <w:rPr>
          <w:rFonts w:ascii="Arial" w:cs="Arial" w:eastAsia="Arial" w:hAnsi="Arial"/>
          <w:sz w:val="16"/>
          <w:szCs w:val="16"/>
          <w:color w:val="auto"/>
        </w:rPr>
        <w:t>Notwithstanding the foregoing, in the event Tenant fails to provide Landlord with evidence reasonably satisfactory to Landlord by the date that is two (2) months following the Term Commencement Date indicating that Tenant has closed on its second (2</w:t>
      </w:r>
      <w:r>
        <w:rPr>
          <w:rFonts w:ascii="Arial" w:cs="Arial" w:eastAsia="Arial" w:hAnsi="Arial"/>
          <w:sz w:val="13"/>
          <w:szCs w:val="13"/>
          <w:color w:val="auto"/>
        </w:rPr>
        <w:t>nd</w:t>
      </w:r>
      <w:r>
        <w:rPr>
          <w:rFonts w:ascii="Arial" w:cs="Arial" w:eastAsia="Arial" w:hAnsi="Arial"/>
          <w:sz w:val="16"/>
          <w:szCs w:val="16"/>
          <w:color w:val="auto"/>
        </w:rPr>
        <w:t>) tranche of financing in the amount of $3,000,000.00 (the “2</w:t>
      </w:r>
      <w:r>
        <w:rPr>
          <w:rFonts w:ascii="Arial" w:cs="Arial" w:eastAsia="Arial" w:hAnsi="Arial"/>
          <w:sz w:val="13"/>
          <w:szCs w:val="13"/>
          <w:color w:val="auto"/>
        </w:rPr>
        <w:t>nd</w:t>
      </w:r>
      <w:r>
        <w:rPr>
          <w:rFonts w:ascii="Arial" w:cs="Arial" w:eastAsia="Arial" w:hAnsi="Arial"/>
          <w:sz w:val="16"/>
          <w:szCs w:val="16"/>
          <w:color w:val="auto"/>
        </w:rPr>
        <w:t xml:space="preserve"> Tranche”) Tenant shall increase the Letter of Credit Amount to $168,339.78 by providing Landlord with a substitute letter of credit in the increased amount in exchange for the existing letter of credit(s) which Landlord is then holding, or by an amendment to the existing letter of credit(s) then held by Landlord, in form and substance acceptable to Landlord, which is accepted by Landlord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640"/>
          </w:cols>
          <w:pgMar w:left="620" w:top="264" w:right="639" w:bottom="1440" w:gutter="0" w:footer="0" w:header="0"/>
        </w:sectPr>
      </w:pPr>
    </w:p>
    <w:bookmarkStart w:id="441" w:name="page442"/>
    <w:bookmarkEnd w:id="441"/>
    <w:p>
      <w:pPr>
        <w:ind w:firstLine="42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Provided that: (i) Tenant has not been in default of any of its obligations under this Lease after the giving of any applicable notice and the expiration of any applicable cure period prior to any Reduction Date, as hereinafter defined, in question, (ii) Tenant is, as of such Reduction Date, not in default of its obligation under the Lease (provided, however, that if there is no reduction of the security deposit based upon Tenant’s failure to satisfy the condition set forth in this clause (ii), then Tenant may subsequently achieve a reduction in the security deposit pursuant to this sentence at such time as Tenant cures such default, so long as the Lease is then in full force and effect and Tenant is otherwise then in full compliance with its obligations under the Lease), and (iii) the Lease is then in full force and effect, Landlord shall refund to Tenant such portion of the letter of credit which it is then holding so as to cause the Letter of Credit Amount to be reduced as of each Reduction Date to the amount shown in the following schedule:</w:t>
      </w:r>
    </w:p>
    <w:p>
      <w:pPr>
        <w:spacing w:after="0" w:line="306"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6160" w:type="dxa"/>
            <w:vAlign w:val="bottom"/>
            <w:gridSpan w:val="2"/>
          </w:tcPr>
          <w:p>
            <w:pPr>
              <w:spacing w:after="0"/>
              <w:rPr>
                <w:sz w:val="20"/>
                <w:szCs w:val="20"/>
                <w:color w:val="auto"/>
              </w:rPr>
            </w:pPr>
            <w:r>
              <w:rPr>
                <w:rFonts w:ascii="Arial" w:cs="Arial" w:eastAsia="Arial" w:hAnsi="Arial"/>
                <w:sz w:val="14"/>
                <w:szCs w:val="14"/>
                <w:color w:val="auto"/>
              </w:rPr>
              <w:t>Reduction Date</w:t>
            </w:r>
          </w:p>
        </w:tc>
        <w:tc>
          <w:tcPr>
            <w:tcW w:w="2580" w:type="dxa"/>
            <w:vAlign w:val="bottom"/>
          </w:tcPr>
          <w:p>
            <w:pPr>
              <w:ind w:left="400"/>
              <w:spacing w:after="0"/>
              <w:rPr>
                <w:sz w:val="20"/>
                <w:szCs w:val="20"/>
                <w:color w:val="auto"/>
              </w:rPr>
            </w:pPr>
            <w:r>
              <w:rPr>
                <w:rFonts w:ascii="Arial" w:cs="Arial" w:eastAsia="Arial" w:hAnsi="Arial"/>
                <w:sz w:val="14"/>
                <w:szCs w:val="14"/>
                <w:color w:val="auto"/>
                <w:w w:val="91"/>
              </w:rPr>
              <w:t>New Reduced Letter of Credit Amount</w:t>
            </w: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The date Tenant provides Landlord with evidence reasonably satisfactory to</w:t>
            </w:r>
          </w:p>
        </w:tc>
        <w:tc>
          <w:tcPr>
            <w:tcW w:w="25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Landlord indicating that Tenant has closed on the 2</w:t>
            </w:r>
            <w:r>
              <w:rPr>
                <w:rFonts w:ascii="Arial" w:cs="Arial" w:eastAsia="Arial" w:hAnsi="Arial"/>
                <w:sz w:val="14"/>
                <w:szCs w:val="14"/>
                <w:color w:val="auto"/>
              </w:rPr>
              <w:t>nd</w:t>
            </w:r>
            <w:r>
              <w:rPr>
                <w:rFonts w:ascii="Arial" w:cs="Arial" w:eastAsia="Arial" w:hAnsi="Arial"/>
                <w:sz w:val="17"/>
                <w:szCs w:val="17"/>
                <w:color w:val="auto"/>
              </w:rPr>
              <w:t xml:space="preserve"> Tranche</w:t>
            </w:r>
          </w:p>
        </w:tc>
        <w:tc>
          <w:tcPr>
            <w:tcW w:w="2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$112,226.52</w:t>
            </w: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The date Tenant provides Landlord with evidence reasonably satisfactory to</w:t>
            </w:r>
          </w:p>
        </w:tc>
        <w:tc>
          <w:tcPr>
            <w:tcW w:w="25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7"/>
                <w:szCs w:val="17"/>
                <w:color w:val="auto"/>
              </w:rPr>
              <w:t>Landlord indicating that Tenant has closed on its third (3</w:t>
            </w:r>
            <w:r>
              <w:rPr>
                <w:rFonts w:ascii="Arial" w:cs="Arial" w:eastAsia="Arial" w:hAnsi="Arial"/>
                <w:sz w:val="14"/>
                <w:szCs w:val="14"/>
                <w:color w:val="auto"/>
              </w:rPr>
              <w:t>rd</w:t>
            </w:r>
            <w:r>
              <w:rPr>
                <w:rFonts w:ascii="Arial" w:cs="Arial" w:eastAsia="Arial" w:hAnsi="Arial"/>
                <w:sz w:val="17"/>
                <w:szCs w:val="17"/>
                <w:color w:val="auto"/>
              </w:rPr>
              <w:t>) tranche of financing</w:t>
            </w:r>
          </w:p>
        </w:tc>
        <w:tc>
          <w:tcPr>
            <w:tcW w:w="258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160"/>
              <w:spacing w:after="0"/>
              <w:rPr>
                <w:sz w:val="20"/>
                <w:szCs w:val="20"/>
                <w:color w:val="auto"/>
              </w:rPr>
            </w:pPr>
            <w:r>
              <w:rPr>
                <w:rFonts w:ascii="Arial" w:cs="Arial" w:eastAsia="Arial" w:hAnsi="Arial"/>
                <w:sz w:val="17"/>
                <w:szCs w:val="17"/>
                <w:color w:val="auto"/>
              </w:rPr>
              <w:t>in an amount of at least $3,000.000.00</w:t>
            </w:r>
          </w:p>
        </w:tc>
        <w:tc>
          <w:tcPr>
            <w:tcW w:w="2580" w:type="dxa"/>
            <w:vAlign w:val="bottom"/>
          </w:tcPr>
          <w:p>
            <w:pPr>
              <w:ind w:left="400"/>
              <w:spacing w:after="0"/>
              <w:rPr>
                <w:sz w:val="20"/>
                <w:szCs w:val="20"/>
                <w:color w:val="auto"/>
              </w:rPr>
            </w:pPr>
            <w:r>
              <w:rPr>
                <w:rFonts w:ascii="Arial" w:cs="Arial" w:eastAsia="Arial" w:hAnsi="Arial"/>
                <w:sz w:val="17"/>
                <w:szCs w:val="17"/>
                <w:color w:val="auto"/>
              </w:rPr>
              <w:t>$93,522.10</w:t>
            </w: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The last day of the third (3</w:t>
            </w:r>
            <w:r>
              <w:rPr>
                <w:rFonts w:ascii="Arial" w:cs="Arial" w:eastAsia="Arial" w:hAnsi="Arial"/>
                <w:sz w:val="14"/>
                <w:szCs w:val="14"/>
                <w:color w:val="auto"/>
              </w:rPr>
              <w:t>rd</w:t>
            </w:r>
            <w:r>
              <w:rPr>
                <w:rFonts w:ascii="Arial" w:cs="Arial" w:eastAsia="Arial" w:hAnsi="Arial"/>
                <w:sz w:val="17"/>
                <w:szCs w:val="17"/>
                <w:color w:val="auto"/>
              </w:rPr>
              <w:t>) Lease Year</w:t>
            </w:r>
          </w:p>
        </w:tc>
        <w:tc>
          <w:tcPr>
            <w:tcW w:w="2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$74,817.68</w:t>
            </w: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The last day of the fourth (4</w:t>
            </w:r>
            <w:r>
              <w:rPr>
                <w:rFonts w:ascii="Arial" w:cs="Arial" w:eastAsia="Arial" w:hAnsi="Arial"/>
                <w:sz w:val="14"/>
                <w:szCs w:val="14"/>
                <w:color w:val="auto"/>
              </w:rPr>
              <w:t>th</w:t>
            </w:r>
            <w:r>
              <w:rPr>
                <w:rFonts w:ascii="Arial" w:cs="Arial" w:eastAsia="Arial" w:hAnsi="Arial"/>
                <w:sz w:val="17"/>
                <w:szCs w:val="17"/>
                <w:color w:val="auto"/>
              </w:rPr>
              <w:t>) Lease Year</w:t>
            </w:r>
          </w:p>
        </w:tc>
        <w:tc>
          <w:tcPr>
            <w:tcW w:w="2580" w:type="dxa"/>
            <w:vAlign w:val="bottom"/>
          </w:tcPr>
          <w:p>
            <w:pPr>
              <w:ind w:left="400"/>
              <w:spacing w:after="0"/>
              <w:rPr>
                <w:sz w:val="20"/>
                <w:szCs w:val="20"/>
                <w:color w:val="auto"/>
              </w:rPr>
            </w:pPr>
            <w:r>
              <w:rPr>
                <w:rFonts w:ascii="Arial" w:cs="Arial" w:eastAsia="Arial" w:hAnsi="Arial"/>
                <w:sz w:val="17"/>
                <w:szCs w:val="17"/>
                <w:color w:val="auto"/>
              </w:rPr>
              <w:t>$37,408.84</w:t>
            </w:r>
          </w:p>
        </w:tc>
      </w:tr>
    </w:tbl>
    <w:p>
      <w:pPr>
        <w:spacing w:after="0" w:line="184" w:lineRule="exact"/>
        <w:rPr>
          <w:sz w:val="20"/>
          <w:szCs w:val="20"/>
          <w:color w:val="auto"/>
        </w:rPr>
      </w:pPr>
    </w:p>
    <w:p>
      <w:pPr>
        <w:jc w:val="both"/>
        <w:ind w:right="20" w:firstLine="426"/>
        <w:spacing w:after="0" w:line="272" w:lineRule="auto"/>
        <w:rPr>
          <w:sz w:val="20"/>
          <w:szCs w:val="20"/>
          <w:color w:val="auto"/>
        </w:rPr>
      </w:pPr>
      <w:r>
        <w:rPr>
          <w:rFonts w:ascii="Arial" w:cs="Arial" w:eastAsia="Arial" w:hAnsi="Arial"/>
          <w:sz w:val="17"/>
          <w:szCs w:val="17"/>
          <w:color w:val="auto"/>
        </w:rPr>
        <w:t>Any reduction in the Letter of Credit Amount shall be accomplished by Tenant providing Landlord with a substitute letter of credit in the reduced amount in exchange for the existing letter of credit(s) which Landlord is then holding, or by an amendment to the existing letter of credit(s) then held by Landlord, in form and substance acceptable to Landlord, which is accepted by Landlord in writing.</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16: PROTECTION OF LENDERS</w:t>
      </w:r>
    </w:p>
    <w:p>
      <w:pPr>
        <w:spacing w:after="0" w:line="118" w:lineRule="exact"/>
        <w:rPr>
          <w:sz w:val="20"/>
          <w:szCs w:val="20"/>
          <w:color w:val="auto"/>
        </w:rPr>
      </w:pPr>
    </w:p>
    <w:p>
      <w:pPr>
        <w:ind w:right="80" w:firstLine="426"/>
        <w:spacing w:after="0" w:line="269" w:lineRule="auto"/>
        <w:rPr>
          <w:sz w:val="20"/>
          <w:szCs w:val="20"/>
          <w:color w:val="auto"/>
        </w:rPr>
      </w:pPr>
      <w:r>
        <w:rPr>
          <w:rFonts w:ascii="Arial" w:cs="Arial" w:eastAsia="Arial" w:hAnsi="Arial"/>
          <w:sz w:val="17"/>
          <w:szCs w:val="17"/>
          <w:b w:val="1"/>
          <w:bCs w:val="1"/>
          <w:color w:val="auto"/>
        </w:rPr>
        <w:t>16.01 Subordination and Superiority of Lease</w:t>
      </w:r>
      <w:r>
        <w:rPr>
          <w:rFonts w:ascii="Arial" w:cs="Arial" w:eastAsia="Arial" w:hAnsi="Arial"/>
          <w:sz w:val="17"/>
          <w:szCs w:val="17"/>
          <w:color w:val="auto"/>
        </w:rPr>
        <w:t>. Tenant agrees that this Lease and the rights of Tenant hereunder will be subject and subordinate</w:t>
      </w:r>
      <w:r>
        <w:rPr>
          <w:rFonts w:ascii="Arial" w:cs="Arial" w:eastAsia="Arial" w:hAnsi="Arial"/>
          <w:sz w:val="17"/>
          <w:szCs w:val="17"/>
          <w:b w:val="1"/>
          <w:bCs w:val="1"/>
          <w:color w:val="auto"/>
        </w:rPr>
        <w:t xml:space="preserve"> </w:t>
      </w:r>
      <w:r>
        <w:rPr>
          <w:rFonts w:ascii="Arial" w:cs="Arial" w:eastAsia="Arial" w:hAnsi="Arial"/>
          <w:sz w:val="17"/>
          <w:szCs w:val="17"/>
          <w:color w:val="auto"/>
        </w:rPr>
        <w:t>to any lien of the holder of any existing or future mortgage, and to the rights of any lessor under any ground or improvements lease of the Building (all mortgages and ground or improvements leases of any priority are collectively referred to in this Lease as “</w:t>
      </w:r>
      <w:r>
        <w:rPr>
          <w:rFonts w:ascii="Arial" w:cs="Arial" w:eastAsia="Arial" w:hAnsi="Arial"/>
          <w:sz w:val="17"/>
          <w:szCs w:val="17"/>
          <w:u w:val="single" w:color="auto"/>
          <w:color w:val="auto"/>
        </w:rPr>
        <w:t>mortgage</w:t>
      </w:r>
      <w:r>
        <w:rPr>
          <w:rFonts w:ascii="Arial" w:cs="Arial" w:eastAsia="Arial" w:hAnsi="Arial"/>
          <w:sz w:val="17"/>
          <w:szCs w:val="17"/>
          <w:color w:val="auto"/>
        </w:rPr>
        <w:t>,” and the holder or lessor thereof from time to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20"/>
          </w:cols>
          <w:pgMar w:left="620" w:top="270" w:right="659" w:bottom="1440" w:gutter="0" w:footer="0" w:header="0"/>
        </w:sectPr>
      </w:pPr>
    </w:p>
    <w:bookmarkStart w:id="442" w:name="page443"/>
    <w:bookmarkEnd w:id="442"/>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time as a “</w:t>
      </w:r>
      <w:r>
        <w:rPr>
          <w:rFonts w:ascii="Arial" w:cs="Arial" w:eastAsia="Arial" w:hAnsi="Arial"/>
          <w:sz w:val="15"/>
          <w:szCs w:val="15"/>
          <w:u w:val="single" w:color="auto"/>
          <w:color w:val="auto"/>
        </w:rPr>
        <w:t>mortgagee</w:t>
      </w:r>
      <w:r>
        <w:rPr>
          <w:rFonts w:ascii="Arial" w:cs="Arial" w:eastAsia="Arial" w:hAnsi="Arial"/>
          <w:sz w:val="15"/>
          <w:szCs w:val="15"/>
          <w:color w:val="auto"/>
        </w:rPr>
        <w:t>”), and to all advances and interest thereunder and all modifications, renewals, extensions and consolidations thereof. With respect to future liens of any mortgage hereafter granted, Landlord will request that the mortgagee execute and deliver to Tenant an agreement (in such form as such mortgagee may request) in which the mortgagee agrees that such mortgagee shall not disturb Tenant in its possession of the Premises upon Tenant’s execution thereof and attornment to such mortgagee as Landlord and performance of its Lease covenants (which conditions Tenant agrees with all mortgagees to perform). Upon such attornment, this Lease shall continue in full force and effect as a direct lease between the mortgagee and Tenant upon all of the terms, conditions and covenants as are set forth in this Lease, except that the mortgagee shall not be (i) liable in any way to Tenant for any act or omission, neglect or default on the part of Landlord under this Lease, (ii) responsible for any monies owing by or on deposit with Landlord to the credit of Tenant unless actually received by the mortgagee, (iii) subject to any counterclaim or setoff which theretofore accrued to Tenant against Landlord, (iv) bound by any amendment or modification of this Lease subsequent to such mortgage, or by any previous prepayment of Rent for more than one (1) month, which was not approved in writing by the mortgagee, (v) liable beyond mortgagee’s interest in the Property, (vi) responsible for the performance of any work to be done by the Landlord under this Lease to render the Premises ready for occupancy by the Tenant, or (vii) required to remove any person occupying the Premises or any part thereof, except if such person claims under the mortgagee. Tenant agrees that any present or future mortgagee may at its option unilaterally elect to subordinate, in whole or in part and by instrument in form and substance satisfactory to such mortgagee alone, the lien of its mortgagee (or the priority of its ground lease) to some or all provisions of this Lease.</w:t>
      </w:r>
    </w:p>
    <w:p>
      <w:pPr>
        <w:spacing w:after="0" w:line="165" w:lineRule="exact"/>
        <w:rPr>
          <w:sz w:val="20"/>
          <w:szCs w:val="20"/>
          <w:color w:val="auto"/>
        </w:rPr>
      </w:pPr>
    </w:p>
    <w:p>
      <w:pPr>
        <w:ind w:firstLine="426"/>
        <w:spacing w:after="0" w:line="297" w:lineRule="auto"/>
        <w:rPr>
          <w:sz w:val="20"/>
          <w:szCs w:val="20"/>
          <w:color w:val="auto"/>
        </w:rPr>
      </w:pPr>
      <w:r>
        <w:rPr>
          <w:rFonts w:ascii="Arial" w:cs="Arial" w:eastAsia="Arial" w:hAnsi="Arial"/>
          <w:sz w:val="15"/>
          <w:szCs w:val="15"/>
          <w:color w:val="auto"/>
        </w:rPr>
        <w:t>Tenant agrees that this Lease shall survive the merger of estates of ground (or improvements) lessor and lessee. Until a mortgagee (either superior or subordinate to this Lease) forecloses Landlord’s equity of redemption (or terminates or succeeds to a new lease in the case of a ground or improvements lease) no mortgagee shall be liable for failure to perform any of Landlord’s obligations (and such mortgagee shall thereafter be liable only after it succeeds to and holds Landlord’s interest and then only as limited herein). Tenant shall, if requested by Landlord or any mortgagee, give notice of any alleged non-performance on the part of Landlord to any such mortgagee provided that an address for such mortgagee has been designated to Tenant in writing, and Tenant agrees that such mortgagee shall have a separate, consecutive reasonable cure period of no less than thirty (30) days (to be reasonably extended in the same manner Landlord’s cure period is to be extended and for such additional periods as is necessary to allow such Mortgagee to take possession of the Property) following Landlord’s cure period during which such mortgagee may, but need not, cure any non-performance by Landlord. The agreements in this Lease with respect to the rights and powers of a mortgagee constitute a continuing offer to any person that may be accepted by taking a mortgage (or entering into a ground or improvements lease) of the Premises. This Section shall be self-operative, but in confirmation thereof, Tenant shall execute and deliver the subordination agreement in such form as any mortgagee may request.</w:t>
      </w:r>
    </w:p>
    <w:p>
      <w:pPr>
        <w:spacing w:after="0" w:line="152" w:lineRule="exact"/>
        <w:rPr>
          <w:sz w:val="20"/>
          <w:szCs w:val="20"/>
          <w:color w:val="auto"/>
        </w:rPr>
      </w:pPr>
    </w:p>
    <w:p>
      <w:pPr>
        <w:ind w:firstLine="426"/>
        <w:spacing w:after="0" w:line="266" w:lineRule="auto"/>
        <w:rPr>
          <w:sz w:val="20"/>
          <w:szCs w:val="20"/>
          <w:color w:val="auto"/>
        </w:rPr>
      </w:pPr>
      <w:r>
        <w:rPr>
          <w:rFonts w:ascii="Arial" w:cs="Arial" w:eastAsia="Arial" w:hAnsi="Arial"/>
          <w:sz w:val="17"/>
          <w:szCs w:val="17"/>
          <w:b w:val="1"/>
          <w:bCs w:val="1"/>
          <w:color w:val="auto"/>
        </w:rPr>
        <w:t>16.02 Rent Assignment</w:t>
      </w:r>
      <w:r>
        <w:rPr>
          <w:rFonts w:ascii="Arial" w:cs="Arial" w:eastAsia="Arial" w:hAnsi="Arial"/>
          <w:sz w:val="17"/>
          <w:szCs w:val="17"/>
          <w:color w:val="auto"/>
        </w:rPr>
        <w:t>. If from time to time Landlord assigns this Lease or the rents payable hereunder to any person, whether such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is conditional in nature or otherwise, such assignment shall not be deemed an assumption by the assignee of any obligations of Landlord; but, subject to the limitations herein including Sections 16.01 and 10.02(b), the assignee shall be responsible only for non-performance of Landlord’s obligations that occur after it succeeds to, and only during the period it holds possession of, Landlord’s interest in the Premises after foreclosure or voluntary deed in lieu of foreclosure.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640"/>
          </w:cols>
          <w:pgMar w:left="620" w:top="270" w:right="639" w:bottom="1440" w:gutter="0" w:footer="0" w:header="0"/>
        </w:sectPr>
      </w:pPr>
    </w:p>
    <w:bookmarkStart w:id="443" w:name="page444"/>
    <w:bookmarkEnd w:id="443"/>
    <w:p>
      <w:pPr>
        <w:ind w:right="20" w:firstLine="426"/>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16.03 Other Instruments</w:t>
      </w:r>
      <w:r>
        <w:rPr>
          <w:rFonts w:ascii="Arial" w:cs="Arial" w:eastAsia="Arial" w:hAnsi="Arial"/>
          <w:sz w:val="16"/>
          <w:szCs w:val="16"/>
          <w:color w:val="auto"/>
        </w:rPr>
        <w:t>. The provisions of this Article shall be self-operative; nevertheless, Tenant agrees to execute, acknowledge and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subordination, attornment or priority agreements or other instruments conforming to the provisions of this Lease (and being otherwise commercially reasonable) from time to time requested by Landlord or any mortgagee, and further agrees that its failure to do so within ten (10) business days after written request shall be a default for which this Lease may be terminated without further notice. Without limitation, where Tenant in this Lease indemnifies or otherwise covenants for the benefit of mortgagees, such agreements are for the benefit of mortgagees as third-party beneficiaries; and at the request of Landlord, Tenant from time to time will confirm such matters directly with such mortgagee.</w:t>
      </w:r>
    </w:p>
    <w:p>
      <w:pPr>
        <w:spacing w:after="0" w:line="160" w:lineRule="exact"/>
        <w:rPr>
          <w:sz w:val="20"/>
          <w:szCs w:val="20"/>
          <w:color w:val="auto"/>
        </w:rPr>
      </w:pPr>
    </w:p>
    <w:p>
      <w:pPr>
        <w:ind w:firstLine="426"/>
        <w:spacing w:after="0" w:line="278" w:lineRule="auto"/>
        <w:rPr>
          <w:sz w:val="20"/>
          <w:szCs w:val="20"/>
          <w:color w:val="auto"/>
        </w:rPr>
      </w:pPr>
      <w:r>
        <w:rPr>
          <w:rFonts w:ascii="Arial" w:cs="Arial" w:eastAsia="Arial" w:hAnsi="Arial"/>
          <w:sz w:val="16"/>
          <w:szCs w:val="16"/>
          <w:b w:val="1"/>
          <w:bCs w:val="1"/>
          <w:color w:val="auto"/>
        </w:rPr>
        <w:t>16.04 Estoppel Certificates</w:t>
      </w:r>
      <w:r>
        <w:rPr>
          <w:rFonts w:ascii="Arial" w:cs="Arial" w:eastAsia="Arial" w:hAnsi="Arial"/>
          <w:sz w:val="16"/>
          <w:szCs w:val="16"/>
          <w:color w:val="auto"/>
        </w:rPr>
        <w:t>. Within ten (10) business days after Landlord’s request, Tenant shall execute, acknowledge and deliver to Landlord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statement certifying: (i) that none of the terms or provisions of this Lease have been changed (or if they have been changed, stating how); (ii) that this Lease has not been canceled or terminated; (iii) the last date of payment of Base Rent and other charges and the time period covered; (iv) that Landlord is not in default under this Lease (or if Tenant states that Landlord is in default, describing it in reasonable detail); and (v) such other information with respect to Tenant or this Lease as Landlord may reasonably request or which any prospective purchaser or encumbrancer of the Property may require. Landlord may deliver any such statement by Tenant to any such prospective purchaser or encumbrancer, which may rely conclusively upon such statement as true and correct. If Tenant does not deliver such statement to Landlord within such ten (10) business day period, Landlord, and any such prospective purchaser or encumbrancer, may conclusively presume and rely upon the following facts: (i) that the terms and provisions of this Lease have not been changed except as represented by Landlord; (ii) that this Lease has not been canceled or terminated except as otherwise represented by Landlord; (iii) that not more than one (1) month’s Base Rent or other charges have been paid in advance; and (iv) that Landlord is not in default under this Lease. In such event, Tenant shall be estopped from denying the truth of such facts.</w:t>
      </w:r>
    </w:p>
    <w:p>
      <w:pPr>
        <w:spacing w:after="0" w:line="162" w:lineRule="exact"/>
        <w:rPr>
          <w:sz w:val="20"/>
          <w:szCs w:val="20"/>
          <w:color w:val="auto"/>
        </w:rPr>
      </w:pPr>
    </w:p>
    <w:p>
      <w:pPr>
        <w:ind w:firstLine="426"/>
        <w:spacing w:after="0" w:line="261" w:lineRule="auto"/>
        <w:rPr>
          <w:sz w:val="20"/>
          <w:szCs w:val="20"/>
          <w:color w:val="auto"/>
        </w:rPr>
      </w:pPr>
      <w:r>
        <w:rPr>
          <w:rFonts w:ascii="Arial" w:cs="Arial" w:eastAsia="Arial" w:hAnsi="Arial"/>
          <w:sz w:val="17"/>
          <w:szCs w:val="17"/>
          <w:b w:val="1"/>
          <w:bCs w:val="1"/>
          <w:color w:val="auto"/>
        </w:rPr>
        <w:t>16.05 Tenant’s Financial Condition</w:t>
      </w:r>
      <w:r>
        <w:rPr>
          <w:rFonts w:ascii="Arial" w:cs="Arial" w:eastAsia="Arial" w:hAnsi="Arial"/>
          <w:sz w:val="17"/>
          <w:szCs w:val="17"/>
          <w:color w:val="auto"/>
        </w:rPr>
        <w:t>. Tenant, within ten (10) business days after request from Landlord from time to time, shall deliver to</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Tenant’s annual audited financial statements for the latest available two (2) fiscal years, including the year ending no more than six (6) months prior to Landlord’s request, and quarterly financial statements certified in writing by Tenant’s chief financial officer. Landlord may deliver such financial statements to its investors, mortgagees, lenders and prospective mortgagees, lenders, investors and purchasers on the condition that such parties agree to maintain such financial statements on a confidential basis. Tenant represents and warrants to Landlord that each such financial statement shall be true and accurate as of its date. Except for publicly available information, Landlord shall maintain such financial statements on a confidential basis. Notwithstanding anything set forth herein to the contrary, Landlord agrees that a breach of such confidentiality may cause Tenant harm for which recovery of damages would be an inadequate remedy, and in such event, Tenant shall be entitled to obtain timely injunctive relief, as well as such further relief as may be granted by a court of competent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640"/>
          </w:cols>
          <w:pgMar w:left="620" w:top="264" w:right="639" w:bottom="1440" w:gutter="0" w:footer="0" w:header="0"/>
        </w:sectPr>
      </w:pPr>
    </w:p>
    <w:bookmarkStart w:id="444" w:name="page445"/>
    <w:bookmarkEnd w:id="44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ARTICLE 17: MISCELLANEOUS PROVISIONS</w:t>
      </w:r>
    </w:p>
    <w:p>
      <w:pPr>
        <w:spacing w:after="0" w:line="118" w:lineRule="exact"/>
        <w:rPr>
          <w:sz w:val="20"/>
          <w:szCs w:val="20"/>
          <w:color w:val="auto"/>
        </w:rPr>
      </w:pPr>
    </w:p>
    <w:p>
      <w:pPr>
        <w:ind w:firstLine="426"/>
        <w:spacing w:after="0" w:line="266" w:lineRule="auto"/>
        <w:rPr>
          <w:sz w:val="20"/>
          <w:szCs w:val="20"/>
          <w:color w:val="auto"/>
        </w:rPr>
      </w:pPr>
      <w:r>
        <w:rPr>
          <w:rFonts w:ascii="Arial" w:cs="Arial" w:eastAsia="Arial" w:hAnsi="Arial"/>
          <w:sz w:val="17"/>
          <w:szCs w:val="17"/>
          <w:b w:val="1"/>
          <w:bCs w:val="1"/>
          <w:color w:val="auto"/>
        </w:rPr>
        <w:t>17.01 Landlord’s Consent Fees</w:t>
      </w:r>
      <w:r>
        <w:rPr>
          <w:rFonts w:ascii="Arial" w:cs="Arial" w:eastAsia="Arial" w:hAnsi="Arial"/>
          <w:sz w:val="17"/>
          <w:szCs w:val="17"/>
          <w:color w:val="auto"/>
        </w:rPr>
        <w:t>. In addition to fees and expenses in connection with Tenant Work, as described in Section 10.05,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pay Landlord’s reasonable out-of-pocket fees and expenses, including legal, engineering and other consultants’ fees and expenses, incurred in connection with Tenant’s request for Landlord’s consent under Article 13 (Assignment and Subletting) or in connection with any other act by Tenant that requires Landlord’s consent or approval under this Lease; provided however, in no event shall any such fees and expenses exceed $5,000 for each request.</w:t>
      </w:r>
    </w:p>
    <w:p>
      <w:pPr>
        <w:spacing w:after="0" w:line="170" w:lineRule="exact"/>
        <w:rPr>
          <w:sz w:val="20"/>
          <w:szCs w:val="20"/>
          <w:color w:val="auto"/>
        </w:rPr>
      </w:pPr>
    </w:p>
    <w:p>
      <w:pPr>
        <w:ind w:firstLine="426"/>
        <w:spacing w:after="0" w:line="297" w:lineRule="auto"/>
        <w:rPr>
          <w:sz w:val="20"/>
          <w:szCs w:val="20"/>
          <w:color w:val="auto"/>
        </w:rPr>
      </w:pPr>
      <w:r>
        <w:rPr>
          <w:rFonts w:ascii="Arial" w:cs="Arial" w:eastAsia="Arial" w:hAnsi="Arial"/>
          <w:sz w:val="15"/>
          <w:szCs w:val="15"/>
          <w:b w:val="1"/>
          <w:bCs w:val="1"/>
          <w:color w:val="auto"/>
        </w:rPr>
        <w:t>17.02 Notice of Landlord’s Default</w:t>
      </w:r>
      <w:r>
        <w:rPr>
          <w:rFonts w:ascii="Arial" w:cs="Arial" w:eastAsia="Arial" w:hAnsi="Arial"/>
          <w:sz w:val="15"/>
          <w:szCs w:val="15"/>
          <w:color w:val="auto"/>
        </w:rPr>
        <w:t>. Landlord shall in no event be in default in the performance of any of Landlord’s obligations under this Lease</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Landlord shall have failed to perform such obligations within thirty (30) days, or such additional time as is reasonably required to correct any such default, after notice by Tenant to Landlord properly specifying wherein Landlord has failed to perform any such obligation. It is the express understanding and agreement of the parties and a condition of Landlord’s agreement to execute this Lease that in no event shall Tenant have the right to terminate this Lease or seek an abatement to or offset from Base Rent, Additional Rent or Rent as a result of Landlord’s default, but Tenant shall be entitled to seek all other remedies, at law or equity, as a result of such default, subject to the terms and conditions of this Lease. Tenant hereby waives its right to recover punitive, special or consequential damages arising out any act, omission or default by Landlord (or any party for whom Landlord is responsible). This Lease and the obligations of Tenant hereunder shall not be affected or impaired because Landlord is unable to fulfill any of its obligations hereunder or is delayed in doing so, if such inability or delay is caused by reason of Force Majeure, and the time for Landlord’s performance shall be extended for the period of any such delay. Any claim, demand, right or defense by Tenant or Landlord that arises out of this Lease or the negotiations which preceded this Lease shall be barred unless the other party commences an action thereon, or interposes a defense by reason thereof, within twelve (12) months after the date of the inaction, omission, event or action that gave rise to such claim, demand, right or defense.</w:t>
      </w:r>
    </w:p>
    <w:p>
      <w:pPr>
        <w:spacing w:after="0" w:line="154" w:lineRule="exact"/>
        <w:rPr>
          <w:sz w:val="20"/>
          <w:szCs w:val="20"/>
          <w:color w:val="auto"/>
        </w:rPr>
      </w:pPr>
    </w:p>
    <w:p>
      <w:pPr>
        <w:ind w:right="180" w:firstLine="426"/>
        <w:spacing w:after="0" w:line="269" w:lineRule="auto"/>
        <w:rPr>
          <w:sz w:val="20"/>
          <w:szCs w:val="20"/>
          <w:color w:val="auto"/>
        </w:rPr>
      </w:pPr>
      <w:r>
        <w:rPr>
          <w:rFonts w:ascii="Arial" w:cs="Arial" w:eastAsia="Arial" w:hAnsi="Arial"/>
          <w:sz w:val="17"/>
          <w:szCs w:val="17"/>
          <w:b w:val="1"/>
          <w:bCs w:val="1"/>
          <w:color w:val="auto"/>
        </w:rPr>
        <w:t>17.03 Quiet Enjoyment</w:t>
      </w:r>
      <w:r>
        <w:rPr>
          <w:rFonts w:ascii="Arial" w:cs="Arial" w:eastAsia="Arial" w:hAnsi="Arial"/>
          <w:sz w:val="17"/>
          <w:szCs w:val="17"/>
          <w:color w:val="auto"/>
        </w:rPr>
        <w:t>. Landlord agrees that, so long as (i) Tenant is not in default under the terms of this Lease and (ii) this Lease is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force and effect, Tenant shall lawfully and quietly hold, occupy and enjoy the Premises during the Term of this Lease without disturbance by Landlord or by any person claiming through or under Landlord, subject to the terms of this Lease and any encumbrances of record. The foregoing covenant of quiet enjoyment is in lieu of any other covenant, expressed or implied.</w:t>
      </w:r>
    </w:p>
    <w:p>
      <w:pPr>
        <w:spacing w:after="0" w:line="168" w:lineRule="exact"/>
        <w:rPr>
          <w:sz w:val="20"/>
          <w:szCs w:val="20"/>
          <w:color w:val="auto"/>
        </w:rPr>
      </w:pPr>
    </w:p>
    <w:p>
      <w:pPr>
        <w:ind w:right="780" w:firstLine="426"/>
        <w:spacing w:after="0" w:line="328" w:lineRule="auto"/>
        <w:rPr>
          <w:sz w:val="20"/>
          <w:szCs w:val="20"/>
          <w:color w:val="auto"/>
        </w:rPr>
      </w:pPr>
      <w:r>
        <w:rPr>
          <w:rFonts w:ascii="Arial" w:cs="Arial" w:eastAsia="Arial" w:hAnsi="Arial"/>
          <w:sz w:val="16"/>
          <w:szCs w:val="16"/>
          <w:b w:val="1"/>
          <w:bCs w:val="1"/>
          <w:color w:val="auto"/>
        </w:rPr>
        <w:t>17.04 Interpretation</w:t>
      </w:r>
      <w:r>
        <w:rPr>
          <w:rFonts w:ascii="Arial" w:cs="Arial" w:eastAsia="Arial" w:hAnsi="Arial"/>
          <w:sz w:val="16"/>
          <w:szCs w:val="16"/>
          <w:color w:val="auto"/>
        </w:rPr>
        <w:t>. In any provision relating to the conduct, acts or omissions of Tenant, the term “</w:t>
      </w:r>
      <w:r>
        <w:rPr>
          <w:rFonts w:ascii="Arial" w:cs="Arial" w:eastAsia="Arial" w:hAnsi="Arial"/>
          <w:sz w:val="16"/>
          <w:szCs w:val="16"/>
          <w:u w:val="single" w:color="auto"/>
          <w:color w:val="auto"/>
        </w:rPr>
        <w:t>Tenant</w:t>
      </w:r>
      <w:r>
        <w:rPr>
          <w:rFonts w:ascii="Arial" w:cs="Arial" w:eastAsia="Arial" w:hAnsi="Arial"/>
          <w:sz w:val="16"/>
          <w:szCs w:val="16"/>
          <w:color w:val="auto"/>
        </w:rPr>
        <w:t>” includes Tenant’s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contractors, invitees, successors, assigns or others using the Premises with Tenant’s expressed or implied permission.</w:t>
      </w:r>
    </w:p>
    <w:p>
      <w:pPr>
        <w:spacing w:after="0" w:line="124" w:lineRule="exact"/>
        <w:rPr>
          <w:sz w:val="20"/>
          <w:szCs w:val="20"/>
          <w:color w:val="auto"/>
        </w:rPr>
      </w:pPr>
    </w:p>
    <w:p>
      <w:pPr>
        <w:ind w:right="220" w:firstLine="426"/>
        <w:spacing w:after="0" w:line="300" w:lineRule="auto"/>
        <w:rPr>
          <w:sz w:val="20"/>
          <w:szCs w:val="20"/>
          <w:color w:val="auto"/>
        </w:rPr>
      </w:pPr>
      <w:r>
        <w:rPr>
          <w:rFonts w:ascii="Arial" w:cs="Arial" w:eastAsia="Arial" w:hAnsi="Arial"/>
          <w:sz w:val="16"/>
          <w:szCs w:val="16"/>
          <w:b w:val="1"/>
          <w:bCs w:val="1"/>
          <w:color w:val="auto"/>
        </w:rPr>
        <w:t>17.05 Notices</w:t>
      </w:r>
      <w:r>
        <w:rPr>
          <w:rFonts w:ascii="Arial" w:cs="Arial" w:eastAsia="Arial" w:hAnsi="Arial"/>
          <w:sz w:val="16"/>
          <w:szCs w:val="16"/>
          <w:color w:val="auto"/>
        </w:rPr>
        <w:t>. All notices, requests and other communications required under this Lease shall be in writing, addressed as specified in Article 1,</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be (i) personally delivered, (ii) sent by certified mail, return receipt requested, postage prepaid, or (iii) delivered by a national overnight delivery service that maintains delivery records. All notices shall be effective upon delivery (or refusal to accept delivery).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640"/>
          </w:cols>
          <w:pgMar w:left="620" w:top="264" w:right="639" w:bottom="1440" w:gutter="0" w:footer="0" w:header="0"/>
        </w:sectPr>
      </w:pPr>
    </w:p>
    <w:bookmarkStart w:id="445" w:name="page446"/>
    <w:bookmarkEnd w:id="445"/>
    <w:p>
      <w:pPr>
        <w:ind w:left="2" w:right="40" w:firstLine="426"/>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17.06 No Recordation</w:t>
      </w:r>
      <w:r>
        <w:rPr>
          <w:rFonts w:ascii="Arial" w:cs="Arial" w:eastAsia="Arial" w:hAnsi="Arial"/>
          <w:sz w:val="17"/>
          <w:szCs w:val="17"/>
          <w:color w:val="auto"/>
        </w:rPr>
        <w:t>. Tenant shall not record this Lease but, if required by applicable law in order to protect Tenant’s interest in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hereto agrees, on the request of the other, to execute a so-called memorandum of lease or short form lease in recordable form and complying with applicable law and reasonably satisfactory to Landlord’s attorneys. The party requesting or requiring such recording shall pay all expenses, transfer taxes and recording fees. In no event shall such document set forth the rent or other charges payable by Tenant under this Lease; and any such document shall expressly state that it is executed pursuant to the provisions contained in this Lease and is not intended to vary the terms and conditions of this Lease.</w:t>
      </w:r>
    </w:p>
    <w:p>
      <w:pPr>
        <w:spacing w:after="0" w:line="172" w:lineRule="exact"/>
        <w:rPr>
          <w:sz w:val="20"/>
          <w:szCs w:val="20"/>
          <w:color w:val="auto"/>
        </w:rPr>
      </w:pPr>
    </w:p>
    <w:p>
      <w:pPr>
        <w:ind w:left="2" w:right="20" w:firstLine="426"/>
        <w:spacing w:after="0" w:line="276" w:lineRule="auto"/>
        <w:rPr>
          <w:sz w:val="20"/>
          <w:szCs w:val="20"/>
          <w:color w:val="auto"/>
        </w:rPr>
      </w:pPr>
      <w:r>
        <w:rPr>
          <w:rFonts w:ascii="Arial" w:cs="Arial" w:eastAsia="Arial" w:hAnsi="Arial"/>
          <w:sz w:val="16"/>
          <w:szCs w:val="16"/>
          <w:b w:val="1"/>
          <w:bCs w:val="1"/>
          <w:color w:val="auto"/>
        </w:rPr>
        <w:t>17.07 Security Measures</w:t>
      </w:r>
      <w:r>
        <w:rPr>
          <w:rFonts w:ascii="Arial" w:cs="Arial" w:eastAsia="Arial" w:hAnsi="Arial"/>
          <w:sz w:val="16"/>
          <w:szCs w:val="16"/>
          <w:color w:val="auto"/>
        </w:rPr>
        <w:t>. Tenant acknowledges that Landlord shall have no obligation to provide guard service or other security measures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the Premises or the Property, and Landlord shall have no liability to Tenant due to its failure to provide such services. Tenant assumes all responsibility for the protection of Tenant, its agents, employees, contractors and invitees and the property of Tenant and of Tenant’s agents, employees, contractors and invitees from acts of third parties. Nothing herein contained shall prevent Landlord, at Landlord’s sole option, from implementing security measures for the Building or any part thereof, in which event Tenant shall participate in such security measures and the cost thereof shall be included within the definition of Operating Expenses, and to the maximum extent permissible by law, Landlord shall have no liability to Tenant and its agents, employees, contractors and invitees arising out of Landlord’s provision of security measures. As of the date hereof, Landlord provides periodic patrolled security of the Building common areas and grounds from time to time throughout the day and night, the cost of which is included in Operating Expenses. Landlord reserves the right at any time or from time to time, in its sole discretion, to implement additional, modify, alter or discontinue security measures for the Building, Property or any part thereof, in which event Tenant shall participate in such security measures and the cost thereof shall be included within the definition of Operating Expenses, and to the maximum extent permissible by law, Landlord shall have no liability to Tenant and its agents, employees, contractors and invitees arising out of Landlord’s provision of security measures. Landlord shall have the right, but not the obligation, to require all persons entering or leaving the Building to identify themselves to a security guard and to reasonably establish that such person should be permitted access to the Building.</w:t>
      </w:r>
    </w:p>
    <w:p>
      <w:pPr>
        <w:spacing w:after="0" w:line="171" w:lineRule="exact"/>
        <w:rPr>
          <w:sz w:val="20"/>
          <w:szCs w:val="20"/>
          <w:color w:val="auto"/>
        </w:rPr>
      </w:pPr>
    </w:p>
    <w:p>
      <w:pPr>
        <w:ind w:left="2" w:firstLine="426"/>
        <w:spacing w:after="0" w:line="294" w:lineRule="auto"/>
        <w:rPr>
          <w:sz w:val="20"/>
          <w:szCs w:val="20"/>
          <w:color w:val="auto"/>
        </w:rPr>
      </w:pPr>
      <w:r>
        <w:rPr>
          <w:rFonts w:ascii="Arial" w:cs="Arial" w:eastAsia="Arial" w:hAnsi="Arial"/>
          <w:sz w:val="15"/>
          <w:szCs w:val="15"/>
          <w:b w:val="1"/>
          <w:bCs w:val="1"/>
          <w:color w:val="auto"/>
        </w:rPr>
        <w:t>17.08 Corporate Authority</w:t>
      </w:r>
      <w:r>
        <w:rPr>
          <w:rFonts w:ascii="Arial" w:cs="Arial" w:eastAsia="Arial" w:hAnsi="Arial"/>
          <w:sz w:val="15"/>
          <w:szCs w:val="15"/>
          <w:color w:val="auto"/>
        </w:rPr>
        <w:t>. If Tenant is a business entity, then the person or persons executing this Lease on behalf of Tenant jointly and</w:t>
      </w:r>
      <w:r>
        <w:rPr>
          <w:rFonts w:ascii="Arial" w:cs="Arial" w:eastAsia="Arial" w:hAnsi="Arial"/>
          <w:sz w:val="15"/>
          <w:szCs w:val="15"/>
          <w:b w:val="1"/>
          <w:bCs w:val="1"/>
          <w:color w:val="auto"/>
        </w:rPr>
        <w:t xml:space="preserve"> </w:t>
      </w:r>
      <w:r>
        <w:rPr>
          <w:rFonts w:ascii="Arial" w:cs="Arial" w:eastAsia="Arial" w:hAnsi="Arial"/>
          <w:sz w:val="15"/>
          <w:szCs w:val="15"/>
          <w:color w:val="auto"/>
        </w:rPr>
        <w:t>severally warrant and represent in their capacity as a duly authorized representative of Tenant and not in his or her individual capacities that (a) Tenant is duly organized, validly existing and in good standing under the laws of the jurisdiction in which such entity was organized; (b) Tenant has the authority to own its property and to carry on its business as contemplated under this Lease; (c) Tenant is in material compliance with all laws and orders of public authorities applicable to Tenant; (d) Tenant has duly executed and delivered this Lease; (e) the execution, delivery and performance by Tenant of this Lease (i) are within the powers of Tenant, (ii) have been duly authorized by all requisite action, (iii) will not violate any provision of law or any order of any court or agency of government, or any agreement or other instrument to which Tenant is a party or by which it or any of its property is bound, and</w:t>
      </w:r>
    </w:p>
    <w:p>
      <w:pPr>
        <w:spacing w:after="0" w:line="1" w:lineRule="exact"/>
        <w:rPr>
          <w:sz w:val="20"/>
          <w:szCs w:val="20"/>
          <w:color w:val="auto"/>
        </w:rPr>
      </w:pPr>
    </w:p>
    <w:p>
      <w:pPr>
        <w:ind w:left="2" w:right="80" w:hanging="2"/>
        <w:spacing w:after="0" w:line="272" w:lineRule="auto"/>
        <w:tabs>
          <w:tab w:leader="none" w:pos="29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will not result in the imposition of any lien or charge on any of Tenant’s property, except by the provisions of this Lease; and (f) the Lease is a valid and binding obligation of Tenant in accordance with its terms. Tenant, if a business entity, agrees</w:t>
      </w:r>
    </w:p>
    <w:p>
      <w:pPr>
        <w:spacing w:after="0" w:line="106"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642"/>
          </w:cols>
          <w:pgMar w:left="618" w:top="264" w:right="639" w:bottom="1440" w:gutter="0" w:footer="0" w:header="0"/>
        </w:sectPr>
      </w:pPr>
    </w:p>
    <w:bookmarkStart w:id="446" w:name="page447"/>
    <w:bookmarkEnd w:id="446"/>
    <w:p>
      <w:pPr>
        <w:ind w:left="2"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that breach of the foregoing warranty and representation shall at Landlord’s election be a default under this Lease for which there shall be no cure. This warranty and representation shall survive the termination of the Term. Upon execution of this Lease, Tenant shall provide a board resolution or other entity vote authorizing the execution of this Lease on behalf of Tenant and identifying the person authorized to execute this Lease on behalf of Tenant together with a clerk’s or secretary’s certificate indicating that such authorized person has in fact executed this Lease.</w:t>
      </w:r>
    </w:p>
    <w:p>
      <w:pPr>
        <w:spacing w:after="0" w:line="155" w:lineRule="exact"/>
        <w:rPr>
          <w:sz w:val="20"/>
          <w:szCs w:val="20"/>
          <w:color w:val="auto"/>
        </w:rPr>
      </w:pPr>
    </w:p>
    <w:p>
      <w:pPr>
        <w:ind w:left="2" w:firstLine="426"/>
        <w:spacing w:after="0" w:line="294" w:lineRule="auto"/>
        <w:rPr>
          <w:sz w:val="20"/>
          <w:szCs w:val="20"/>
          <w:color w:val="auto"/>
        </w:rPr>
      </w:pPr>
      <w:r>
        <w:rPr>
          <w:rFonts w:ascii="Arial" w:cs="Arial" w:eastAsia="Arial" w:hAnsi="Arial"/>
          <w:sz w:val="15"/>
          <w:szCs w:val="15"/>
          <w:b w:val="1"/>
          <w:bCs w:val="1"/>
          <w:color w:val="auto"/>
        </w:rPr>
        <w:t>17.09 Relocation</w:t>
      </w:r>
      <w:r>
        <w:rPr>
          <w:rFonts w:ascii="Arial" w:cs="Arial" w:eastAsia="Arial" w:hAnsi="Arial"/>
          <w:sz w:val="15"/>
          <w:szCs w:val="15"/>
          <w:color w:val="auto"/>
        </w:rPr>
        <w:t>. Landlord shall have the right at any time to relocate Tenant to any other leasable space in the Property (or Project) provided that</w:t>
      </w:r>
      <w:r>
        <w:rPr>
          <w:rFonts w:ascii="Arial" w:cs="Arial" w:eastAsia="Arial" w:hAnsi="Arial"/>
          <w:sz w:val="15"/>
          <w:szCs w:val="15"/>
          <w:b w:val="1"/>
          <w:bCs w:val="1"/>
          <w:color w:val="auto"/>
        </w:rPr>
        <w:t xml:space="preserve"> </w:t>
      </w:r>
      <w:r>
        <w:rPr>
          <w:rFonts w:ascii="Arial" w:cs="Arial" w:eastAsia="Arial" w:hAnsi="Arial"/>
          <w:sz w:val="15"/>
          <w:szCs w:val="15"/>
          <w:color w:val="auto"/>
        </w:rPr>
        <w:t>said space shall be approximately the same size as the Premises and that Landlord shall pay the cost of moving Tenant’s furniture and equipment to the new space. The new space shall include tenant improvements that are substantially equivalent to the tenant improvements contained in the Premises, and the cost of any required tenant improvements shall be paid by Landlord. Landlord shall deliver substitute space to Tenant not more than one hundred eighty (180) days after Tenant approves plans for the construction of required tenant improvements at the new space, if any. Tenant shall not unreasonably withhold or delay its approval of any plans for the construction of tenant improvements. Landlord shall give Tenant not less than thirty</w:t>
      </w:r>
    </w:p>
    <w:p>
      <w:pPr>
        <w:spacing w:after="0" w:line="4" w:lineRule="exact"/>
        <w:rPr>
          <w:sz w:val="20"/>
          <w:szCs w:val="20"/>
          <w:color w:val="auto"/>
        </w:rPr>
      </w:pPr>
    </w:p>
    <w:p>
      <w:pPr>
        <w:ind w:left="2" w:right="60" w:hanging="2"/>
        <w:spacing w:after="0" w:line="300" w:lineRule="auto"/>
        <w:tabs>
          <w:tab w:leader="none" w:pos="335" w:val="left"/>
        </w:tabs>
        <w:numPr>
          <w:ilvl w:val="0"/>
          <w:numId w:val="382"/>
        </w:numPr>
        <w:rPr>
          <w:rFonts w:ascii="Arial" w:cs="Arial" w:eastAsia="Arial" w:hAnsi="Arial"/>
          <w:sz w:val="15"/>
          <w:szCs w:val="15"/>
          <w:color w:val="auto"/>
        </w:rPr>
      </w:pPr>
      <w:r>
        <w:rPr>
          <w:rFonts w:ascii="Arial" w:cs="Arial" w:eastAsia="Arial" w:hAnsi="Arial"/>
          <w:sz w:val="15"/>
          <w:szCs w:val="15"/>
          <w:color w:val="auto"/>
        </w:rPr>
        <w:t>days advance notice of the estimated move in date. Prior to the date that Tenant is moved to the new space, Tenant shall remain in the Premises and shall continue to perform all of its obligations under this Lease. After Tenant moves into the new space, this Lease shall remain in full force and effect and be deemed applicable to such new space, except as to Base Rent, Tenant’s share of Operating Expenses and Taxes, all of which shall be adjusted based on the relationship between the number of rentable square feet in the original Premises and the number of rentable square feet in the new space; provided, however, in the event the square footage of the new space is greater than the Premises then Base Rent and Tenant’s Pro Rata Share shall not change. Upon Tenant’s election to be relocated, Landlord and Tenant shall amend this Lease to provide for the relocation of the Premises.</w:t>
      </w:r>
    </w:p>
    <w:p>
      <w:pPr>
        <w:spacing w:after="0" w:line="150" w:lineRule="exact"/>
        <w:rPr>
          <w:sz w:val="20"/>
          <w:szCs w:val="20"/>
          <w:color w:val="auto"/>
        </w:rPr>
      </w:pPr>
    </w:p>
    <w:p>
      <w:pPr>
        <w:ind w:left="2" w:right="40" w:firstLine="426"/>
        <w:spacing w:after="0" w:line="300" w:lineRule="auto"/>
        <w:rPr>
          <w:sz w:val="20"/>
          <w:szCs w:val="20"/>
          <w:color w:val="auto"/>
        </w:rPr>
      </w:pPr>
      <w:r>
        <w:rPr>
          <w:rFonts w:ascii="Arial" w:cs="Arial" w:eastAsia="Arial" w:hAnsi="Arial"/>
          <w:sz w:val="16"/>
          <w:szCs w:val="16"/>
          <w:b w:val="1"/>
          <w:bCs w:val="1"/>
          <w:color w:val="auto"/>
        </w:rPr>
        <w:t>17.10 Joint and Several Liability; Right to Lease</w:t>
      </w:r>
      <w:r>
        <w:rPr>
          <w:rFonts w:ascii="Arial" w:cs="Arial" w:eastAsia="Arial" w:hAnsi="Arial"/>
          <w:sz w:val="16"/>
          <w:szCs w:val="16"/>
          <w:color w:val="auto"/>
        </w:rPr>
        <w:t>. If more than one (1) party signs this Lease as Tenant, they shall be jointly and severally liable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obligations of Tenant. Landlord reserves the absolute right to effect such other tenancies in the Property as Landlord in its sole discretion shall determine, and Tenant is not relying on any representation that any specific tenant or number of tenants will occupy the Property.</w:t>
      </w:r>
    </w:p>
    <w:p>
      <w:pPr>
        <w:spacing w:after="0" w:line="145" w:lineRule="exact"/>
        <w:rPr>
          <w:sz w:val="20"/>
          <w:szCs w:val="20"/>
          <w:color w:val="auto"/>
        </w:rPr>
      </w:pPr>
    </w:p>
    <w:p>
      <w:pPr>
        <w:ind w:left="2" w:right="40" w:firstLine="426"/>
        <w:spacing w:after="0" w:line="280" w:lineRule="auto"/>
        <w:rPr>
          <w:sz w:val="20"/>
          <w:szCs w:val="20"/>
          <w:color w:val="auto"/>
        </w:rPr>
      </w:pPr>
      <w:r>
        <w:rPr>
          <w:rFonts w:ascii="Arial" w:cs="Arial" w:eastAsia="Arial" w:hAnsi="Arial"/>
          <w:sz w:val="16"/>
          <w:szCs w:val="16"/>
          <w:b w:val="1"/>
          <w:bCs w:val="1"/>
          <w:color w:val="auto"/>
        </w:rPr>
        <w:t>17.11 Force Majeure</w:t>
      </w:r>
      <w:r>
        <w:rPr>
          <w:rFonts w:ascii="Arial" w:cs="Arial" w:eastAsia="Arial" w:hAnsi="Arial"/>
          <w:sz w:val="16"/>
          <w:szCs w:val="16"/>
          <w:color w:val="auto"/>
        </w:rPr>
        <w:t>. If Landlord cannot perform any of its obligations under this Lease due to an event(s) of Force Majeure, the time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for performing such obligations shall be extended by a period of time equal to the duration of the events. In case Tenant is prevented or delayed from performing any covenant or duty to be performed on Tenant’s part by reason of an event(s) of Force Majeure, Tenant shall not be deemed in default hereunder while such cause continues. The preceding sentence shall not apply to Tenant’s covenants and obligations to pay rent, additional charges and/or other charges or sums due Landlord hereunder or required to be paid to third parties hereunder. The preceding sentence shall not be interpreted to diminish Landlord’s rights hereunder to cure a breach of this Lease by Tenant or to recover the expense of such cure. As used in this Lease, an event or events of “Force Majeure” shall include strike or labor troubles, lockout, breakdown, accident, order, preemption or regulation of or by any governmental authority or failure to supply or inability by the exercise of reasonable</w:t>
      </w:r>
    </w:p>
    <w:p>
      <w:pPr>
        <w:spacing w:after="0" w:line="10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642"/>
          </w:cols>
          <w:pgMar w:left="618" w:top="270" w:right="639" w:bottom="1440" w:gutter="0" w:footer="0" w:header="0"/>
        </w:sectPr>
      </w:pPr>
    </w:p>
    <w:bookmarkStart w:id="447" w:name="page448"/>
    <w:bookmarkEnd w:id="447"/>
    <w:p>
      <w:pPr>
        <w:ind w:right="3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diligence to obtain supplies, parts or employees necessary to furnish such services or because of war, civil commotion, or other emergency, or other extraordinary conditions of supply and demand, extraordinary weather conditions, so-called acts of God, or for any other cause beyond the party’s reasonable control.</w:t>
      </w:r>
    </w:p>
    <w:p>
      <w:pPr>
        <w:spacing w:after="0" w:line="165" w:lineRule="exact"/>
        <w:rPr>
          <w:sz w:val="20"/>
          <w:szCs w:val="20"/>
          <w:color w:val="auto"/>
        </w:rPr>
      </w:pPr>
    </w:p>
    <w:p>
      <w:pPr>
        <w:ind w:right="400" w:firstLine="426"/>
        <w:spacing w:after="0" w:line="275" w:lineRule="auto"/>
        <w:rPr>
          <w:sz w:val="20"/>
          <w:szCs w:val="20"/>
          <w:color w:val="auto"/>
        </w:rPr>
      </w:pPr>
      <w:r>
        <w:rPr>
          <w:rFonts w:ascii="Arial" w:cs="Arial" w:eastAsia="Arial" w:hAnsi="Arial"/>
          <w:sz w:val="17"/>
          <w:szCs w:val="17"/>
          <w:b w:val="1"/>
          <w:bCs w:val="1"/>
          <w:color w:val="auto"/>
        </w:rPr>
        <w:t>17.12 Limitation of Warranties</w:t>
      </w:r>
      <w:r>
        <w:rPr>
          <w:rFonts w:ascii="Arial" w:cs="Arial" w:eastAsia="Arial" w:hAnsi="Arial"/>
          <w:sz w:val="17"/>
          <w:szCs w:val="17"/>
          <w:color w:val="auto"/>
        </w:rPr>
        <w:t>. Landlord and Tenant expressly agree that there are and shall be no implied warranties of merchantability,</w:t>
      </w:r>
      <w:r>
        <w:rPr>
          <w:rFonts w:ascii="Arial" w:cs="Arial" w:eastAsia="Arial" w:hAnsi="Arial"/>
          <w:sz w:val="17"/>
          <w:szCs w:val="17"/>
          <w:b w:val="1"/>
          <w:bCs w:val="1"/>
          <w:color w:val="auto"/>
        </w:rPr>
        <w:t xml:space="preserve"> </w:t>
      </w:r>
      <w:r>
        <w:rPr>
          <w:rFonts w:ascii="Arial" w:cs="Arial" w:eastAsia="Arial" w:hAnsi="Arial"/>
          <w:sz w:val="17"/>
          <w:szCs w:val="17"/>
          <w:color w:val="auto"/>
        </w:rPr>
        <w:t>habitability, suitability, fitness for a particular purpose or of any other kind arising out of this Lease, and there are no warranties that extend beyond those expressly set forth in this Lease.</w:t>
      </w:r>
    </w:p>
    <w:p>
      <w:pPr>
        <w:spacing w:after="0" w:line="163" w:lineRule="exact"/>
        <w:rPr>
          <w:sz w:val="20"/>
          <w:szCs w:val="20"/>
          <w:color w:val="auto"/>
        </w:rPr>
      </w:pPr>
    </w:p>
    <w:p>
      <w:pPr>
        <w:ind w:right="40" w:firstLine="426"/>
        <w:spacing w:after="0" w:line="305" w:lineRule="auto"/>
        <w:rPr>
          <w:sz w:val="20"/>
          <w:szCs w:val="20"/>
          <w:color w:val="auto"/>
        </w:rPr>
      </w:pPr>
      <w:r>
        <w:rPr>
          <w:rFonts w:ascii="Arial" w:cs="Arial" w:eastAsia="Arial" w:hAnsi="Arial"/>
          <w:sz w:val="15"/>
          <w:szCs w:val="15"/>
          <w:b w:val="1"/>
          <w:bCs w:val="1"/>
          <w:color w:val="auto"/>
        </w:rPr>
        <w:t>17.13 No Other Brokers</w:t>
      </w:r>
      <w:r>
        <w:rPr>
          <w:rFonts w:ascii="Arial" w:cs="Arial" w:eastAsia="Arial" w:hAnsi="Arial"/>
          <w:sz w:val="15"/>
          <w:szCs w:val="15"/>
          <w:color w:val="auto"/>
        </w:rPr>
        <w:t>. Landlord and Tenant represent and warrant to each other that the Broker(s) named in Article 1 and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Agent are the only agents, Broker(s), finders or other parties with whom such party has dealt who may be entitled to any commission or fee with respect to this Lease or the Premises or the Property. Landlord and Tenant agree to indemnify and hold the other harmless from any claim, demand, cost or liability, including attorneys’ fees and expenses, asserted by any party other than the Broker(s) named in Article 1 and Landlord’s Managing Agent based upon dealings of that party with the indemnifying party. Landlord shall be responsible for the payment of any brokerage fees to the Broker(s) named in Article 1 and Landlord’s Managing Agent. The provisions of this Section shall survive the Term or early termination of this Lease.</w:t>
      </w:r>
    </w:p>
    <w:p>
      <w:pPr>
        <w:spacing w:after="0" w:line="147" w:lineRule="exact"/>
        <w:rPr>
          <w:sz w:val="20"/>
          <w:szCs w:val="20"/>
          <w:color w:val="auto"/>
        </w:rPr>
      </w:pPr>
    </w:p>
    <w:p>
      <w:pPr>
        <w:ind w:firstLine="426"/>
        <w:spacing w:after="0" w:line="275" w:lineRule="auto"/>
        <w:rPr>
          <w:sz w:val="20"/>
          <w:szCs w:val="20"/>
          <w:color w:val="auto"/>
        </w:rPr>
      </w:pPr>
      <w:r>
        <w:rPr>
          <w:rFonts w:ascii="Arial" w:cs="Arial" w:eastAsia="Arial" w:hAnsi="Arial"/>
          <w:sz w:val="16"/>
          <w:szCs w:val="16"/>
          <w:b w:val="1"/>
          <w:bCs w:val="1"/>
          <w:color w:val="auto"/>
        </w:rPr>
        <w:t>17.14 Applicable Law and Construction</w:t>
      </w:r>
      <w:r>
        <w:rPr>
          <w:rFonts w:ascii="Arial" w:cs="Arial" w:eastAsia="Arial" w:hAnsi="Arial"/>
          <w:sz w:val="16"/>
          <w:szCs w:val="16"/>
          <w:color w:val="auto"/>
        </w:rPr>
        <w:t>. This Lease may be executed in counterparts, shall be construed as a sealed instrument,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exclusively by the provisions hereof and by the laws of the state where the Property is located without regard to principles of choice of law or conflicts of law. A facsimile signature to this Lease shall be sufficient to prove the execution by a party. The covenants of Landlord and Tenant are independent, and such covenants shall be construed as such in accordance with the laws of the state where the Property is located. If any provisions shall to any extent be invalid, the remainder shall not be affected. Other than contemporaneous instruments executed and delivered of even date, if any, this Lease contains all of the agreements between Landlord and Tenant relating in any way to the Premises and supersedes all prior agreements and dealings between them. There are no oral agreements between Landlord and Tenant relating to this Lease or the Premises. This Lease may be amended only by instrument in writing executed and delivered by both Landlord and Tenant. The provisions of this Lease shall bind Landlord and Tenant and their respective successors and assigns, and shall inure to the benefit of Landlord and its successors and assigns and of Tenant and its permitted successors and assigns, subject to Article 13. The titles are for convenience only and shall not be considered a part of the Lease. This Lease shall not be construed more strictly against one party than against the other merely by virtue of the fact that it may have been prepared primarily by counsel for one of the parties, it being recognized that both Landlord and Tenant have contributed substantially and materially to the preparation of this Lease. If Tenant is granted any extension or other option, to be effective the exercise (and notice thereof) shall be unconditional; and if Tenant purports to condition the exercise of any option or to vary its terms in any manner, then the option granted shall be void and the purported exercise shall be ineffective. The enumeration of specific examples of a general provision shall not be construed as a limitation of the general provision. Unless a party’s approval or consent is required by the express terms of this Lease not to be unreasonably withheld, such approval or consent may be withheld in the party’s sole discretion.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640"/>
          </w:cols>
          <w:pgMar w:left="620" w:top="270" w:right="639" w:bottom="1440" w:gutter="0" w:footer="0" w:header="0"/>
        </w:sectPr>
      </w:pPr>
    </w:p>
    <w:bookmarkStart w:id="448" w:name="page449"/>
    <w:bookmarkEnd w:id="448"/>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submission of a form of this Lease or any summary of its terms shall not constitute an offer by Landlord to Tenant; but a leasehold shall only be created and the parties bound when this Lease is executed and delivered by both Landlord and Tenant. Nothing herein shall be construed as creating the relationship between Landlord and Tenant of principal and agent, or of partners or joint venturers or any relationship other than landlord and tenant. This Lease and all consents, notices, approvals and all other related documents may be reproduced by any party by any electronic means or by facsimile, photographic, microfilm, microfiche or other reproduction process and the originals may be destroyed; and each party agrees that any reproductions shall be as admissible in evidence in any judicial or administrative proceeding as the original itself (whether or not the original is in existence and whether or not reproduction was made in the regular course of business), and that any further reproduction of such reproduction shall likewise be admissible. If any payment in the nature of interest provided for in this Lease shall exceed the maximum interest permitted under controlling law, as established by final judgment of a court, then such interest shall instead be at the maximum permitted interest rate as established by such judgment. The term “Term” includes the Initial Term as it may be extended pursuant to Section 3.03.</w:t>
      </w:r>
    </w:p>
    <w:p>
      <w:pPr>
        <w:spacing w:after="0" w:line="168" w:lineRule="exact"/>
        <w:rPr>
          <w:sz w:val="20"/>
          <w:szCs w:val="20"/>
          <w:color w:val="auto"/>
        </w:rPr>
      </w:pPr>
    </w:p>
    <w:p>
      <w:pPr>
        <w:ind w:right="20" w:firstLine="426"/>
        <w:spacing w:after="0" w:line="275" w:lineRule="auto"/>
        <w:rPr>
          <w:sz w:val="20"/>
          <w:szCs w:val="20"/>
          <w:color w:val="auto"/>
        </w:rPr>
      </w:pPr>
      <w:r>
        <w:rPr>
          <w:rFonts w:ascii="Arial" w:cs="Arial" w:eastAsia="Arial" w:hAnsi="Arial"/>
          <w:sz w:val="16"/>
          <w:szCs w:val="16"/>
          <w:b w:val="1"/>
          <w:bCs w:val="1"/>
          <w:color w:val="auto"/>
        </w:rPr>
        <w:t>17.15 Construction on the Property or Adjacent Property</w:t>
      </w:r>
      <w:r>
        <w:rPr>
          <w:rFonts w:ascii="Arial" w:cs="Arial" w:eastAsia="Arial" w:hAnsi="Arial"/>
          <w:sz w:val="16"/>
          <w:szCs w:val="16"/>
          <w:color w:val="auto"/>
        </w:rPr>
        <w:t>. Tenant acknowledges that Landlord is undertaking, or may undertake in the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renovations in the Building or on or about the Property (the “</w:t>
      </w:r>
      <w:r>
        <w:rPr>
          <w:rFonts w:ascii="Arial" w:cs="Arial" w:eastAsia="Arial" w:hAnsi="Arial"/>
          <w:sz w:val="16"/>
          <w:szCs w:val="16"/>
          <w:u w:val="single" w:color="auto"/>
          <w:color w:val="auto"/>
        </w:rPr>
        <w:t>Project</w:t>
      </w:r>
      <w:r>
        <w:rPr>
          <w:rFonts w:ascii="Arial" w:cs="Arial" w:eastAsia="Arial" w:hAnsi="Arial"/>
          <w:sz w:val="16"/>
          <w:szCs w:val="16"/>
          <w:color w:val="auto"/>
        </w:rPr>
        <w:t>”) including the right to make changes to the size, shape, location, number and extent of the improvements comprising the Property. In connection therewith, Landlord may, among other things, erect scaffolding or other necessary structures at the Property, limit or eliminate access to portions of the Property, including portions of the common areas, or perform work in or about the Building, which work may create noise, dust or leave debris in the Building. Landlord and its agents, employees, licensees and contractors shall also have the right to enter on the Property or Building to undertake work pursuant to any easement granted pursuant to the above paragraph; to shore up the foundations and/or walls of the Building; to erect scaffolding and protective barricades around, within or adjacent to the Building; and to do any other act necessary for the safety of the Building or the expeditious completion of such work. Tenant hereby agrees that such work and Landlord’s actions in connection therewith shall in no way constitute a constructive eviction of Tenant or entitle Tenant to any abatement of rent. Although Landlord shall use commercially reasonable efforts to minimize any material interference of Tenant’s use or occupancy of or access to the Premises, Landlord shall have no responsibility or for any reason be liable to Tenant for any direct or indirect injury to or interference with Tenant’s business arising from the foregoing work, nor shall Tenant be entitled to any compensation or damages from Landlord for any inconvenience or annoyance occasioned by such work or Landlord’s actions in connection therewith. Landlord shall have the right, in connection with the development, redevelopment, alteration, improvement, operation, maintenance, or repair of the Building, the Property or the Project, to subject the Property to easements for the construction, reconstruction, alteration, improvement, operation, repair or maintenance of elements thereof, for access and egress for parking, for the installation, maintenance, repair, replacement or relocation of utilities serving the Building, the Property or the Project and to subject the Property to such other rights, agreements, and covenants for such purposes as Landlord may determine. Tenant hereby agrees that this Lease shall be subject and subordinate to any such matters that do not unreasonably interrupt Tenant’s use of or access to the Premises. The foregoing sentence shall be self-operative, but Tenant hereby irrevocably appoints Landlord as Tenant’s attorney-in-fact to execute, acknowledge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640"/>
          </w:cols>
          <w:pgMar w:left="620" w:top="270" w:right="639" w:bottom="1440" w:gutter="0" w:footer="0" w:header="0"/>
        </w:sectPr>
      </w:pPr>
    </w:p>
    <w:bookmarkStart w:id="449" w:name="page450"/>
    <w:bookmarkEnd w:id="449"/>
    <w:p>
      <w:pPr>
        <w:jc w:val="both"/>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deliver any documents appropriate to accomplish or confirm the same if Tenant fails to do so within ten (10) days after request therefor. Neither Tenant nor any persons acting under Tenant shall take any action to oppose the Project, nor shall the Tenant knowingly permit any persons acting under Tenant to take any action in opposition to the Project.</w:t>
      </w:r>
    </w:p>
    <w:p>
      <w:pPr>
        <w:spacing w:after="0" w:line="165" w:lineRule="exact"/>
        <w:rPr>
          <w:sz w:val="20"/>
          <w:szCs w:val="20"/>
          <w:color w:val="auto"/>
        </w:rPr>
      </w:pPr>
    </w:p>
    <w:p>
      <w:pPr>
        <w:ind w:firstLine="426"/>
        <w:spacing w:after="0" w:line="264" w:lineRule="auto"/>
        <w:rPr>
          <w:sz w:val="20"/>
          <w:szCs w:val="20"/>
          <w:color w:val="auto"/>
        </w:rPr>
      </w:pPr>
      <w:r>
        <w:rPr>
          <w:rFonts w:ascii="Arial" w:cs="Arial" w:eastAsia="Arial" w:hAnsi="Arial"/>
          <w:sz w:val="17"/>
          <w:szCs w:val="17"/>
          <w:b w:val="1"/>
          <w:bCs w:val="1"/>
          <w:color w:val="auto"/>
        </w:rPr>
        <w:t>17.16 Vacancy at End of Term</w:t>
      </w:r>
      <w:r>
        <w:rPr>
          <w:rFonts w:ascii="Arial" w:cs="Arial" w:eastAsia="Arial" w:hAnsi="Arial"/>
          <w:sz w:val="17"/>
          <w:szCs w:val="17"/>
          <w:color w:val="auto"/>
        </w:rPr>
        <w:t>. If Tenant vacates substantially all of the Premises (or substantially all of a major portion of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floor of the Building) at any time within the last six (6) months of the Term, Landlord may enter the vacated Premises (or such portions) and commence demolition work or construction of leasehold improvements for future tenants, provided that such entry does not materially interfere with any continuing operations of Tenant in any other portions of the Premises. The exercise of such right by Landlord will not affect Tenant’s obligations to pay Base Rent or Additional Rent with respect to the Premises vacated (or such portions), which obligations shall continue without abatement until the end of the Term.</w:t>
      </w:r>
    </w:p>
    <w:p>
      <w:pPr>
        <w:spacing w:after="0" w:line="172" w:lineRule="exact"/>
        <w:rPr>
          <w:sz w:val="20"/>
          <w:szCs w:val="20"/>
          <w:color w:val="auto"/>
        </w:rPr>
      </w:pPr>
    </w:p>
    <w:p>
      <w:pPr>
        <w:ind w:right="100" w:firstLine="426"/>
        <w:spacing w:after="0" w:line="261" w:lineRule="auto"/>
        <w:rPr>
          <w:sz w:val="20"/>
          <w:szCs w:val="20"/>
          <w:color w:val="auto"/>
        </w:rPr>
      </w:pPr>
      <w:r>
        <w:rPr>
          <w:rFonts w:ascii="Arial" w:cs="Arial" w:eastAsia="Arial" w:hAnsi="Arial"/>
          <w:sz w:val="17"/>
          <w:szCs w:val="17"/>
          <w:b w:val="1"/>
          <w:bCs w:val="1"/>
          <w:color w:val="auto"/>
        </w:rPr>
        <w:t>17.17 Confidentiality</w:t>
      </w:r>
      <w:r>
        <w:rPr>
          <w:rFonts w:ascii="Arial" w:cs="Arial" w:eastAsia="Arial" w:hAnsi="Arial"/>
          <w:sz w:val="17"/>
          <w:szCs w:val="17"/>
          <w:color w:val="auto"/>
        </w:rPr>
        <w:t>. Tenant acknowledges and agrees that the terms of this Lease are confidential. Disclosure of the terms hereof could</w:t>
      </w:r>
      <w:r>
        <w:rPr>
          <w:rFonts w:ascii="Arial" w:cs="Arial" w:eastAsia="Arial" w:hAnsi="Arial"/>
          <w:sz w:val="17"/>
          <w:szCs w:val="17"/>
          <w:b w:val="1"/>
          <w:bCs w:val="1"/>
          <w:color w:val="auto"/>
        </w:rPr>
        <w:t xml:space="preserve"> </w:t>
      </w:r>
      <w:r>
        <w:rPr>
          <w:rFonts w:ascii="Arial" w:cs="Arial" w:eastAsia="Arial" w:hAnsi="Arial"/>
          <w:sz w:val="17"/>
          <w:szCs w:val="17"/>
          <w:color w:val="auto"/>
        </w:rPr>
        <w:t>adversely affect the ability of Landlord to negotiate other leases with respect to the Building and may impair Landlord’s relationship with other tenants of the Building. Tenant agrees that it and its partners, officers, directors, employees, brokers, and attorneys, if any, shall not disclose the terms and conditions of this Lease to any other person or entity without the prior written consent of Landlord which may be given or withheld by Landlord, in Landlord’s sole discretion, except as required for financial disclosures or securities filings. Notwithstanding the foregoing, it is agreed that Tenant may disclose the terms of this Lease as it deems necessary to existing and potential lenders, investors, acquirers and potential subtenants provided such entities are advised to keep the terms confidential.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75" w:lineRule="exact"/>
        <w:rPr>
          <w:sz w:val="20"/>
          <w:szCs w:val="20"/>
          <w:color w:val="auto"/>
        </w:rPr>
      </w:pPr>
    </w:p>
    <w:p>
      <w:pPr>
        <w:ind w:right="40" w:firstLine="426"/>
        <w:spacing w:after="0" w:line="278" w:lineRule="auto"/>
        <w:rPr>
          <w:sz w:val="20"/>
          <w:szCs w:val="20"/>
          <w:color w:val="auto"/>
        </w:rPr>
      </w:pPr>
      <w:r>
        <w:rPr>
          <w:rFonts w:ascii="Arial" w:cs="Arial" w:eastAsia="Arial" w:hAnsi="Arial"/>
          <w:sz w:val="16"/>
          <w:szCs w:val="16"/>
          <w:b w:val="1"/>
          <w:bCs w:val="1"/>
          <w:color w:val="auto"/>
        </w:rPr>
        <w:t>17.18 OFAC CERTIFICATION AND INDEMNITY</w:t>
      </w:r>
      <w:r>
        <w:rPr>
          <w:rFonts w:ascii="Arial" w:cs="Arial" w:eastAsia="Arial" w:hAnsi="Arial"/>
          <w:sz w:val="16"/>
          <w:szCs w:val="16"/>
          <w:color w:val="auto"/>
        </w:rPr>
        <w:t>. Executive Order No. 13224 on Terrorist Financing, effective September 24, 2001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Executive Order</w:t>
      </w:r>
      <w:r>
        <w:rPr>
          <w:rFonts w:ascii="Arial" w:cs="Arial" w:eastAsia="Arial" w:hAnsi="Arial"/>
          <w:sz w:val="16"/>
          <w:szCs w:val="16"/>
          <w:color w:val="auto"/>
        </w:rPr>
        <w:t>”), and the Uniting and Strengthening America by Providing Appropriate Tools Required to Intercept and Obstruct Terrorism Act of 2001 (Public Law 10756, the “Patriot Act”) prohibit certain property transfers. Tenant hereby represents and warrants to Landlord (which representations and warranties shall be deemed to be continuing and re-made at all times during the Term) that neither Tenant nor any stockholder, manager, beneficiary, partner, or principal of Tenant is subject to the Executive Order, that none of them is listed on the United States Department of the Treasury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xml:space="preserve">”) list of “Specially Designated Nationals and Blocked Persons” as modified from time to time, and that none of them is otherwise subject to the provisions of the Executive Order or the Patriot Act. The most current list of “Specially Designated Nationals and Blocked Persons” can be found at </w:t>
      </w:r>
      <w:r>
        <w:rPr>
          <w:rFonts w:ascii="Arial" w:cs="Arial" w:eastAsia="Arial" w:hAnsi="Arial"/>
          <w:sz w:val="16"/>
          <w:szCs w:val="16"/>
          <w:u w:val="single" w:color="auto"/>
          <w:color w:val="auto"/>
        </w:rPr>
        <w:t>http://www.treas.gov/offices/eotffc/ofac/sdn/index.html</w:t>
      </w:r>
      <w:r>
        <w:rPr>
          <w:rFonts w:ascii="Arial" w:cs="Arial" w:eastAsia="Arial" w:hAnsi="Arial"/>
          <w:sz w:val="16"/>
          <w:szCs w:val="16"/>
          <w:color w:val="auto"/>
        </w:rPr>
        <w:t>. Tenant shall from time to time, within ten days after request by Landlord, deliver to Landlord any certification or other evidence requested from time to time by Landlord in its reasonable discretion, confirming Tenant’s compliance with these provisions. No assignment or subletting shall be effective unless and until the assignee or subtenant thereunder delivers to Landlord written confirmation of such party’s compliance with the provisions of this subsection, in 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640"/>
          </w:cols>
          <w:pgMar w:left="620" w:top="270" w:right="639" w:bottom="1440" w:gutter="0" w:footer="0" w:header="0"/>
        </w:sectPr>
      </w:pPr>
    </w:p>
    <w:bookmarkStart w:id="450" w:name="page451"/>
    <w:bookmarkEnd w:id="450"/>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and content satisfactory to Landlord. If for any reason the representations and warranties set forth in this subsection, or any certificate or other evidence of compliance delivered to Landlord hereunder, is untrue in any respect when made or delivered, or thereafter becomes untrue in any respect, then an event of default hereunder shall be deemed to occur immediately, and there shall be no opportunity to cure. Tenant shall indemnify, defend with counsel reasonably acceptable to Landlord, and hold Landlord harmless from and against, any and all liabilities, losses claims, damages, penalties, fines, and costs (including reasonable attorneys’ fees and costs) arising from or related to the breach of any of the foregoing representations, warranties, and duties of Tenant. The provisions of this subsection shall survive the expiration or earlier termination of this Lease for the longest period permitted by law.</w:t>
      </w:r>
    </w:p>
    <w:p>
      <w:pPr>
        <w:spacing w:after="0" w:line="145" w:lineRule="exact"/>
        <w:rPr>
          <w:sz w:val="20"/>
          <w:szCs w:val="20"/>
          <w:color w:val="auto"/>
        </w:rPr>
      </w:pPr>
    </w:p>
    <w:p>
      <w:pPr>
        <w:ind w:firstLine="426"/>
        <w:spacing w:after="0" w:line="264" w:lineRule="auto"/>
        <w:rPr>
          <w:sz w:val="20"/>
          <w:szCs w:val="20"/>
          <w:color w:val="auto"/>
        </w:rPr>
      </w:pPr>
      <w:r>
        <w:rPr>
          <w:rFonts w:ascii="Arial" w:cs="Arial" w:eastAsia="Arial" w:hAnsi="Arial"/>
          <w:sz w:val="17"/>
          <w:szCs w:val="17"/>
          <w:b w:val="1"/>
          <w:bCs w:val="1"/>
          <w:color w:val="auto"/>
        </w:rPr>
        <w:t>17.19 WAIVER OF JURY TRIAL</w:t>
      </w:r>
      <w:r>
        <w:rPr>
          <w:rFonts w:ascii="Arial" w:cs="Arial" w:eastAsia="Arial" w:hAnsi="Arial"/>
          <w:sz w:val="17"/>
          <w:szCs w:val="17"/>
          <w:color w:val="auto"/>
        </w:rPr>
        <w:t>. LANDLORD AND TENANT HEREBY WAIVE THEIR RESPECTIVE RIGHT TO TRIAL BY JURY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CAUSE OF ACTION, CLAIM, COUNTERCLAIM OR CROSS-COMPLAINT IN ANY ACTION, PROCEEDING AND/OR HEARING BROUGHT BY EITHER LANDLORD AGAINST TENANT OR TENANT AGAINST LANDLORD ON ANY MATTER WHATSOEVER ARISING OUT OF, OR 1N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remainder of this page has been intentionally left blank]</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600"/>
          </w:cols>
          <w:pgMar w:left="620" w:top="270" w:right="679" w:bottom="1440" w:gutter="0" w:footer="0" w:header="0"/>
        </w:sectPr>
      </w:pPr>
    </w:p>
    <w:bookmarkStart w:id="451" w:name="page452"/>
    <w:bookmarkEnd w:id="4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Executed to take effect as a sealed instrument on the Date of Lease first set forth above.</w:t>
      </w:r>
    </w:p>
    <w:p>
      <w:pPr>
        <w:spacing w:after="0" w:line="24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LANDLORD:</w:t>
      </w:r>
    </w:p>
    <w:p>
      <w:pPr>
        <w:spacing w:after="0" w:line="22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128 SPRING STREET LEXINGTON, LLC</w:t>
      </w:r>
    </w:p>
    <w:p>
      <w:pPr>
        <w:spacing w:after="0" w:line="22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By: /s/ Robert L. Beal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16510</wp:posOffset>
            </wp:positionV>
            <wp:extent cx="251142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 Robert L. Beal</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 Authorized Signatory</w:t>
      </w:r>
    </w:p>
    <w:p>
      <w:pPr>
        <w:spacing w:after="0" w:line="21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TENANT:</w:t>
      </w:r>
    </w:p>
    <w:p>
      <w:pPr>
        <w:spacing w:after="0" w:line="22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KEROS THERAPEUTICS, INC.</w:t>
      </w:r>
    </w:p>
    <w:p>
      <w:pPr>
        <w:spacing w:after="0" w:line="222" w:lineRule="exact"/>
        <w:rPr>
          <w:sz w:val="20"/>
          <w:szCs w:val="20"/>
          <w:color w:val="auto"/>
        </w:rPr>
      </w:pPr>
    </w:p>
    <w:tbl>
      <w:tblPr>
        <w:tblLayout w:type="fixed"/>
        <w:tblInd w:w="5980" w:type="dxa"/>
        <w:tblCellMar>
          <w:top w:w="0" w:type="dxa"/>
          <w:left w:w="0" w:type="dxa"/>
          <w:bottom w:w="0" w:type="dxa"/>
          <w:right w:w="0" w:type="dxa"/>
        </w:tblCellMar>
      </w:tblP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Jasbir S. Seehra</w:t>
            </w:r>
          </w:p>
        </w:tc>
      </w:tr>
      <w:tr>
        <w:trPr>
          <w:trHeight w:val="190"/>
        </w:trPr>
        <w:tc>
          <w:tcPr>
            <w:tcW w:w="520" w:type="dxa"/>
            <w:vAlign w:val="bottom"/>
          </w:tcPr>
          <w:p>
            <w:pPr>
              <w:spacing w:after="0" w:line="189" w:lineRule="exact"/>
              <w:rPr>
                <w:sz w:val="20"/>
                <w:szCs w:val="20"/>
                <w:color w:val="auto"/>
              </w:rPr>
            </w:pPr>
            <w:r>
              <w:rPr>
                <w:rFonts w:ascii="Arial" w:cs="Arial" w:eastAsia="Arial" w:hAnsi="Arial"/>
                <w:sz w:val="17"/>
                <w:szCs w:val="17"/>
                <w:color w:val="auto"/>
                <w:w w:val="99"/>
              </w:rPr>
              <w:t>Name:</w:t>
            </w:r>
          </w:p>
        </w:tc>
        <w:tc>
          <w:tcPr>
            <w:tcW w:w="3740" w:type="dxa"/>
            <w:vAlign w:val="bottom"/>
          </w:tcPr>
          <w:p>
            <w:pPr>
              <w:ind w:left="40"/>
              <w:spacing w:after="0" w:line="189" w:lineRule="exact"/>
              <w:rPr>
                <w:sz w:val="20"/>
                <w:szCs w:val="20"/>
                <w:color w:val="auto"/>
              </w:rPr>
            </w:pPr>
            <w:r>
              <w:rPr>
                <w:rFonts w:ascii="Arial" w:cs="Arial" w:eastAsia="Arial" w:hAnsi="Arial"/>
                <w:sz w:val="17"/>
                <w:szCs w:val="17"/>
                <w:color w:val="auto"/>
              </w:rPr>
              <w:t>Jasbir S. Seehra</w:t>
            </w:r>
          </w:p>
        </w:tc>
      </w:tr>
      <w:tr>
        <w:trPr>
          <w:trHeight w:val="209"/>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3740" w:type="dxa"/>
            <w:vAlign w:val="bottom"/>
          </w:tcPr>
          <w:p>
            <w:pPr>
              <w:ind w:left="40"/>
              <w:spacing w:after="0"/>
              <w:rPr>
                <w:sz w:val="20"/>
                <w:szCs w:val="20"/>
                <w:color w:val="auto"/>
              </w:rPr>
            </w:pPr>
            <w:r>
              <w:rPr>
                <w:rFonts w:ascii="Arial" w:cs="Arial" w:eastAsia="Arial" w:hAnsi="Arial"/>
                <w:sz w:val="17"/>
                <w:szCs w:val="17"/>
                <w:color w:val="auto"/>
              </w:rPr>
              <w:t>President and Treasurer</w:t>
            </w:r>
          </w:p>
        </w:tc>
      </w:tr>
      <w:tr>
        <w:trPr>
          <w:trHeight w:val="221"/>
        </w:trPr>
        <w:tc>
          <w:tcPr>
            <w:tcW w:w="52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Arial" w:cs="Arial" w:eastAsia="Arial" w:hAnsi="Arial"/>
                <w:sz w:val="17"/>
                <w:szCs w:val="17"/>
                <w:color w:val="auto"/>
              </w:rPr>
              <w:t>Duly Authorized</w:t>
            </w:r>
          </w:p>
        </w:tc>
      </w:tr>
      <w:tr>
        <w:trPr>
          <w:trHeight w:val="418"/>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3740" w:type="dxa"/>
            <w:vAlign w:val="bottom"/>
            <w:tcBorders>
              <w:bottom w:val="single" w:sz="8" w:color="auto"/>
            </w:tcBorders>
          </w:tcPr>
          <w:p>
            <w:pPr>
              <w:spacing w:after="0"/>
              <w:rPr>
                <w:sz w:val="24"/>
                <w:szCs w:val="24"/>
                <w:color w:val="auto"/>
              </w:rPr>
            </w:pPr>
          </w:p>
        </w:tc>
      </w:tr>
      <w:tr>
        <w:trPr>
          <w:trHeight w:val="190"/>
        </w:trPr>
        <w:tc>
          <w:tcPr>
            <w:tcW w:w="520" w:type="dxa"/>
            <w:vAlign w:val="bottom"/>
          </w:tcPr>
          <w:p>
            <w:pPr>
              <w:spacing w:after="0" w:line="189" w:lineRule="exact"/>
              <w:rPr>
                <w:sz w:val="20"/>
                <w:szCs w:val="20"/>
                <w:color w:val="auto"/>
              </w:rPr>
            </w:pPr>
            <w:r>
              <w:rPr>
                <w:rFonts w:ascii="Arial" w:cs="Arial" w:eastAsia="Arial" w:hAnsi="Arial"/>
                <w:sz w:val="17"/>
                <w:szCs w:val="17"/>
                <w:color w:val="auto"/>
                <w:w w:val="99"/>
              </w:rPr>
              <w:t>Name:</w:t>
            </w:r>
          </w:p>
        </w:tc>
        <w:tc>
          <w:tcPr>
            <w:tcW w:w="3740" w:type="dxa"/>
            <w:vAlign w:val="bottom"/>
          </w:tcPr>
          <w:p>
            <w:pPr>
              <w:spacing w:after="0"/>
              <w:rPr>
                <w:sz w:val="16"/>
                <w:szCs w:val="16"/>
                <w:color w:val="auto"/>
              </w:rPr>
            </w:pPr>
          </w:p>
        </w:tc>
      </w:t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3740" w:type="dxa"/>
            <w:vAlign w:val="bottom"/>
            <w:tcBorders>
              <w:bottom w:val="single" w:sz="8" w:color="auto"/>
            </w:tcBorders>
          </w:tcPr>
          <w:p>
            <w:pPr>
              <w:spacing w:after="0"/>
              <w:rPr>
                <w:sz w:val="19"/>
                <w:szCs w:val="19"/>
                <w:color w:val="auto"/>
              </w:rPr>
            </w:pPr>
          </w:p>
        </w:tc>
      </w:tr>
      <w:tr>
        <w:trPr>
          <w:trHeight w:val="214"/>
        </w:trPr>
        <w:tc>
          <w:tcPr>
            <w:tcW w:w="52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7"/>
                <w:szCs w:val="17"/>
                <w:color w:val="auto"/>
              </w:rPr>
              <w:t>Duly Authorized</w:t>
            </w:r>
          </w:p>
        </w:tc>
      </w:tr>
    </w:tbl>
    <w:p>
      <w:pPr>
        <w:sectPr>
          <w:pgSz w:w="11900" w:h="16838" w:orient="portrait"/>
          <w:cols w:equalWidth="0" w:num="1">
            <w:col w:w="10240"/>
          </w:cols>
          <w:pgMar w:left="1040" w:top="270" w:right="619" w:bottom="1440" w:gutter="0" w:footer="0" w:header="0"/>
        </w:sectPr>
      </w:pPr>
    </w:p>
    <w:bookmarkStart w:id="452" w:name="page453"/>
    <w:bookmarkEnd w:id="452"/>
    <w:p>
      <w:pPr>
        <w:jc w:val="center"/>
        <w:ind w:right="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A</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Floor Plan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180340</wp:posOffset>
            </wp:positionV>
            <wp:extent cx="3357245" cy="59264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57245" cy="592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270"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Rules and Regulations</w:t>
      </w:r>
    </w:p>
    <w:p>
      <w:pPr>
        <w:spacing w:after="0" w:line="222" w:lineRule="exact"/>
        <w:rPr>
          <w:sz w:val="20"/>
          <w:szCs w:val="20"/>
          <w:color w:val="auto"/>
        </w:rPr>
      </w:pPr>
    </w:p>
    <w:p>
      <w:pPr>
        <w:ind w:firstLine="424"/>
        <w:spacing w:after="0" w:line="266"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If Tenant requires telephone, data, burglar alarm or similar service, the cost of purchasing, installing and maintaining such service shall be borne solely by Tenant. No boring or cutting for wires will be allowed without the prior written consent of Landlord. Landlord shall direct electricians as to where and how telephone, data, and electrical wires are to be introduced or installed. The location of burglar alarms, telephones, call boxes or other office equipment affixed to the Premises shall be subject to the prior written approval of Landlord</w:t>
      </w:r>
    </w:p>
    <w:p>
      <w:pPr>
        <w:spacing w:after="0" w:line="177" w:lineRule="exact"/>
        <w:rPr>
          <w:rFonts w:ascii="Arial" w:cs="Arial" w:eastAsia="Arial" w:hAnsi="Arial"/>
          <w:sz w:val="17"/>
          <w:szCs w:val="17"/>
          <w:color w:val="auto"/>
        </w:rPr>
      </w:pPr>
    </w:p>
    <w:p>
      <w:pPr>
        <w:ind w:right="120" w:firstLine="424"/>
        <w:spacing w:after="0" w:line="288" w:lineRule="auto"/>
        <w:tabs>
          <w:tab w:leader="none" w:pos="60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Tenant shall not place a load upon any floor of its Premises, including mezzanine area, if any, which exceeds the load per square foot that such floor was designed to carry and that is allowed by law. Heavy objects shall stand on such platforms as determined by Landlord to be necessary to properly distribute the weight. Landlord will not be responsible for loss of or damage to any such equipment or other property from any cause, and all damage done to the Building by maintaining or moving such equipment or other property shall be repaired at the expense of Tenant.</w:t>
      </w:r>
    </w:p>
    <w:p>
      <w:pPr>
        <w:spacing w:after="0" w:line="161" w:lineRule="exact"/>
        <w:rPr>
          <w:rFonts w:ascii="Arial" w:cs="Arial" w:eastAsia="Arial" w:hAnsi="Arial"/>
          <w:sz w:val="16"/>
          <w:szCs w:val="16"/>
          <w:color w:val="auto"/>
        </w:rPr>
      </w:pPr>
    </w:p>
    <w:p>
      <w:pPr>
        <w:ind w:right="220" w:firstLine="424"/>
        <w:spacing w:after="0" w:line="287"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install any radio or television antenna, satellite dish, loudspeaker or other device on the roof or exterior walls of the Building without Landlord’s prior written consent which consent shall be in Landlord’s sole discretion.</w:t>
      </w:r>
    </w:p>
    <w:p>
      <w:pPr>
        <w:spacing w:after="0" w:line="159" w:lineRule="exact"/>
        <w:rPr>
          <w:rFonts w:ascii="Arial" w:cs="Arial" w:eastAsia="Arial" w:hAnsi="Arial"/>
          <w:sz w:val="17"/>
          <w:szCs w:val="17"/>
          <w:color w:val="auto"/>
        </w:rPr>
      </w:pPr>
    </w:p>
    <w:p>
      <w:pPr>
        <w:jc w:val="both"/>
        <w:ind w:firstLine="424"/>
        <w:spacing w:after="0" w:line="272"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mark, drive nails, screw or drill into the partitions, woodwork, plaster or drywall (except for pictures and general office uses) or in any way deface the Premises or any part thereof. Tenant shall not affix any floor covering to the floor of the Premises or paint or seal any floors in any manner except as approved by Landlord. Tenant shall repair any damage resulting from noncompliance with this rule.</w:t>
      </w:r>
    </w:p>
    <w:p>
      <w:pPr>
        <w:spacing w:after="0" w:line="170" w:lineRule="exact"/>
        <w:rPr>
          <w:rFonts w:ascii="Arial" w:cs="Arial" w:eastAsia="Arial" w:hAnsi="Arial"/>
          <w:sz w:val="17"/>
          <w:szCs w:val="17"/>
          <w:color w:val="auto"/>
        </w:rPr>
      </w:pPr>
    </w:p>
    <w:p>
      <w:pPr>
        <w:ind w:right="180" w:firstLine="424"/>
        <w:spacing w:after="0" w:line="272"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No cooking shall be done or permitted on the Premises, except that Underwriters’ Laboratory approved microwave ovens, toaster ovens or equipment for brewing coffee, tea, hot chocolate and similar beverages shall be permitted, provided that such equipment and use is in accordance with all applicable federal, state and city laws, codes, ordinances, rules and regulations.</w:t>
      </w:r>
    </w:p>
    <w:p>
      <w:pPr>
        <w:spacing w:after="0" w:line="170" w:lineRule="exact"/>
        <w:rPr>
          <w:rFonts w:ascii="Arial" w:cs="Arial" w:eastAsia="Arial" w:hAnsi="Arial"/>
          <w:sz w:val="17"/>
          <w:szCs w:val="17"/>
          <w:color w:val="auto"/>
        </w:rPr>
      </w:pPr>
    </w:p>
    <w:p>
      <w:pPr>
        <w:jc w:val="both"/>
        <w:ind w:right="120" w:firstLine="424"/>
        <w:spacing w:after="0" w:line="272"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All trash and refuse shall be contained in suitable receptacles at locations approved by Landlord. Tenant shall not place in the trash receptacles any personal trash or material that cannot be disposed of in the ordinary and customary manner of removing such trash without violation of any law or ordinance governing such disposal.</w:t>
      </w:r>
    </w:p>
    <w:p>
      <w:pPr>
        <w:spacing w:after="0" w:line="170" w:lineRule="exact"/>
        <w:rPr>
          <w:rFonts w:ascii="Arial" w:cs="Arial" w:eastAsia="Arial" w:hAnsi="Arial"/>
          <w:sz w:val="17"/>
          <w:szCs w:val="17"/>
          <w:color w:val="auto"/>
        </w:rPr>
      </w:pPr>
    </w:p>
    <w:p>
      <w:pPr>
        <w:ind w:right="580" w:firstLine="424"/>
        <w:spacing w:after="0" w:line="287"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comply with all safety, fire protection and evacuation procedures and regulations established by Landlord or any governing authority.</w:t>
      </w:r>
    </w:p>
    <w:p>
      <w:pPr>
        <w:spacing w:after="0" w:line="159" w:lineRule="exact"/>
        <w:rPr>
          <w:rFonts w:ascii="Arial" w:cs="Arial" w:eastAsia="Arial" w:hAnsi="Arial"/>
          <w:sz w:val="17"/>
          <w:szCs w:val="17"/>
          <w:color w:val="auto"/>
        </w:rPr>
      </w:pPr>
    </w:p>
    <w:p>
      <w:pPr>
        <w:ind w:right="200" w:firstLine="424"/>
        <w:spacing w:after="0" w:line="287" w:lineRule="auto"/>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assumes all responsibility for securing and protecting its Premises and its contents including keeping doors locked and other means of entry to the Premises closed.</w:t>
      </w:r>
    </w:p>
    <w:p>
      <w:pPr>
        <w:spacing w:after="0" w:line="159" w:lineRule="exact"/>
        <w:rPr>
          <w:rFonts w:ascii="Arial" w:cs="Arial" w:eastAsia="Arial" w:hAnsi="Arial"/>
          <w:sz w:val="17"/>
          <w:szCs w:val="17"/>
          <w:color w:val="auto"/>
        </w:rPr>
      </w:pPr>
    </w:p>
    <w:p>
      <w:pPr>
        <w:jc w:val="center"/>
        <w:ind w:left="5200" w:right="220" w:hanging="4776"/>
        <w:spacing w:after="0" w:line="464" w:lineRule="auto"/>
        <w:tabs>
          <w:tab w:leader="none" w:pos="60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use any method of heating or air conditioning other than that supplied by Landlord without Landlord’s prior written consent. B-1</w:t>
      </w:r>
    </w:p>
    <w:p>
      <w:pPr>
        <w:sectPr>
          <w:pgSz w:w="11900" w:h="16838" w:orient="portrait"/>
          <w:cols w:equalWidth="0" w:num="1">
            <w:col w:w="10640"/>
          </w:cols>
          <w:pgMar w:left="620" w:top="270" w:right="639" w:bottom="1440" w:gutter="0" w:footer="0" w:header="0"/>
        </w:sectPr>
      </w:pPr>
    </w:p>
    <w:bookmarkStart w:id="454" w:name="page455"/>
    <w:bookmarkEnd w:id="454"/>
    <w:p>
      <w:pPr>
        <w:ind w:left="640" w:hanging="256"/>
        <w:spacing w:after="0"/>
        <w:tabs>
          <w:tab w:leader="none" w:pos="640" w:val="left"/>
        </w:tabs>
        <w:numPr>
          <w:ilvl w:val="0"/>
          <w:numId w:val="3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No person shall go on the roof without Landlord’s permission.</w:t>
      </w:r>
    </w:p>
    <w:p>
      <w:pPr>
        <w:spacing w:after="0" w:line="222" w:lineRule="exact"/>
        <w:rPr>
          <w:rFonts w:ascii="Arial" w:cs="Arial" w:eastAsia="Arial" w:hAnsi="Arial"/>
          <w:sz w:val="17"/>
          <w:szCs w:val="17"/>
          <w:color w:val="auto"/>
        </w:rPr>
      </w:pPr>
    </w:p>
    <w:p>
      <w:pPr>
        <w:ind w:left="-40" w:right="280" w:firstLine="424"/>
        <w:spacing w:after="0" w:line="272" w:lineRule="auto"/>
        <w:tabs>
          <w:tab w:leader="none" w:pos="64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Canvassing, soliciting, distribution of handbills or any other written material in the Building or Property is prohibited and each tenant shall cooperate to prevent the same. No tenant shall solicit business from other tenants or permit the sale of any goods or merchandise in the Building or Property without the written consent of Landlord.</w:t>
      </w:r>
    </w:p>
    <w:p>
      <w:pPr>
        <w:spacing w:after="0" w:line="170" w:lineRule="exact"/>
        <w:rPr>
          <w:rFonts w:ascii="Arial" w:cs="Arial" w:eastAsia="Arial" w:hAnsi="Arial"/>
          <w:sz w:val="17"/>
          <w:szCs w:val="17"/>
          <w:color w:val="auto"/>
        </w:rPr>
      </w:pPr>
    </w:p>
    <w:p>
      <w:pPr>
        <w:ind w:left="-40" w:right="240" w:firstLine="424"/>
        <w:spacing w:after="0" w:line="272" w:lineRule="auto"/>
        <w:tabs>
          <w:tab w:leader="none" w:pos="64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Any equipment belonging to Tenant which causes noise or vibration that may be transmitted to the structure of the Building or to any space therein to such a degree as to be objectionable to Landlord or to any tenants in the Building shall be placed and maintained by Tenant, at Tenant’s expense, on vibration eliminators or other devices sufficient to eliminate the noise or vibration.</w:t>
      </w:r>
    </w:p>
    <w:p>
      <w:pPr>
        <w:spacing w:after="0" w:line="170" w:lineRule="exact"/>
        <w:rPr>
          <w:rFonts w:ascii="Arial" w:cs="Arial" w:eastAsia="Arial" w:hAnsi="Arial"/>
          <w:sz w:val="17"/>
          <w:szCs w:val="17"/>
          <w:color w:val="auto"/>
        </w:rPr>
      </w:pPr>
    </w:p>
    <w:p>
      <w:pPr>
        <w:jc w:val="both"/>
        <w:ind w:left="-40" w:right="40" w:firstLine="424"/>
        <w:spacing w:after="0" w:line="266" w:lineRule="auto"/>
        <w:tabs>
          <w:tab w:leader="none" w:pos="64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Driveways, sidewalks, halls, passages, exits, entrances and stairways (“Access Areas”) shall not be obstructed by tenants or used by tenants for any purpose other than for ingress to and egress from their respective premises. Access areas are not for the use of the general public and Landlord shall in all cases retain the right to control and prevent access thereto by all persons whose presence, in the judgment of Landlord, shall be prejudicial to the safety, character, reputation and interests of the Building or its tenants.</w:t>
      </w:r>
    </w:p>
    <w:p>
      <w:pPr>
        <w:spacing w:after="0" w:line="177" w:lineRule="exact"/>
        <w:rPr>
          <w:rFonts w:ascii="Arial" w:cs="Arial" w:eastAsia="Arial" w:hAnsi="Arial"/>
          <w:sz w:val="17"/>
          <w:szCs w:val="17"/>
          <w:color w:val="auto"/>
        </w:rPr>
      </w:pPr>
    </w:p>
    <w:p>
      <w:pPr>
        <w:ind w:left="-40" w:right="40" w:firstLine="424"/>
        <w:spacing w:after="0" w:line="262" w:lineRule="auto"/>
        <w:tabs>
          <w:tab w:leader="none" w:pos="64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Landlord reserves the right to designate the use of parking areas and spaces. Tenant shall not park in visitor, reserved, or unauthorized parking areas. Tenant and Tenant’s guests shall park between designated parking lines only and shall not park motor vehicles in those areas designated by Landlord for loading and unloading. Vehicles in violation of the above shall be subject to being towed at the vehicle owner’s expense. Vehicles parked overnight without prior written consent of the Landlord shall be deemed abandoned and shall be subject to being towed at vehicle owner’s expense. Tenant will from time to time, upon the request of Landlord, supply Landlord with a list of license plate numbers of vehicles owned or operated by its employees or agents.</w:t>
      </w:r>
    </w:p>
    <w:p>
      <w:pPr>
        <w:spacing w:after="0" w:line="181" w:lineRule="exact"/>
        <w:rPr>
          <w:rFonts w:ascii="Arial" w:cs="Arial" w:eastAsia="Arial" w:hAnsi="Arial"/>
          <w:sz w:val="17"/>
          <w:szCs w:val="17"/>
          <w:color w:val="auto"/>
        </w:rPr>
      </w:pPr>
    </w:p>
    <w:p>
      <w:pPr>
        <w:ind w:left="-40" w:firstLine="424"/>
        <w:spacing w:after="0" w:line="296" w:lineRule="auto"/>
        <w:tabs>
          <w:tab w:leader="none" w:pos="647"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No trucks, tractors or similar vehicles can be parked anywhere other than in Tenant’s own truck dock area. Tractor-trailers which must be unhooked or parked with dolly wheels beyond the concrete loading areas must use steel plates or wood blocks under the dolly wheels to prevent damage to the paving surfaces. No parking or storing of such trailers will be permitted in the parking areas or on streets adjacent thereto.</w:t>
      </w:r>
    </w:p>
    <w:p>
      <w:pPr>
        <w:spacing w:after="0" w:line="154" w:lineRule="exact"/>
        <w:rPr>
          <w:rFonts w:ascii="Arial" w:cs="Arial" w:eastAsia="Arial" w:hAnsi="Arial"/>
          <w:sz w:val="16"/>
          <w:szCs w:val="16"/>
          <w:color w:val="auto"/>
        </w:rPr>
      </w:pPr>
    </w:p>
    <w:p>
      <w:pPr>
        <w:ind w:left="-40" w:right="40" w:firstLine="424"/>
        <w:spacing w:after="0" w:line="261" w:lineRule="auto"/>
        <w:tabs>
          <w:tab w:leader="none" w:pos="64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No sign, placard, picture, advertisement, name or notice (collectively referred to as “Signs”) shall be installed or displayed on any part of the outside of the Building without the prior written consent of the Landlord which consent shall be in Landlord’s sole discretion. All approved Signs shall be printed, painted, affixed or inscribed at Tenant’s expense by a person or vendor approved by Landlord and shall be removed by Tenant at Tenant’s expense upon vacating the Premises. Landlord shall have the right to remove any Sign installed or displayed in violation of this rule at Tenant’s expense and without notice. Subject to approval by Landlord and by the Town of Lexington, Tenant will have the right to signage similar to that of other tenants of the Building. All such signage will be installed, maintained, and, at the end of the Term, removed by Tenant at its sole expense, with Tenant repairing any damage caused by same.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0580"/>
          </w:cols>
          <w:pgMar w:left="660" w:top="270" w:right="659" w:bottom="1440" w:gutter="0" w:footer="0" w:header="0"/>
        </w:sectPr>
      </w:pPr>
    </w:p>
    <w:bookmarkStart w:id="455" w:name="page456"/>
    <w:bookmarkEnd w:id="455"/>
    <w:p>
      <w:pPr>
        <w:ind w:right="40" w:firstLine="424"/>
        <w:spacing w:after="0" w:line="266"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During periods of loading and unloading, Tenant shall not unreasonably interfere with traffic flow and loading and unloading areas of other tenants. All products, materials or goods must be stored within the Tenant’s Premises and not in any exterior areas, including, but not limited to, exterior dock platforms, against the exterior of the Building, parking areas and driveway areas. Tenant agrees to keep the exterior of the Premises clean and free of nails, wood, pallets, packing materials, barrels and any other debris produced from their operation.</w:t>
      </w:r>
    </w:p>
    <w:p>
      <w:pPr>
        <w:spacing w:after="0" w:line="177" w:lineRule="exact"/>
        <w:rPr>
          <w:rFonts w:ascii="Arial" w:cs="Arial" w:eastAsia="Arial" w:hAnsi="Arial"/>
          <w:sz w:val="17"/>
          <w:szCs w:val="17"/>
          <w:color w:val="auto"/>
        </w:rPr>
      </w:pPr>
    </w:p>
    <w:p>
      <w:pPr>
        <w:ind w:right="20" w:firstLine="424"/>
        <w:spacing w:after="0" w:line="287"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Tenant shall not permit any motor vehicles to be washed or mechanical work or maintenance of motor vehicles to be performed on any portion of the Premises or parking lot.</w:t>
      </w:r>
    </w:p>
    <w:p>
      <w:pPr>
        <w:spacing w:after="0" w:line="159" w:lineRule="exact"/>
        <w:rPr>
          <w:rFonts w:ascii="Arial" w:cs="Arial" w:eastAsia="Arial" w:hAnsi="Arial"/>
          <w:sz w:val="17"/>
          <w:szCs w:val="17"/>
          <w:color w:val="auto"/>
        </w:rPr>
      </w:pPr>
    </w:p>
    <w:p>
      <w:pPr>
        <w:ind w:right="520" w:firstLine="424"/>
        <w:spacing w:after="0" w:line="287"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Tenant shall not permit smoking or carrying of lighted cigarettes or cigars in areas reasonably designated by Landlord or any applicable governmental agencies as non-smoking areas.</w:t>
      </w:r>
    </w:p>
    <w:p>
      <w:pPr>
        <w:spacing w:after="0" w:line="159" w:lineRule="exact"/>
        <w:rPr>
          <w:rFonts w:ascii="Arial" w:cs="Arial" w:eastAsia="Arial" w:hAnsi="Arial"/>
          <w:sz w:val="17"/>
          <w:szCs w:val="17"/>
          <w:color w:val="auto"/>
        </w:rPr>
      </w:pPr>
    </w:p>
    <w:p>
      <w:pPr>
        <w:ind w:right="300" w:firstLine="424"/>
        <w:spacing w:after="0" w:line="272"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Canvassing, soliciting, distribution of handbills or any other written material in the Building or Property is prohibited and each tenant shall cooperate to prevent the same. No tenant shall solicit business from other tenants or permit the sale of any goods or merchandise in the Building or Property without the written consent of Landlord.</w:t>
      </w:r>
    </w:p>
    <w:p>
      <w:pPr>
        <w:spacing w:after="0" w:line="170" w:lineRule="exact"/>
        <w:rPr>
          <w:rFonts w:ascii="Arial" w:cs="Arial" w:eastAsia="Arial" w:hAnsi="Arial"/>
          <w:sz w:val="17"/>
          <w:szCs w:val="17"/>
          <w:color w:val="auto"/>
        </w:rPr>
      </w:pPr>
    </w:p>
    <w:p>
      <w:pPr>
        <w:ind w:right="160" w:firstLine="424"/>
        <w:spacing w:after="0" w:line="272"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Tenant shall not permit any animals, other than seeing-eye dogs, to be brought or kept in or about the Premises or any common area of the property; provided however, Tenant shall be permitted to bring animals on the Premises to be housed in the vivarium in the Premises, but subject to all of the terms and conditions of the Lease including, without limitation, Section 9.01.</w:t>
      </w:r>
    </w:p>
    <w:p>
      <w:pPr>
        <w:spacing w:after="0" w:line="170" w:lineRule="exact"/>
        <w:rPr>
          <w:rFonts w:ascii="Arial" w:cs="Arial" w:eastAsia="Arial" w:hAnsi="Arial"/>
          <w:sz w:val="17"/>
          <w:szCs w:val="17"/>
          <w:color w:val="auto"/>
        </w:rPr>
      </w:pPr>
    </w:p>
    <w:p>
      <w:pPr>
        <w:ind w:right="80" w:firstLine="424"/>
        <w:spacing w:after="0" w:line="272"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Tenant shall not alter any lock or other access device or install a new or additional lock or access device or bolt on any door of its Premises without the prior written consent of Landlord. Tenant, upon the termination of its tenancy, shall deliver to Landlord the keys or other means of access to all doors.</w:t>
      </w:r>
    </w:p>
    <w:p>
      <w:pPr>
        <w:spacing w:after="0" w:line="170" w:lineRule="exact"/>
        <w:rPr>
          <w:rFonts w:ascii="Arial" w:cs="Arial" w:eastAsia="Arial" w:hAnsi="Arial"/>
          <w:sz w:val="17"/>
          <w:szCs w:val="17"/>
          <w:color w:val="auto"/>
        </w:rPr>
      </w:pPr>
    </w:p>
    <w:p>
      <w:pPr>
        <w:ind w:firstLine="424"/>
        <w:spacing w:after="0" w:line="288" w:lineRule="auto"/>
        <w:tabs>
          <w:tab w:leader="none" w:pos="68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These Rules and Regulations are in addition to, and shall not be construed to in any way modify or amend, in whole or in part, the terms, covenants, agreements and conditions of any lease of any premises in the Building. Landlord may waive any one or more of these Rules and Regulations for the benefit of any tenant or tenants, and any such waiver by Landlord shall not be construed as a waiver of such Rules and Regulations for any or all tenants. Landlord shall not enforce these Rules and Regulations in a discriminatory manner against Tenant.</w:t>
      </w:r>
    </w:p>
    <w:p>
      <w:pPr>
        <w:spacing w:after="0" w:line="161" w:lineRule="exact"/>
        <w:rPr>
          <w:rFonts w:ascii="Arial" w:cs="Arial" w:eastAsia="Arial" w:hAnsi="Arial"/>
          <w:sz w:val="16"/>
          <w:szCs w:val="16"/>
          <w:color w:val="auto"/>
        </w:rPr>
      </w:pPr>
    </w:p>
    <w:p>
      <w:pPr>
        <w:ind w:right="60" w:firstLine="424"/>
        <w:spacing w:after="0" w:line="266" w:lineRule="auto"/>
        <w:tabs>
          <w:tab w:leader="none" w:pos="68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Landlord reserves the right to make such other and reasonable rules and regulations as in its judgment may from time to time be needed for safety and security, for care and cleanliness of the Building and for the preservation of good order in and about the Building. Tenant agrees to abide by all such rules and regulations herein stated and any additional rules and regulations which are adopted. Tenant shall be responsible for the observance of all of the foregoing rules by Tenant’s employees, agents, clients, customers, invitees and guests.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w:t>
      </w:r>
    </w:p>
    <w:p>
      <w:pPr>
        <w:sectPr>
          <w:pgSz w:w="11900" w:h="16838" w:orient="portrait"/>
          <w:cols w:equalWidth="0" w:num="1">
            <w:col w:w="10640"/>
          </w:cols>
          <w:pgMar w:left="620" w:top="270" w:right="639" w:bottom="1440" w:gutter="0" w:footer="0" w:header="0"/>
        </w:sectPr>
      </w:pPr>
    </w:p>
    <w:bookmarkStart w:id="456" w:name="page457"/>
    <w:bookmarkEnd w:id="456"/>
    <w:p>
      <w:pPr>
        <w:jc w:val="center"/>
        <w:ind w:right="-21"/>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C</w:t>
      </w:r>
    </w:p>
    <w:p>
      <w:pPr>
        <w:spacing w:after="0" w:line="222" w:lineRule="exact"/>
        <w:rPr>
          <w:sz w:val="20"/>
          <w:szCs w:val="20"/>
          <w:color w:val="auto"/>
        </w:rPr>
      </w:pPr>
    </w:p>
    <w:p>
      <w:pPr>
        <w:jc w:val="center"/>
        <w:ind w:right="-21"/>
        <w:spacing w:after="0"/>
        <w:rPr>
          <w:sz w:val="20"/>
          <w:szCs w:val="20"/>
          <w:color w:val="auto"/>
        </w:rPr>
      </w:pPr>
      <w:r>
        <w:rPr>
          <w:rFonts w:ascii="Arial" w:cs="Arial" w:eastAsia="Arial" w:hAnsi="Arial"/>
          <w:sz w:val="17"/>
          <w:szCs w:val="17"/>
          <w:u w:val="single" w:color="auto"/>
          <w:color w:val="auto"/>
        </w:rPr>
        <w:t>Rules and Regulations for Design and Construction of Tenant Work</w:t>
      </w:r>
    </w:p>
    <w:p>
      <w:pPr>
        <w:spacing w:after="0" w:line="242" w:lineRule="exact"/>
        <w:rPr>
          <w:sz w:val="20"/>
          <w:szCs w:val="20"/>
          <w:color w:val="auto"/>
        </w:rPr>
      </w:pPr>
    </w:p>
    <w:p>
      <w:pPr>
        <w:ind w:left="662" w:hanging="662"/>
        <w:spacing w:after="0"/>
        <w:tabs>
          <w:tab w:leader="none" w:pos="662" w:val="left"/>
        </w:tabs>
        <w:numPr>
          <w:ilvl w:val="0"/>
          <w:numId w:val="386"/>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124"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1.1</w:t>
            </w:r>
          </w:p>
        </w:tc>
        <w:tc>
          <w:tcPr>
            <w:tcW w:w="2200" w:type="dxa"/>
            <w:vAlign w:val="bottom"/>
          </w:tcPr>
          <w:p>
            <w:pPr>
              <w:ind w:left="220"/>
              <w:spacing w:after="0"/>
              <w:rPr>
                <w:sz w:val="20"/>
                <w:szCs w:val="20"/>
                <w:color w:val="auto"/>
              </w:rPr>
            </w:pPr>
            <w:r>
              <w:rPr>
                <w:rFonts w:ascii="Arial" w:cs="Arial" w:eastAsia="Arial" w:hAnsi="Arial"/>
                <w:sz w:val="17"/>
                <w:szCs w:val="17"/>
                <w:color w:val="auto"/>
              </w:rPr>
              <w:t>Building:</w:t>
            </w:r>
          </w:p>
        </w:tc>
        <w:tc>
          <w:tcPr>
            <w:tcW w:w="7980" w:type="dxa"/>
            <w:vAlign w:val="bottom"/>
          </w:tcPr>
          <w:p>
            <w:pPr>
              <w:ind w:left="240"/>
              <w:spacing w:after="0"/>
              <w:rPr>
                <w:sz w:val="20"/>
                <w:szCs w:val="20"/>
                <w:color w:val="auto"/>
              </w:rPr>
            </w:pPr>
            <w:r>
              <w:rPr>
                <w:rFonts w:ascii="Arial" w:cs="Arial" w:eastAsia="Arial" w:hAnsi="Arial"/>
                <w:sz w:val="17"/>
                <w:szCs w:val="17"/>
                <w:color w:val="auto"/>
              </w:rPr>
              <w:t>128 Spring Street, Ledgemont I.</w:t>
            </w:r>
          </w:p>
        </w:tc>
      </w:tr>
      <w:tr>
        <w:trPr>
          <w:trHeight w:val="313"/>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1.2</w:t>
            </w:r>
          </w:p>
        </w:tc>
        <w:tc>
          <w:tcPr>
            <w:tcW w:w="2200" w:type="dxa"/>
            <w:vAlign w:val="bottom"/>
          </w:tcPr>
          <w:p>
            <w:pPr>
              <w:ind w:left="220"/>
              <w:spacing w:after="0"/>
              <w:rPr>
                <w:sz w:val="20"/>
                <w:szCs w:val="20"/>
                <w:color w:val="auto"/>
              </w:rPr>
            </w:pPr>
            <w:r>
              <w:rPr>
                <w:rFonts w:ascii="Arial" w:cs="Arial" w:eastAsia="Arial" w:hAnsi="Arial"/>
                <w:sz w:val="17"/>
                <w:szCs w:val="17"/>
                <w:color w:val="auto"/>
              </w:rPr>
              <w:t>Property Manager:</w:t>
            </w:r>
          </w:p>
        </w:tc>
        <w:tc>
          <w:tcPr>
            <w:tcW w:w="7980" w:type="dxa"/>
            <w:vAlign w:val="bottom"/>
          </w:tcPr>
          <w:p>
            <w:pPr>
              <w:ind w:left="240"/>
              <w:spacing w:after="0"/>
              <w:rPr>
                <w:sz w:val="20"/>
                <w:szCs w:val="20"/>
                <w:color w:val="auto"/>
              </w:rPr>
            </w:pPr>
            <w:r>
              <w:rPr>
                <w:rFonts w:ascii="Arial" w:cs="Arial" w:eastAsia="Arial" w:hAnsi="Arial"/>
                <w:sz w:val="17"/>
                <w:szCs w:val="17"/>
                <w:color w:val="auto"/>
              </w:rPr>
              <w:t>Related Beal, LLC, or such other individual/entity as landlord may designate, from time to time.</w:t>
            </w:r>
          </w:p>
        </w:tc>
      </w:tr>
      <w:tr>
        <w:trPr>
          <w:trHeight w:val="313"/>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1.3</w:t>
            </w:r>
          </w:p>
        </w:tc>
        <w:tc>
          <w:tcPr>
            <w:tcW w:w="2200" w:type="dxa"/>
            <w:vAlign w:val="bottom"/>
          </w:tcPr>
          <w:p>
            <w:pPr>
              <w:ind w:left="220"/>
              <w:spacing w:after="0"/>
              <w:rPr>
                <w:sz w:val="20"/>
                <w:szCs w:val="20"/>
                <w:color w:val="auto"/>
              </w:rPr>
            </w:pPr>
            <w:r>
              <w:rPr>
                <w:rFonts w:ascii="Arial" w:cs="Arial" w:eastAsia="Arial" w:hAnsi="Arial"/>
                <w:sz w:val="17"/>
                <w:szCs w:val="17"/>
                <w:color w:val="auto"/>
              </w:rPr>
              <w:t>Consultant:</w:t>
            </w:r>
          </w:p>
        </w:tc>
        <w:tc>
          <w:tcPr>
            <w:tcW w:w="7980" w:type="dxa"/>
            <w:vAlign w:val="bottom"/>
          </w:tcPr>
          <w:p>
            <w:pPr>
              <w:ind w:left="240"/>
              <w:spacing w:after="0"/>
              <w:rPr>
                <w:sz w:val="20"/>
                <w:szCs w:val="20"/>
                <w:color w:val="auto"/>
              </w:rPr>
            </w:pPr>
            <w:r>
              <w:rPr>
                <w:rFonts w:ascii="Arial" w:cs="Arial" w:eastAsia="Arial" w:hAnsi="Arial"/>
                <w:sz w:val="17"/>
                <w:szCs w:val="17"/>
                <w:color w:val="auto"/>
                <w:w w:val="97"/>
              </w:rPr>
              <w:t>Any architectural, engineering or design consultant engaged by a Tenant in connection with Tenant Work.</w:t>
            </w:r>
          </w:p>
        </w:tc>
      </w:tr>
      <w:tr>
        <w:trPr>
          <w:trHeight w:val="301"/>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1.4</w:t>
            </w:r>
          </w:p>
        </w:tc>
        <w:tc>
          <w:tcPr>
            <w:tcW w:w="2200" w:type="dxa"/>
            <w:vAlign w:val="bottom"/>
          </w:tcPr>
          <w:p>
            <w:pPr>
              <w:ind w:left="220"/>
              <w:spacing w:after="0"/>
              <w:rPr>
                <w:sz w:val="20"/>
                <w:szCs w:val="20"/>
                <w:color w:val="auto"/>
              </w:rPr>
            </w:pPr>
            <w:r>
              <w:rPr>
                <w:rFonts w:ascii="Arial" w:cs="Arial" w:eastAsia="Arial" w:hAnsi="Arial"/>
                <w:sz w:val="17"/>
                <w:szCs w:val="17"/>
                <w:color w:val="auto"/>
              </w:rPr>
              <w:t>Contractor:</w:t>
            </w:r>
          </w:p>
        </w:tc>
        <w:tc>
          <w:tcPr>
            <w:tcW w:w="7980" w:type="dxa"/>
            <w:vAlign w:val="bottom"/>
          </w:tcPr>
          <w:p>
            <w:pPr>
              <w:ind w:left="240"/>
              <w:spacing w:after="0"/>
              <w:rPr>
                <w:sz w:val="20"/>
                <w:szCs w:val="20"/>
                <w:color w:val="auto"/>
              </w:rPr>
            </w:pPr>
            <w:r>
              <w:rPr>
                <w:rFonts w:ascii="Arial" w:cs="Arial" w:eastAsia="Arial" w:hAnsi="Arial"/>
                <w:sz w:val="17"/>
                <w:szCs w:val="17"/>
                <w:color w:val="auto"/>
              </w:rPr>
              <w:t>Any Contractor engaged by Tenant of the Building for the performance of any Tenant Work, and any</w:t>
            </w:r>
          </w:p>
        </w:tc>
      </w:tr>
      <w:tr>
        <w:trPr>
          <w:trHeight w:val="221"/>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7"/>
                <w:szCs w:val="17"/>
                <w:color w:val="auto"/>
              </w:rPr>
              <w:t>Subcontractor employed by any such Contractor.</w:t>
            </w:r>
          </w:p>
        </w:tc>
      </w:tr>
      <w:tr>
        <w:trPr>
          <w:trHeight w:val="301"/>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1.5</w:t>
            </w:r>
          </w:p>
        </w:tc>
        <w:tc>
          <w:tcPr>
            <w:tcW w:w="2200" w:type="dxa"/>
            <w:vAlign w:val="bottom"/>
          </w:tcPr>
          <w:p>
            <w:pPr>
              <w:ind w:left="220"/>
              <w:spacing w:after="0"/>
              <w:rPr>
                <w:sz w:val="20"/>
                <w:szCs w:val="20"/>
                <w:color w:val="auto"/>
              </w:rPr>
            </w:pPr>
            <w:r>
              <w:rPr>
                <w:rFonts w:ascii="Arial" w:cs="Arial" w:eastAsia="Arial" w:hAnsi="Arial"/>
                <w:sz w:val="17"/>
                <w:szCs w:val="17"/>
                <w:color w:val="auto"/>
              </w:rPr>
              <w:t>Plans:</w:t>
            </w:r>
          </w:p>
        </w:tc>
        <w:tc>
          <w:tcPr>
            <w:tcW w:w="7980" w:type="dxa"/>
            <w:vAlign w:val="bottom"/>
          </w:tcPr>
          <w:p>
            <w:pPr>
              <w:ind w:left="240"/>
              <w:spacing w:after="0"/>
              <w:rPr>
                <w:sz w:val="20"/>
                <w:szCs w:val="20"/>
                <w:color w:val="auto"/>
              </w:rPr>
            </w:pPr>
            <w:r>
              <w:rPr>
                <w:rFonts w:ascii="Arial" w:cs="Arial" w:eastAsia="Arial" w:hAnsi="Arial"/>
                <w:sz w:val="17"/>
                <w:szCs w:val="17"/>
                <w:color w:val="auto"/>
                <w:w w:val="96"/>
              </w:rPr>
              <w:t>All architectural, electrical and mechanical construction drawings and specifications required for the proper</w:t>
            </w:r>
          </w:p>
        </w:tc>
      </w:tr>
      <w:tr>
        <w:trPr>
          <w:trHeight w:val="221"/>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7"/>
                <w:szCs w:val="17"/>
                <w:color w:val="auto"/>
              </w:rPr>
              <w:t>construction of the Tenant Work.</w:t>
            </w:r>
          </w:p>
        </w:tc>
      </w:tr>
      <w:tr>
        <w:trPr>
          <w:trHeight w:val="313"/>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1.6</w:t>
            </w:r>
          </w:p>
        </w:tc>
        <w:tc>
          <w:tcPr>
            <w:tcW w:w="2200" w:type="dxa"/>
            <w:vAlign w:val="bottom"/>
          </w:tcPr>
          <w:p>
            <w:pPr>
              <w:ind w:left="220"/>
              <w:spacing w:after="0"/>
              <w:rPr>
                <w:sz w:val="20"/>
                <w:szCs w:val="20"/>
                <w:color w:val="auto"/>
              </w:rPr>
            </w:pPr>
            <w:r>
              <w:rPr>
                <w:rFonts w:ascii="Arial" w:cs="Arial" w:eastAsia="Arial" w:hAnsi="Arial"/>
                <w:sz w:val="17"/>
                <w:szCs w:val="17"/>
                <w:color w:val="auto"/>
              </w:rPr>
              <w:t>Regular Business Hours:</w:t>
            </w:r>
          </w:p>
        </w:tc>
        <w:tc>
          <w:tcPr>
            <w:tcW w:w="7980" w:type="dxa"/>
            <w:vAlign w:val="bottom"/>
          </w:tcPr>
          <w:p>
            <w:pPr>
              <w:ind w:left="240"/>
              <w:spacing w:after="0"/>
              <w:rPr>
                <w:sz w:val="20"/>
                <w:szCs w:val="20"/>
                <w:color w:val="auto"/>
              </w:rPr>
            </w:pPr>
            <w:r>
              <w:rPr>
                <w:rFonts w:ascii="Arial" w:cs="Arial" w:eastAsia="Arial" w:hAnsi="Arial"/>
                <w:sz w:val="17"/>
                <w:szCs w:val="17"/>
                <w:color w:val="auto"/>
              </w:rPr>
              <w:t>Monday through Friday, 8:00 a.m. through 6:00 p.m., holidays and weekends excluded.</w:t>
            </w:r>
          </w:p>
        </w:tc>
      </w:tr>
      <w:tr>
        <w:trPr>
          <w:trHeight w:val="313"/>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1.7</w:t>
            </w:r>
          </w:p>
        </w:tc>
        <w:tc>
          <w:tcPr>
            <w:tcW w:w="2200" w:type="dxa"/>
            <w:vAlign w:val="bottom"/>
          </w:tcPr>
          <w:p>
            <w:pPr>
              <w:ind w:left="220"/>
              <w:spacing w:after="0"/>
              <w:rPr>
                <w:sz w:val="20"/>
                <w:szCs w:val="20"/>
                <w:color w:val="auto"/>
              </w:rPr>
            </w:pPr>
            <w:r>
              <w:rPr>
                <w:rFonts w:ascii="Arial" w:cs="Arial" w:eastAsia="Arial" w:hAnsi="Arial"/>
                <w:sz w:val="17"/>
                <w:szCs w:val="17"/>
                <w:color w:val="auto"/>
              </w:rPr>
              <w:t>Tenant:</w:t>
            </w:r>
          </w:p>
        </w:tc>
        <w:tc>
          <w:tcPr>
            <w:tcW w:w="7980" w:type="dxa"/>
            <w:vAlign w:val="bottom"/>
          </w:tcPr>
          <w:p>
            <w:pPr>
              <w:ind w:left="240"/>
              <w:spacing w:after="0"/>
              <w:rPr>
                <w:sz w:val="20"/>
                <w:szCs w:val="20"/>
                <w:color w:val="auto"/>
              </w:rPr>
            </w:pPr>
            <w:r>
              <w:rPr>
                <w:rFonts w:ascii="Arial" w:cs="Arial" w:eastAsia="Arial" w:hAnsi="Arial"/>
                <w:sz w:val="17"/>
                <w:szCs w:val="17"/>
                <w:color w:val="auto"/>
              </w:rPr>
              <w:t>Any occupant of the Building.</w:t>
            </w:r>
          </w:p>
        </w:tc>
      </w:tr>
      <w:tr>
        <w:trPr>
          <w:trHeight w:val="301"/>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1.8</w:t>
            </w:r>
          </w:p>
        </w:tc>
        <w:tc>
          <w:tcPr>
            <w:tcW w:w="2200" w:type="dxa"/>
            <w:vAlign w:val="bottom"/>
          </w:tcPr>
          <w:p>
            <w:pPr>
              <w:ind w:left="220"/>
              <w:spacing w:after="0"/>
              <w:rPr>
                <w:sz w:val="20"/>
                <w:szCs w:val="20"/>
                <w:color w:val="auto"/>
              </w:rPr>
            </w:pPr>
            <w:r>
              <w:rPr>
                <w:rFonts w:ascii="Arial" w:cs="Arial" w:eastAsia="Arial" w:hAnsi="Arial"/>
                <w:sz w:val="17"/>
                <w:szCs w:val="17"/>
                <w:color w:val="auto"/>
              </w:rPr>
              <w:t>Tenant Work:</w:t>
            </w:r>
          </w:p>
        </w:tc>
        <w:tc>
          <w:tcPr>
            <w:tcW w:w="7980" w:type="dxa"/>
            <w:vAlign w:val="bottom"/>
          </w:tcPr>
          <w:p>
            <w:pPr>
              <w:ind w:left="240"/>
              <w:spacing w:after="0"/>
              <w:rPr>
                <w:sz w:val="20"/>
                <w:szCs w:val="20"/>
                <w:color w:val="auto"/>
              </w:rPr>
            </w:pPr>
            <w:r>
              <w:rPr>
                <w:rFonts w:ascii="Arial" w:cs="Arial" w:eastAsia="Arial" w:hAnsi="Arial"/>
                <w:sz w:val="17"/>
                <w:szCs w:val="17"/>
                <w:color w:val="auto"/>
                <w:w w:val="94"/>
              </w:rPr>
              <w:t>Any alterations, improvements, additions, repairs or installations on the building performed by or on behalf of</w:t>
            </w:r>
          </w:p>
        </w:tc>
      </w:tr>
      <w:tr>
        <w:trPr>
          <w:trHeight w:val="221"/>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7"/>
                <w:szCs w:val="17"/>
                <w:color w:val="auto"/>
              </w:rPr>
              <w:t>any Tenant.</w:t>
            </w:r>
          </w:p>
        </w:tc>
      </w:tr>
      <w:tr>
        <w:trPr>
          <w:trHeight w:val="301"/>
        </w:trPr>
        <w:tc>
          <w:tcPr>
            <w:tcW w:w="440" w:type="dxa"/>
            <w:vAlign w:val="bottom"/>
          </w:tcPr>
          <w:p>
            <w:pPr>
              <w:jc w:val="right"/>
              <w:ind w:right="133"/>
              <w:spacing w:after="0"/>
              <w:rPr>
                <w:sz w:val="20"/>
                <w:szCs w:val="20"/>
                <w:color w:val="auto"/>
              </w:rPr>
            </w:pPr>
            <w:r>
              <w:rPr>
                <w:rFonts w:ascii="Arial" w:cs="Arial" w:eastAsia="Arial" w:hAnsi="Arial"/>
                <w:sz w:val="17"/>
                <w:szCs w:val="17"/>
                <w:color w:val="auto"/>
                <w:w w:val="84"/>
              </w:rPr>
              <w:t>1.9</w:t>
            </w:r>
          </w:p>
        </w:tc>
        <w:tc>
          <w:tcPr>
            <w:tcW w:w="2200" w:type="dxa"/>
            <w:vAlign w:val="bottom"/>
          </w:tcPr>
          <w:p>
            <w:pPr>
              <w:ind w:left="220"/>
              <w:spacing w:after="0"/>
              <w:rPr>
                <w:sz w:val="20"/>
                <w:szCs w:val="20"/>
                <w:color w:val="auto"/>
              </w:rPr>
            </w:pPr>
            <w:r>
              <w:rPr>
                <w:rFonts w:ascii="Arial" w:cs="Arial" w:eastAsia="Arial" w:hAnsi="Arial"/>
                <w:sz w:val="17"/>
                <w:szCs w:val="17"/>
                <w:color w:val="auto"/>
              </w:rPr>
              <w:t>Tradeperson:</w:t>
            </w:r>
          </w:p>
        </w:tc>
        <w:tc>
          <w:tcPr>
            <w:tcW w:w="7980" w:type="dxa"/>
            <w:vAlign w:val="bottom"/>
          </w:tcPr>
          <w:p>
            <w:pPr>
              <w:ind w:left="240"/>
              <w:spacing w:after="0"/>
              <w:rPr>
                <w:sz w:val="20"/>
                <w:szCs w:val="20"/>
                <w:color w:val="auto"/>
              </w:rPr>
            </w:pPr>
            <w:r>
              <w:rPr>
                <w:rFonts w:ascii="Arial" w:cs="Arial" w:eastAsia="Arial" w:hAnsi="Arial"/>
                <w:sz w:val="17"/>
                <w:szCs w:val="17"/>
                <w:color w:val="auto"/>
                <w:w w:val="93"/>
              </w:rPr>
              <w:t>Any employee (including, without limitation, any mechanic laborer, or Tradeperson) employed by a Contractor</w:t>
            </w:r>
          </w:p>
        </w:tc>
      </w:tr>
      <w:tr>
        <w:trPr>
          <w:trHeight w:val="221"/>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7"/>
                <w:szCs w:val="17"/>
                <w:color w:val="auto"/>
              </w:rPr>
              <w:t>performing Tenant Work.</w:t>
            </w:r>
          </w:p>
        </w:tc>
      </w:tr>
    </w:tbl>
    <w:p>
      <w:pPr>
        <w:spacing w:after="0" w:line="295" w:lineRule="exact"/>
        <w:rPr>
          <w:sz w:val="20"/>
          <w:szCs w:val="20"/>
          <w:color w:val="auto"/>
        </w:rPr>
      </w:pPr>
    </w:p>
    <w:p>
      <w:pPr>
        <w:ind w:left="182" w:hanging="182"/>
        <w:spacing w:after="0"/>
        <w:tabs>
          <w:tab w:leader="none" w:pos="182" w:val="left"/>
        </w:tabs>
        <w:numPr>
          <w:ilvl w:val="0"/>
          <w:numId w:val="387"/>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p>
    <w:p>
      <w:pPr>
        <w:spacing w:after="0" w:line="124" w:lineRule="exact"/>
        <w:rPr>
          <w:sz w:val="20"/>
          <w:szCs w:val="20"/>
          <w:color w:val="auto"/>
        </w:rPr>
      </w:pPr>
    </w:p>
    <w:p>
      <w:pPr>
        <w:ind w:left="2" w:right="140"/>
        <w:spacing w:after="0" w:line="287" w:lineRule="auto"/>
        <w:rPr>
          <w:sz w:val="20"/>
          <w:szCs w:val="20"/>
          <w:color w:val="auto"/>
        </w:rPr>
      </w:pPr>
      <w:r>
        <w:rPr>
          <w:rFonts w:ascii="Arial" w:cs="Arial" w:eastAsia="Arial" w:hAnsi="Arial"/>
          <w:sz w:val="17"/>
          <w:szCs w:val="17"/>
          <w:color w:val="auto"/>
        </w:rPr>
        <w:t>2.1 All Tenant Work shall be performed in accordance with these Rules and Regulations and the applicable provisions of the Lease and to current local and state code.</w:t>
      </w:r>
    </w:p>
    <w:p>
      <w:pPr>
        <w:spacing w:after="0" w:line="159" w:lineRule="exact"/>
        <w:rPr>
          <w:sz w:val="20"/>
          <w:szCs w:val="20"/>
          <w:color w:val="auto"/>
        </w:rPr>
      </w:pPr>
    </w:p>
    <w:p>
      <w:pPr>
        <w:ind w:left="2" w:right="320"/>
        <w:spacing w:after="0" w:line="287" w:lineRule="auto"/>
        <w:rPr>
          <w:sz w:val="20"/>
          <w:szCs w:val="20"/>
          <w:color w:val="auto"/>
        </w:rPr>
      </w:pPr>
      <w:r>
        <w:rPr>
          <w:rFonts w:ascii="Arial" w:cs="Arial" w:eastAsia="Arial" w:hAnsi="Arial"/>
          <w:sz w:val="17"/>
          <w:szCs w:val="17"/>
          <w:color w:val="auto"/>
        </w:rPr>
        <w:t>2.2 The provisions of these Rules and Regulations shall be incorporated in all agreements governing the performance of all Tenant Work, including, without limitation, any agreements governing services to be rendered by each Contractor and Consultant.</w:t>
      </w:r>
    </w:p>
    <w:p>
      <w:pPr>
        <w:spacing w:after="0" w:line="159" w:lineRule="exact"/>
        <w:rPr>
          <w:sz w:val="20"/>
          <w:szCs w:val="20"/>
          <w:color w:val="auto"/>
        </w:rPr>
      </w:pPr>
    </w:p>
    <w:p>
      <w:pPr>
        <w:ind w:left="2" w:right="100"/>
        <w:spacing w:after="0" w:line="287" w:lineRule="auto"/>
        <w:rPr>
          <w:sz w:val="20"/>
          <w:szCs w:val="20"/>
          <w:color w:val="auto"/>
        </w:rPr>
      </w:pPr>
      <w:r>
        <w:rPr>
          <w:rFonts w:ascii="Arial" w:cs="Arial" w:eastAsia="Arial" w:hAnsi="Arial"/>
          <w:sz w:val="17"/>
          <w:szCs w:val="17"/>
          <w:color w:val="auto"/>
        </w:rPr>
        <w:t>2.3 Except as otherwise provided in these Rules and Regulations, all inquiries, submissions and approvals in connection with any Tenant Work shall be processed through the Property Manager.</w:t>
      </w:r>
    </w:p>
    <w:p>
      <w:pPr>
        <w:spacing w:after="0" w:line="9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0622"/>
          </w:cols>
          <w:pgMar w:left="618" w:top="270" w:right="659" w:bottom="1440" w:gutter="0" w:footer="0" w:header="0"/>
        </w:sectPr>
      </w:pPr>
    </w:p>
    <w:bookmarkStart w:id="457" w:name="page458"/>
    <w:bookmarkEnd w:id="457"/>
    <w:p>
      <w:pPr>
        <w:ind w:left="182" w:hanging="182"/>
        <w:spacing w:after="0"/>
        <w:tabs>
          <w:tab w:leader="none" w:pos="182" w:val="left"/>
        </w:tabs>
        <w:numPr>
          <w:ilvl w:val="0"/>
          <w:numId w:val="38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INTENTIONALLY OMITTED</w:t>
      </w:r>
    </w:p>
    <w:p>
      <w:pPr>
        <w:spacing w:after="0" w:line="222" w:lineRule="exact"/>
        <w:rPr>
          <w:rFonts w:ascii="Arial" w:cs="Arial" w:eastAsia="Arial" w:hAnsi="Arial"/>
          <w:sz w:val="17"/>
          <w:szCs w:val="17"/>
          <w:color w:val="auto"/>
        </w:rPr>
      </w:pPr>
    </w:p>
    <w:p>
      <w:pPr>
        <w:ind w:left="182" w:hanging="182"/>
        <w:spacing w:after="0"/>
        <w:tabs>
          <w:tab w:leader="none" w:pos="182" w:val="left"/>
        </w:tabs>
        <w:numPr>
          <w:ilvl w:val="0"/>
          <w:numId w:val="388"/>
        </w:numPr>
        <w:rPr>
          <w:rFonts w:ascii="Arial" w:cs="Arial" w:eastAsia="Arial" w:hAnsi="Arial"/>
          <w:sz w:val="17"/>
          <w:szCs w:val="17"/>
          <w:color w:val="auto"/>
        </w:rPr>
      </w:pPr>
      <w:r>
        <w:rPr>
          <w:rFonts w:ascii="Arial" w:cs="Arial" w:eastAsia="Arial" w:hAnsi="Arial"/>
          <w:sz w:val="17"/>
          <w:szCs w:val="17"/>
          <w:b w:val="1"/>
          <w:bCs w:val="1"/>
          <w:u w:val="single" w:color="auto"/>
          <w:color w:val="auto"/>
        </w:rPr>
        <w:t>RECONSTRUCTION NOTIFICATION AND APPROVALS</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7"/>
          <w:szCs w:val="17"/>
          <w:color w:val="auto"/>
        </w:rPr>
        <w:t>4.1 Approval to Commence Work:</w:t>
      </w:r>
    </w:p>
    <w:p>
      <w:pPr>
        <w:spacing w:after="0" w:line="118" w:lineRule="exact"/>
        <w:rPr>
          <w:sz w:val="20"/>
          <w:szCs w:val="20"/>
          <w:color w:val="auto"/>
        </w:rPr>
      </w:pPr>
    </w:p>
    <w:p>
      <w:pPr>
        <w:ind w:left="422" w:right="600" w:firstLine="4"/>
        <w:spacing w:after="0" w:line="287" w:lineRule="auto"/>
        <w:tabs>
          <w:tab w:leader="none" w:pos="649"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Tenant shall submit to Property Manager, for the approval of the Landlord, the names of all prospective Contractors and Certificates of Insurance, prior to issuing any bid packages to such Contractors.</w:t>
      </w:r>
    </w:p>
    <w:p>
      <w:pPr>
        <w:spacing w:after="0" w:line="54" w:lineRule="exact"/>
        <w:rPr>
          <w:rFonts w:ascii="Arial" w:cs="Arial" w:eastAsia="Arial" w:hAnsi="Arial"/>
          <w:sz w:val="17"/>
          <w:szCs w:val="17"/>
          <w:color w:val="auto"/>
        </w:rPr>
      </w:pPr>
    </w:p>
    <w:p>
      <w:pPr>
        <w:ind w:left="422" w:right="60" w:firstLine="4"/>
        <w:spacing w:after="0" w:line="320" w:lineRule="auto"/>
        <w:tabs>
          <w:tab w:leader="none" w:pos="63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No Tenant Work shall be undertaken by any Contractor or Tradeperson unless and until all the matters set forth in Section 4.2 below have been received for the Tenant Work in question and unless the Property Manager has approved the matters set forth in Section 4.2 below.</w:t>
      </w:r>
    </w:p>
    <w:p>
      <w:pPr>
        <w:spacing w:after="0" w:line="136" w:lineRule="exact"/>
        <w:rPr>
          <w:sz w:val="20"/>
          <w:szCs w:val="20"/>
          <w:color w:val="auto"/>
        </w:rPr>
      </w:pPr>
    </w:p>
    <w:p>
      <w:pPr>
        <w:ind w:left="2" w:right="40"/>
        <w:spacing w:after="0" w:line="272" w:lineRule="auto"/>
        <w:rPr>
          <w:sz w:val="20"/>
          <w:szCs w:val="20"/>
          <w:color w:val="auto"/>
        </w:rPr>
      </w:pPr>
      <w:r>
        <w:rPr>
          <w:rFonts w:ascii="Arial" w:cs="Arial" w:eastAsia="Arial" w:hAnsi="Arial"/>
          <w:sz w:val="17"/>
          <w:szCs w:val="17"/>
          <w:color w:val="auto"/>
        </w:rPr>
        <w:t>4.2 No Tenant Work shall be performed unless, at least two (2) weeks before any Tenant Work is to begin, all of the following have been provided to the Property Manager and approved. In the event that Tenant proposes to change any of the following, the Property Manager shall be immediately notified of such change and such change shall be subject to the approval of the Property Manager:</w:t>
      </w:r>
    </w:p>
    <w:p>
      <w:pPr>
        <w:spacing w:after="0" w:line="66" w:lineRule="exact"/>
        <w:rPr>
          <w:sz w:val="20"/>
          <w:szCs w:val="20"/>
          <w:color w:val="auto"/>
        </w:rPr>
      </w:pPr>
    </w:p>
    <w:p>
      <w:pPr>
        <w:ind w:left="422" w:firstLine="4"/>
        <w:spacing w:after="0" w:line="287" w:lineRule="auto"/>
        <w:tabs>
          <w:tab w:leader="none" w:pos="64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Schedule for the work, indication start and completion dates, any phasing and special working hours, and also a list of anticipated shutdowns of building systems.</w:t>
      </w:r>
    </w:p>
    <w:p>
      <w:pPr>
        <w:spacing w:after="0" w:line="54" w:lineRule="exact"/>
        <w:rPr>
          <w:rFonts w:ascii="Arial" w:cs="Arial" w:eastAsia="Arial" w:hAnsi="Arial"/>
          <w:sz w:val="17"/>
          <w:szCs w:val="17"/>
          <w:color w:val="auto"/>
        </w:rPr>
      </w:pPr>
    </w:p>
    <w:p>
      <w:pPr>
        <w:ind w:left="422" w:right="600" w:firstLine="4"/>
        <w:spacing w:after="0" w:line="287" w:lineRule="auto"/>
        <w:tabs>
          <w:tab w:leader="none" w:pos="63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List of all Contractors and Subcontractors, including addresses, telephone numbers, emergency (after hours) telephone numbers, trades employed, and the union affiliation, if any, of each Contractor and Subcontractor.</w:t>
      </w:r>
    </w:p>
    <w:p>
      <w:pPr>
        <w:spacing w:after="0" w:line="54" w:lineRule="exact"/>
        <w:rPr>
          <w:rFonts w:ascii="Arial" w:cs="Arial" w:eastAsia="Arial" w:hAnsi="Arial"/>
          <w:sz w:val="17"/>
          <w:szCs w:val="17"/>
          <w:color w:val="auto"/>
        </w:rPr>
      </w:pPr>
    </w:p>
    <w:p>
      <w:pPr>
        <w:ind w:left="642" w:hanging="216"/>
        <w:spacing w:after="0"/>
        <w:tabs>
          <w:tab w:leader="none" w:pos="64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Names and telephone numbers of the supervisors of the work.</w:t>
      </w:r>
    </w:p>
    <w:p>
      <w:pPr>
        <w:spacing w:after="0" w:line="117" w:lineRule="exact"/>
        <w:rPr>
          <w:rFonts w:ascii="Arial" w:cs="Arial" w:eastAsia="Arial" w:hAnsi="Arial"/>
          <w:sz w:val="17"/>
          <w:szCs w:val="17"/>
          <w:color w:val="auto"/>
        </w:rPr>
      </w:pPr>
    </w:p>
    <w:p>
      <w:pPr>
        <w:ind w:left="662" w:hanging="236"/>
        <w:spacing w:after="0"/>
        <w:tabs>
          <w:tab w:leader="none" w:pos="66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Copies of all necessary governmental permits, licenses and approvals.</w:t>
      </w:r>
    </w:p>
    <w:p>
      <w:pPr>
        <w:spacing w:after="0" w:line="117" w:lineRule="exact"/>
        <w:rPr>
          <w:rFonts w:ascii="Arial" w:cs="Arial" w:eastAsia="Arial" w:hAnsi="Arial"/>
          <w:sz w:val="17"/>
          <w:szCs w:val="17"/>
          <w:color w:val="auto"/>
        </w:rPr>
      </w:pPr>
    </w:p>
    <w:p>
      <w:pPr>
        <w:ind w:left="422" w:right="400" w:firstLine="4"/>
        <w:spacing w:after="0" w:line="287" w:lineRule="auto"/>
        <w:tabs>
          <w:tab w:leader="none" w:pos="63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Proof of current insurance, to the limits set out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and Regulations, naming Landlord (128 Spring Street Lexington, LLC) and Landlord’s designees as additional insured parties.</w:t>
      </w:r>
    </w:p>
    <w:p>
      <w:pPr>
        <w:spacing w:after="0" w:line="54" w:lineRule="exact"/>
        <w:rPr>
          <w:rFonts w:ascii="Arial" w:cs="Arial" w:eastAsia="Arial" w:hAnsi="Arial"/>
          <w:sz w:val="17"/>
          <w:szCs w:val="17"/>
          <w:color w:val="auto"/>
        </w:rPr>
      </w:pPr>
    </w:p>
    <w:p>
      <w:pPr>
        <w:ind w:left="622" w:hanging="196"/>
        <w:spacing w:after="0"/>
        <w:tabs>
          <w:tab w:leader="none" w:pos="62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Notice of the involvement of any Contractor in any ongoing threatened labor dispute.</w:t>
      </w:r>
    </w:p>
    <w:p>
      <w:pPr>
        <w:spacing w:after="0" w:line="117" w:lineRule="exact"/>
        <w:rPr>
          <w:rFonts w:ascii="Arial" w:cs="Arial" w:eastAsia="Arial" w:hAnsi="Arial"/>
          <w:sz w:val="17"/>
          <w:szCs w:val="17"/>
          <w:color w:val="auto"/>
        </w:rPr>
      </w:pPr>
    </w:p>
    <w:p>
      <w:pPr>
        <w:ind w:left="422" w:firstLine="4"/>
        <w:spacing w:after="0" w:line="287" w:lineRule="auto"/>
        <w:tabs>
          <w:tab w:leader="none" w:pos="64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Payment, Performance and Lien Bonds from sureties acceptable to Landlord, in form acceptable to Landlord, naming Landlord as an additional obligee.</w:t>
      </w:r>
    </w:p>
    <w:p>
      <w:pPr>
        <w:spacing w:after="0" w:line="54" w:lineRule="exact"/>
        <w:rPr>
          <w:rFonts w:ascii="Arial" w:cs="Arial" w:eastAsia="Arial" w:hAnsi="Arial"/>
          <w:sz w:val="17"/>
          <w:szCs w:val="17"/>
          <w:color w:val="auto"/>
        </w:rPr>
      </w:pPr>
    </w:p>
    <w:p>
      <w:pPr>
        <w:ind w:left="422" w:right="140" w:firstLine="4"/>
        <w:spacing w:after="0" w:line="287" w:lineRule="auto"/>
        <w:tabs>
          <w:tab w:leader="none" w:pos="64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Evidence that Tenant has made provision for either written waivers of lien from all Contractors and suppliers of material, or other appropriate protective measures approved by Landlord.</w:t>
      </w:r>
    </w:p>
    <w:p>
      <w:pPr>
        <w:spacing w:after="0" w:line="54" w:lineRule="exact"/>
        <w:rPr>
          <w:rFonts w:ascii="Arial" w:cs="Arial" w:eastAsia="Arial" w:hAnsi="Arial"/>
          <w:sz w:val="17"/>
          <w:szCs w:val="17"/>
          <w:color w:val="auto"/>
        </w:rPr>
      </w:pPr>
    </w:p>
    <w:p>
      <w:pPr>
        <w:ind w:left="582" w:hanging="156"/>
        <w:spacing w:after="0"/>
        <w:tabs>
          <w:tab w:leader="none" w:pos="58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A pre-existing condition survey as specified in Section 7.2(C).</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0642"/>
          </w:cols>
          <w:pgMar w:left="618" w:top="264" w:right="639" w:bottom="1440" w:gutter="0" w:footer="0" w:header="0"/>
        </w:sectPr>
      </w:pPr>
    </w:p>
    <w:bookmarkStart w:id="458" w:name="page459"/>
    <w:bookmarkEnd w:id="458"/>
    <w:p>
      <w:pPr>
        <w:ind w:left="2" w:right="360"/>
        <w:spacing w:after="0" w:line="32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4.3 Reporting Incidents: All accidents, disturbances, labor disputes or threats thereof, and other noteworthy events pertaining to the Building or the Tenant’s property shall be reported immediately to the Property Manager. A written report must follow within twenty-four (24) hours.</w:t>
      </w:r>
    </w:p>
    <w:p>
      <w:pPr>
        <w:spacing w:after="0" w:line="234" w:lineRule="exact"/>
        <w:rPr>
          <w:sz w:val="20"/>
          <w:szCs w:val="20"/>
          <w:color w:val="auto"/>
        </w:rPr>
      </w:pPr>
    </w:p>
    <w:p>
      <w:pPr>
        <w:ind w:left="182" w:hanging="182"/>
        <w:spacing w:after="0"/>
        <w:tabs>
          <w:tab w:leader="none" w:pos="182" w:val="left"/>
        </w:tabs>
        <w:numPr>
          <w:ilvl w:val="0"/>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SCHEDULE</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7"/>
          <w:szCs w:val="17"/>
          <w:color w:val="auto"/>
        </w:rPr>
        <w:t>5.1 Coordination:</w:t>
      </w:r>
    </w:p>
    <w:p>
      <w:pPr>
        <w:spacing w:after="0" w:line="118" w:lineRule="exact"/>
        <w:rPr>
          <w:sz w:val="20"/>
          <w:szCs w:val="20"/>
          <w:color w:val="auto"/>
        </w:rPr>
      </w:pPr>
    </w:p>
    <w:p>
      <w:pPr>
        <w:ind w:left="422" w:right="80" w:firstLine="4"/>
        <w:spacing w:after="0" w:line="320" w:lineRule="auto"/>
        <w:tabs>
          <w:tab w:leader="none" w:pos="64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All Tenant Work shall be carried out expeditiously and with minimum disturbance and disruption to the operation of the Building and without causing discomfort, inconvenience, or annoyance to any of the other tenants or occupants of the Building or the public at large.</w:t>
      </w:r>
    </w:p>
    <w:p>
      <w:pPr>
        <w:spacing w:after="0" w:line="31" w:lineRule="exact"/>
        <w:rPr>
          <w:rFonts w:ascii="Arial" w:cs="Arial" w:eastAsia="Arial" w:hAnsi="Arial"/>
          <w:sz w:val="16"/>
          <w:szCs w:val="16"/>
          <w:color w:val="auto"/>
        </w:rPr>
      </w:pPr>
    </w:p>
    <w:p>
      <w:pPr>
        <w:jc w:val="both"/>
        <w:ind w:left="422" w:right="320" w:firstLine="4"/>
        <w:spacing w:after="0" w:line="296" w:lineRule="auto"/>
        <w:tabs>
          <w:tab w:leader="none" w:pos="63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All schedules for the performance of construction, including materials deliveries, must be coordinated through the Property Manager. The Property Manager shall have the right, without incurring any liability to any Tenant, to stop activities and/or to require rescheduling of Tenant Work based upon adverse impact on the tenants or occupants of the Building or on the maintenance or operation of the Building.</w:t>
      </w:r>
    </w:p>
    <w:p>
      <w:pPr>
        <w:spacing w:after="0" w:line="50" w:lineRule="exact"/>
        <w:rPr>
          <w:rFonts w:ascii="Arial" w:cs="Arial" w:eastAsia="Arial" w:hAnsi="Arial"/>
          <w:sz w:val="16"/>
          <w:szCs w:val="16"/>
          <w:color w:val="auto"/>
        </w:rPr>
      </w:pPr>
    </w:p>
    <w:p>
      <w:pPr>
        <w:jc w:val="both"/>
        <w:ind w:left="422" w:firstLine="4"/>
        <w:spacing w:after="0" w:line="264" w:lineRule="auto"/>
        <w:tabs>
          <w:tab w:leader="none" w:pos="639" w:val="left"/>
        </w:tabs>
        <w:numPr>
          <w:ilvl w:val="0"/>
          <w:numId w:val="392"/>
        </w:numPr>
        <w:rPr>
          <w:rFonts w:ascii="Arial" w:cs="Arial" w:eastAsia="Arial" w:hAnsi="Arial"/>
          <w:sz w:val="17"/>
          <w:szCs w:val="17"/>
          <w:color w:val="auto"/>
        </w:rPr>
      </w:pPr>
      <w:r>
        <w:rPr>
          <w:rFonts w:ascii="Arial" w:cs="Arial" w:eastAsia="Arial" w:hAnsi="Arial"/>
          <w:sz w:val="17"/>
          <w:szCs w:val="17"/>
          <w:color w:val="auto"/>
        </w:rPr>
        <w:t>If any Tenant Work requires the shutdown of risers and mains for electrical, mechanical, sprinkler, and plumbing work, such work shall be supervised by a representative of Landlord, the cost of which shall be charged directly to the tenant at the prevailing building rate. No Tenant Work will be performed in the Building’s mechanical or electrical equipment rooms without both Landlord’s prior approval and the supervision of a representative of Landlord, the cost of which shall be reimbursed by the Tenant to the Landlord. Tenant shall provide the Property Manager with at least one week to schedule such work.</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7"/>
          <w:szCs w:val="17"/>
          <w:color w:val="auto"/>
        </w:rPr>
        <w:t>5.2 Time Restrictions:</w:t>
      </w:r>
    </w:p>
    <w:p>
      <w:pPr>
        <w:spacing w:after="0" w:line="118" w:lineRule="exact"/>
        <w:rPr>
          <w:sz w:val="20"/>
          <w:szCs w:val="20"/>
          <w:color w:val="auto"/>
        </w:rPr>
      </w:pPr>
    </w:p>
    <w:p>
      <w:pPr>
        <w:jc w:val="both"/>
        <w:ind w:left="422" w:right="300" w:firstLine="4"/>
        <w:spacing w:after="0" w:line="358" w:lineRule="auto"/>
        <w:tabs>
          <w:tab w:leader="none" w:pos="649" w:val="left"/>
        </w:tabs>
        <w:numPr>
          <w:ilvl w:val="0"/>
          <w:numId w:val="393"/>
        </w:numPr>
        <w:rPr>
          <w:rFonts w:ascii="Arial" w:cs="Arial" w:eastAsia="Arial" w:hAnsi="Arial"/>
          <w:sz w:val="15"/>
          <w:szCs w:val="15"/>
          <w:color w:val="auto"/>
        </w:rPr>
      </w:pPr>
      <w:r>
        <w:rPr>
          <w:rFonts w:ascii="Arial" w:cs="Arial" w:eastAsia="Arial" w:hAnsi="Arial"/>
          <w:sz w:val="15"/>
          <w:szCs w:val="15"/>
          <w:color w:val="auto"/>
        </w:rPr>
        <w:t>Subject to Section 5.1 of these Rules and Regulations, general construction work will generally be permitted at all times, unless such work affects other tenants or occupants of the building or poses a safety concern at which time it will need be scheduled during non-business hours.</w:t>
      </w:r>
    </w:p>
    <w:p>
      <w:pPr>
        <w:spacing w:after="0" w:line="7" w:lineRule="exact"/>
        <w:rPr>
          <w:rFonts w:ascii="Arial" w:cs="Arial" w:eastAsia="Arial" w:hAnsi="Arial"/>
          <w:sz w:val="15"/>
          <w:szCs w:val="15"/>
          <w:color w:val="auto"/>
        </w:rPr>
      </w:pPr>
    </w:p>
    <w:p>
      <w:pPr>
        <w:ind w:left="422" w:right="280" w:firstLine="4"/>
        <w:spacing w:after="0" w:line="272" w:lineRule="auto"/>
        <w:tabs>
          <w:tab w:leader="none" w:pos="63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Tenant shall provide the Property Manager with at least forty eight (48) hours’ notice before proceeding with Special Work, as hereinafter defined, and such Special Work will be permitted only at times agreed to by the Property Manager during periods outside of Regular Business Hours. “</w:t>
      </w:r>
      <w:r>
        <w:rPr>
          <w:rFonts w:ascii="Arial" w:cs="Arial" w:eastAsia="Arial" w:hAnsi="Arial"/>
          <w:sz w:val="17"/>
          <w:szCs w:val="17"/>
          <w:u w:val="single" w:color="auto"/>
          <w:color w:val="auto"/>
        </w:rPr>
        <w:t>Special Work</w:t>
      </w:r>
      <w:r>
        <w:rPr>
          <w:rFonts w:ascii="Arial" w:cs="Arial" w:eastAsia="Arial" w:hAnsi="Arial"/>
          <w:sz w:val="17"/>
          <w:szCs w:val="17"/>
          <w:color w:val="auto"/>
        </w:rPr>
        <w:t>” shall be defined as the following operations:</w:t>
      </w:r>
    </w:p>
    <w:p>
      <w:pPr>
        <w:spacing w:after="0" w:line="66" w:lineRule="exact"/>
        <w:rPr>
          <w:sz w:val="20"/>
          <w:szCs w:val="20"/>
          <w:color w:val="auto"/>
        </w:rPr>
      </w:pPr>
    </w:p>
    <w:p>
      <w:pPr>
        <w:ind w:left="602" w:hanging="176"/>
        <w:spacing w:after="0"/>
        <w:tabs>
          <w:tab w:leader="none" w:pos="602"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All utility disruptions, shutoffs and turnovers.</w:t>
      </w:r>
    </w:p>
    <w:p>
      <w:pPr>
        <w:spacing w:after="0" w:line="117" w:lineRule="exact"/>
        <w:rPr>
          <w:rFonts w:ascii="Arial" w:cs="Arial" w:eastAsia="Arial" w:hAnsi="Arial"/>
          <w:sz w:val="17"/>
          <w:szCs w:val="17"/>
          <w:color w:val="auto"/>
        </w:rPr>
      </w:pPr>
    </w:p>
    <w:p>
      <w:pPr>
        <w:ind w:left="5202" w:right="3420" w:hanging="4776"/>
        <w:spacing w:after="0" w:line="464" w:lineRule="auto"/>
        <w:tabs>
          <w:tab w:leader="none" w:pos="60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Activities involving high levels of noise, including demolition, coring, drilling and ramsetting. C-3</w:t>
      </w:r>
    </w:p>
    <w:p>
      <w:pPr>
        <w:sectPr>
          <w:pgSz w:w="11900" w:h="16838" w:orient="portrait"/>
          <w:cols w:equalWidth="0" w:num="1">
            <w:col w:w="10602"/>
          </w:cols>
          <w:pgMar w:left="618" w:top="270" w:right="679" w:bottom="1440" w:gutter="0" w:footer="0" w:header="0"/>
        </w:sectPr>
      </w:pPr>
    </w:p>
    <w:bookmarkStart w:id="459" w:name="page460"/>
    <w:bookmarkEnd w:id="459"/>
    <w:p>
      <w:pPr>
        <w:ind w:left="602" w:hanging="176"/>
        <w:spacing w:after="0"/>
        <w:tabs>
          <w:tab w:leader="none" w:pos="602" w:val="left"/>
        </w:tabs>
        <w:numPr>
          <w:ilvl w:val="0"/>
          <w:numId w:val="3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Activities resulting in excessive dust or odors, including demolition, staining and spray painting.</w:t>
      </w:r>
    </w:p>
    <w:p>
      <w:pPr>
        <w:spacing w:after="0" w:line="117" w:lineRule="exact"/>
        <w:rPr>
          <w:rFonts w:ascii="Arial" w:cs="Arial" w:eastAsia="Arial" w:hAnsi="Arial"/>
          <w:sz w:val="17"/>
          <w:szCs w:val="17"/>
          <w:color w:val="auto"/>
        </w:rPr>
      </w:pPr>
    </w:p>
    <w:p>
      <w:pPr>
        <w:ind w:left="602" w:hanging="176"/>
        <w:spacing w:after="0"/>
        <w:tabs>
          <w:tab w:leader="none" w:pos="602"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All construction work which will require access to multi-tenant areas or other tenant areas.</w:t>
      </w:r>
    </w:p>
    <w:p>
      <w:pPr>
        <w:spacing w:after="0" w:line="118" w:lineRule="exact"/>
        <w:rPr>
          <w:sz w:val="20"/>
          <w:szCs w:val="20"/>
          <w:color w:val="auto"/>
        </w:rPr>
      </w:pPr>
    </w:p>
    <w:p>
      <w:pPr>
        <w:jc w:val="both"/>
        <w:ind w:left="422" w:right="100" w:firstLine="4"/>
        <w:spacing w:after="0" w:line="296" w:lineRule="auto"/>
        <w:tabs>
          <w:tab w:leader="none" w:pos="639" w:val="left"/>
        </w:tabs>
        <w:numPr>
          <w:ilvl w:val="1"/>
          <w:numId w:val="396"/>
        </w:numPr>
        <w:rPr>
          <w:rFonts w:ascii="Arial" w:cs="Arial" w:eastAsia="Arial" w:hAnsi="Arial"/>
          <w:sz w:val="16"/>
          <w:szCs w:val="16"/>
          <w:color w:val="auto"/>
        </w:rPr>
      </w:pPr>
      <w:r>
        <w:rPr>
          <w:rFonts w:ascii="Arial" w:cs="Arial" w:eastAsia="Arial" w:hAnsi="Arial"/>
          <w:sz w:val="16"/>
          <w:szCs w:val="16"/>
          <w:color w:val="auto"/>
        </w:rPr>
        <w:t>The delivery of construction materials to the Building, their distribution within the Building, and the removal of waste materials shall also be confined to periods outside Regular Business Hours, unless otherwise specifically permitted in writing by the Property Manager. Costs for use of the freight elevator after Regular Business Hours shall be billed directly to such tenant at the then prevailing rate.</w:t>
      </w:r>
    </w:p>
    <w:p>
      <w:pPr>
        <w:spacing w:after="0" w:line="50" w:lineRule="exact"/>
        <w:rPr>
          <w:rFonts w:ascii="Arial" w:cs="Arial" w:eastAsia="Arial" w:hAnsi="Arial"/>
          <w:sz w:val="16"/>
          <w:szCs w:val="16"/>
          <w:color w:val="auto"/>
        </w:rPr>
      </w:pPr>
    </w:p>
    <w:p>
      <w:pPr>
        <w:ind w:left="422" w:right="140" w:firstLine="4"/>
        <w:spacing w:after="0" w:line="287" w:lineRule="auto"/>
        <w:tabs>
          <w:tab w:leader="none" w:pos="649" w:val="left"/>
        </w:tabs>
        <w:numPr>
          <w:ilvl w:val="1"/>
          <w:numId w:val="396"/>
        </w:numPr>
        <w:rPr>
          <w:rFonts w:ascii="Arial" w:cs="Arial" w:eastAsia="Arial" w:hAnsi="Arial"/>
          <w:sz w:val="17"/>
          <w:szCs w:val="17"/>
          <w:color w:val="auto"/>
        </w:rPr>
      </w:pPr>
      <w:r>
        <w:rPr>
          <w:rFonts w:ascii="Arial" w:cs="Arial" w:eastAsia="Arial" w:hAnsi="Arial"/>
          <w:sz w:val="17"/>
          <w:szCs w:val="17"/>
          <w:color w:val="auto"/>
        </w:rPr>
        <w:t>If coordination, labor disputes or other circumstances require, the Property Manager may change the hours during which regular construction work can be scheduled and/or restrict or refuse entry to and exit from the Building by any Contractor.</w:t>
      </w:r>
    </w:p>
    <w:p>
      <w:pPr>
        <w:spacing w:after="0" w:line="257" w:lineRule="exact"/>
        <w:rPr>
          <w:rFonts w:ascii="Arial" w:cs="Arial" w:eastAsia="Arial" w:hAnsi="Arial"/>
          <w:sz w:val="17"/>
          <w:szCs w:val="17"/>
          <w:color w:val="auto"/>
        </w:rPr>
      </w:pPr>
    </w:p>
    <w:p>
      <w:pPr>
        <w:ind w:left="182" w:hanging="182"/>
        <w:spacing w:after="0"/>
        <w:tabs>
          <w:tab w:leader="none" w:pos="182" w:val="left"/>
        </w:tabs>
        <w:numPr>
          <w:ilvl w:val="0"/>
          <w:numId w:val="397"/>
        </w:numPr>
        <w:rPr>
          <w:rFonts w:ascii="Arial" w:cs="Arial" w:eastAsia="Arial" w:hAnsi="Arial"/>
          <w:sz w:val="17"/>
          <w:szCs w:val="17"/>
          <w:color w:val="auto"/>
        </w:rPr>
      </w:pPr>
      <w:r>
        <w:rPr>
          <w:rFonts w:ascii="Arial" w:cs="Arial" w:eastAsia="Arial" w:hAnsi="Arial"/>
          <w:sz w:val="17"/>
          <w:szCs w:val="17"/>
          <w:b w:val="1"/>
          <w:bCs w:val="1"/>
          <w:u w:val="single" w:color="auto"/>
          <w:color w:val="auto"/>
        </w:rPr>
        <w:t>CONTRACTOR PERSONNEL</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7"/>
          <w:szCs w:val="17"/>
          <w:color w:val="auto"/>
        </w:rPr>
        <w:t>6.1 Work in History:</w:t>
      </w:r>
    </w:p>
    <w:p>
      <w:pPr>
        <w:spacing w:after="0" w:line="118" w:lineRule="exact"/>
        <w:rPr>
          <w:sz w:val="20"/>
          <w:szCs w:val="20"/>
          <w:color w:val="auto"/>
        </w:rPr>
      </w:pPr>
    </w:p>
    <w:p>
      <w:pPr>
        <w:ind w:left="422" w:right="100" w:firstLine="4"/>
        <w:spacing w:after="0" w:line="287" w:lineRule="auto"/>
        <w:tabs>
          <w:tab w:leader="none" w:pos="639"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All Contractors shall be responsible for employing skilled and competent personnel and suppliers who shall abide by the rules and regulations herein set forth as amended from time to time by Landlord.</w:t>
      </w:r>
    </w:p>
    <w:p>
      <w:pPr>
        <w:spacing w:after="0" w:line="54" w:lineRule="exact"/>
        <w:rPr>
          <w:rFonts w:ascii="Arial" w:cs="Arial" w:eastAsia="Arial" w:hAnsi="Arial"/>
          <w:sz w:val="17"/>
          <w:szCs w:val="17"/>
          <w:color w:val="auto"/>
        </w:rPr>
      </w:pPr>
    </w:p>
    <w:p>
      <w:pPr>
        <w:ind w:left="422" w:right="20" w:firstLine="4"/>
        <w:spacing w:after="0" w:line="296" w:lineRule="auto"/>
        <w:tabs>
          <w:tab w:leader="none" w:pos="639" w:val="left"/>
        </w:tabs>
        <w:numPr>
          <w:ilvl w:val="0"/>
          <w:numId w:val="398"/>
        </w:numPr>
        <w:rPr>
          <w:rFonts w:ascii="Arial" w:cs="Arial" w:eastAsia="Arial" w:hAnsi="Arial"/>
          <w:sz w:val="16"/>
          <w:szCs w:val="16"/>
          <w:color w:val="auto"/>
        </w:rPr>
      </w:pPr>
      <w:r>
        <w:rPr>
          <w:rFonts w:ascii="Arial" w:cs="Arial" w:eastAsia="Arial" w:hAnsi="Arial"/>
          <w:sz w:val="16"/>
          <w:szCs w:val="16"/>
          <w:color w:val="auto"/>
        </w:rPr>
        <w:t>No Tenant shall at any time, either directly or indirectly, employ, permit the employment, or continue the employment of any contractor if such employment or continued employment will or does interfere or cause any labor disharmony, coordination difficulty, delay or conflict with any other contractors engaged in construction work in or about the Building or the complex in which the Building is located.</w:t>
      </w:r>
    </w:p>
    <w:p>
      <w:pPr>
        <w:spacing w:after="0" w:line="50" w:lineRule="exact"/>
        <w:rPr>
          <w:rFonts w:ascii="Arial" w:cs="Arial" w:eastAsia="Arial" w:hAnsi="Arial"/>
          <w:sz w:val="16"/>
          <w:szCs w:val="16"/>
          <w:color w:val="auto"/>
        </w:rPr>
      </w:pPr>
    </w:p>
    <w:p>
      <w:pPr>
        <w:ind w:left="422" w:right="140" w:firstLine="4"/>
        <w:spacing w:after="0" w:line="288" w:lineRule="auto"/>
        <w:tabs>
          <w:tab w:leader="none" w:pos="639" w:val="left"/>
        </w:tabs>
        <w:numPr>
          <w:ilvl w:val="0"/>
          <w:numId w:val="398"/>
        </w:numPr>
        <w:rPr>
          <w:rFonts w:ascii="Arial" w:cs="Arial" w:eastAsia="Arial" w:hAnsi="Arial"/>
          <w:sz w:val="16"/>
          <w:szCs w:val="16"/>
          <w:color w:val="auto"/>
        </w:rPr>
      </w:pPr>
      <w:r>
        <w:rPr>
          <w:rFonts w:ascii="Arial" w:cs="Arial" w:eastAsia="Arial" w:hAnsi="Arial"/>
          <w:sz w:val="16"/>
          <w:szCs w:val="16"/>
          <w:color w:val="auto"/>
        </w:rPr>
        <w:t>Should a work stoppage or other action occur anywhere in or about the Building as a result of the presence, anywhere in the Building, or a Contractor engaged directly or indirectly by a Tenant, or should such Contractor be deemed by Landlord to have violated any applicable rules or regulations, then upon twelve hours written notice, Landlord may, without incurring any liability to Tenant or said contractor, require any such Contractor to vacate the premises demised by such Tenant and the Building, and to cease all further construction work therein.</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7"/>
          <w:szCs w:val="17"/>
          <w:color w:val="auto"/>
        </w:rPr>
        <w:t>6.2 Conduct:</w:t>
      </w:r>
    </w:p>
    <w:p>
      <w:pPr>
        <w:spacing w:after="0" w:line="118" w:lineRule="exact"/>
        <w:rPr>
          <w:sz w:val="20"/>
          <w:szCs w:val="20"/>
          <w:color w:val="auto"/>
        </w:rPr>
      </w:pPr>
    </w:p>
    <w:p>
      <w:pPr>
        <w:ind w:left="422" w:right="400" w:firstLine="4"/>
        <w:spacing w:after="0" w:line="272" w:lineRule="auto"/>
        <w:tabs>
          <w:tab w:leader="none" w:pos="64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While in or about the Building, all Tradepersons shall perform in a dignified, quiet, courteous, and professional manner at all times. Tradepersons shall wear clothing suitable for their work and shall remain full attired at all times. All Contractors will be responsible for their Tradepersons’ proper behavior and conduct.</w:t>
      </w:r>
    </w:p>
    <w:p>
      <w:pPr>
        <w:spacing w:after="0" w:line="66" w:lineRule="exact"/>
        <w:rPr>
          <w:rFonts w:ascii="Arial" w:cs="Arial" w:eastAsia="Arial" w:hAnsi="Arial"/>
          <w:sz w:val="17"/>
          <w:szCs w:val="17"/>
          <w:color w:val="auto"/>
        </w:rPr>
      </w:pPr>
    </w:p>
    <w:p>
      <w:pPr>
        <w:ind w:left="422" w:firstLine="4"/>
        <w:spacing w:after="0" w:line="272" w:lineRule="auto"/>
        <w:tabs>
          <w:tab w:leader="none" w:pos="63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Property Manager reserves the right to remove any one who, or any contractor which; is causing a disturbance to any tenant or occupant of the Building or any other person using or servicing the Building; is interfering with the work of others; or is in any other way displaying conduct or performance not compatible with the Landlord’s standards.</w:t>
      </w:r>
    </w:p>
    <w:p>
      <w:pPr>
        <w:spacing w:after="0" w:line="106" w:lineRule="exact"/>
        <w:rPr>
          <w:sz w:val="20"/>
          <w:szCs w:val="20"/>
          <w:color w:val="auto"/>
        </w:rPr>
      </w:pPr>
    </w:p>
    <w:p>
      <w:pPr>
        <w:jc w:val="center"/>
        <w:ind w:right="-41"/>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0622"/>
          </w:cols>
          <w:pgMar w:left="618" w:top="270" w:right="659" w:bottom="1440" w:gutter="0" w:footer="0" w:header="0"/>
        </w:sectPr>
      </w:pPr>
    </w:p>
    <w:bookmarkStart w:id="460" w:name="page461"/>
    <w:bookmarkEnd w:id="4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6.3 Access:</w:t>
      </w:r>
    </w:p>
    <w:p>
      <w:pPr>
        <w:spacing w:after="0" w:line="118" w:lineRule="exact"/>
        <w:rPr>
          <w:sz w:val="20"/>
          <w:szCs w:val="20"/>
          <w:color w:val="auto"/>
        </w:rPr>
      </w:pPr>
    </w:p>
    <w:p>
      <w:pPr>
        <w:jc w:val="both"/>
        <w:ind w:left="420" w:right="220" w:firstLine="4"/>
        <w:spacing w:after="0" w:line="266" w:lineRule="auto"/>
        <w:tabs>
          <w:tab w:leader="none" w:pos="64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All Contractors and Tradepersons shall contact the Property Manager prior to commencing work, to confirm work location and Building access, including elevator usage and times of operation. Access to the Building before and after Regular Business Hours or any other hours designated from time to time by the Property Manager and all day on weekends and holidays will only be provided when forty-eight (48) hours advanced notice is given to the Property Manager.</w:t>
      </w:r>
    </w:p>
    <w:p>
      <w:pPr>
        <w:spacing w:after="0" w:line="73" w:lineRule="exact"/>
        <w:rPr>
          <w:rFonts w:ascii="Arial" w:cs="Arial" w:eastAsia="Arial" w:hAnsi="Arial"/>
          <w:sz w:val="17"/>
          <w:szCs w:val="17"/>
          <w:color w:val="auto"/>
        </w:rPr>
      </w:pPr>
    </w:p>
    <w:p>
      <w:pPr>
        <w:ind w:left="420" w:right="320" w:firstLine="4"/>
        <w:spacing w:after="0" w:line="272" w:lineRule="auto"/>
        <w:tabs>
          <w:tab w:leader="none" w:pos="63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No Contractor or Tradepersons will be permitted to enter any private or public space in the Building, other than the common areas of the Building necessary to give direct access to the premises of Tenant for which he has been employed, without the prior approval of the Property Manager.</w:t>
      </w:r>
    </w:p>
    <w:p>
      <w:pPr>
        <w:spacing w:after="0" w:line="66" w:lineRule="exact"/>
        <w:rPr>
          <w:rFonts w:ascii="Arial" w:cs="Arial" w:eastAsia="Arial" w:hAnsi="Arial"/>
          <w:sz w:val="17"/>
          <w:szCs w:val="17"/>
          <w:color w:val="auto"/>
        </w:rPr>
      </w:pPr>
    </w:p>
    <w:p>
      <w:pPr>
        <w:ind w:left="420" w:right="100" w:firstLine="4"/>
        <w:spacing w:after="0" w:line="284" w:lineRule="auto"/>
        <w:tabs>
          <w:tab w:leader="none" w:pos="637"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All Contractors and Tradepersons must obtain permission from the Property Manager prior to undertaking work in any space outside of the Tenant’s premises. This requirement specifically includes ceiling spaces below the premises where any work required must be undertaken at the convenience of the affected Tenant and outside of Regular Business Hours. Contractors undertaking such work shall ensure that all work, including work required to reinstate removed items and cleaning, be completed prior to opening of the next business day. Any cleaning or repairs costs incurred by Landlord, as a result of work outside the construction area shall be charged to the Tenant.</w:t>
      </w:r>
    </w:p>
    <w:p>
      <w:pPr>
        <w:spacing w:after="0" w:line="60" w:lineRule="exact"/>
        <w:rPr>
          <w:rFonts w:ascii="Arial" w:cs="Arial" w:eastAsia="Arial" w:hAnsi="Arial"/>
          <w:sz w:val="16"/>
          <w:szCs w:val="16"/>
          <w:color w:val="auto"/>
        </w:rPr>
      </w:pPr>
    </w:p>
    <w:p>
      <w:pPr>
        <w:ind w:left="420" w:right="180" w:firstLine="4"/>
        <w:spacing w:after="0" w:line="272" w:lineRule="auto"/>
        <w:tabs>
          <w:tab w:leader="none" w:pos="64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Contractors shall ensure that all furniture, equipment and accessories in areas potentially affected by any Tenant Work shall be adequately protected by means of drop cloths or other appropriate measures. In addition, all Contractors shall be responsible for maintaining security to the extent required by the Property Manager.</w:t>
      </w:r>
    </w:p>
    <w:p>
      <w:pPr>
        <w:spacing w:after="0" w:line="66" w:lineRule="exact"/>
        <w:rPr>
          <w:rFonts w:ascii="Arial" w:cs="Arial" w:eastAsia="Arial" w:hAnsi="Arial"/>
          <w:sz w:val="17"/>
          <w:szCs w:val="17"/>
          <w:color w:val="auto"/>
        </w:rPr>
      </w:pPr>
    </w:p>
    <w:p>
      <w:pPr>
        <w:ind w:left="420" w:right="160" w:firstLine="4"/>
        <w:spacing w:after="0" w:line="287" w:lineRule="auto"/>
        <w:tabs>
          <w:tab w:leader="none" w:pos="628"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Temporary access doors for tenant construction areas connecting with a public corridor will be building standards, i.e., door, frame, hardware and lockset. A copy of the key will be furnished to the Property Manager.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6.4 Safety:</w:t>
      </w:r>
    </w:p>
    <w:p>
      <w:pPr>
        <w:spacing w:after="0" w:line="118" w:lineRule="exact"/>
        <w:rPr>
          <w:sz w:val="20"/>
          <w:szCs w:val="20"/>
          <w:color w:val="auto"/>
        </w:rPr>
      </w:pPr>
    </w:p>
    <w:p>
      <w:pPr>
        <w:ind w:left="420" w:firstLine="4"/>
        <w:spacing w:after="0" w:line="272" w:lineRule="auto"/>
        <w:tabs>
          <w:tab w:leader="none" w:pos="64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All Contractors shall police ongoing construction operations and activities at all times, keeping the premises orderly, maintaining cleanliness in and about the premises, and ensuring safety and protection of all areas, including truck docks, elevators, lobbies, and all other public areas which are used for access to the premises.</w:t>
      </w:r>
    </w:p>
    <w:p>
      <w:pPr>
        <w:spacing w:after="0" w:line="66" w:lineRule="exact"/>
        <w:rPr>
          <w:rFonts w:ascii="Arial" w:cs="Arial" w:eastAsia="Arial" w:hAnsi="Arial"/>
          <w:sz w:val="17"/>
          <w:szCs w:val="17"/>
          <w:color w:val="auto"/>
        </w:rPr>
      </w:pPr>
    </w:p>
    <w:p>
      <w:pPr>
        <w:ind w:left="420" w:right="520" w:firstLine="4"/>
        <w:spacing w:after="0" w:line="287" w:lineRule="auto"/>
        <w:tabs>
          <w:tab w:leader="none" w:pos="63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All Contractors shall appoint a supervisor who shall be responsible for all safety measures, as well as for compliance with all applicable government laws, ordinances, rules and regulations such as, for example, “OSHA” and “Right-to-Know” legislation.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0620"/>
          </w:cols>
          <w:pgMar w:left="620" w:top="270" w:right="659" w:bottom="1440" w:gutter="0" w:footer="0" w:header="0"/>
        </w:sectPr>
      </w:pPr>
    </w:p>
    <w:bookmarkStart w:id="461" w:name="page462"/>
    <w:bookmarkEnd w:id="461"/>
    <w:p>
      <w:pPr>
        <w:ind w:left="422" w:right="160" w:firstLine="4"/>
        <w:spacing w:after="0" w:line="287" w:lineRule="auto"/>
        <w:tabs>
          <w:tab w:leader="none" w:pos="639" w:val="left"/>
        </w:tabs>
        <w:numPr>
          <w:ilvl w:val="0"/>
          <w:numId w:val="4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Any damage caused by Tradepersons or other Contractor employees shall be the responsibility of the Tenant employing the Contractor. Costs for repairing such damage shall be charged directly to such Tenant.</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7"/>
          <w:szCs w:val="17"/>
          <w:color w:val="auto"/>
        </w:rPr>
        <w:t>6.5 Parking:</w:t>
      </w:r>
    </w:p>
    <w:p>
      <w:pPr>
        <w:spacing w:after="0" w:line="118" w:lineRule="exact"/>
        <w:rPr>
          <w:sz w:val="20"/>
          <w:szCs w:val="20"/>
          <w:color w:val="auto"/>
        </w:rPr>
      </w:pPr>
    </w:p>
    <w:p>
      <w:pPr>
        <w:jc w:val="both"/>
        <w:ind w:left="422" w:firstLine="4"/>
        <w:spacing w:after="0" w:line="272" w:lineRule="auto"/>
        <w:tabs>
          <w:tab w:leader="none" w:pos="649" w:val="left"/>
        </w:tabs>
        <w:numPr>
          <w:ilvl w:val="1"/>
          <w:numId w:val="403"/>
        </w:numPr>
        <w:rPr>
          <w:rFonts w:ascii="Arial" w:cs="Arial" w:eastAsia="Arial" w:hAnsi="Arial"/>
          <w:sz w:val="17"/>
          <w:szCs w:val="17"/>
          <w:color w:val="auto"/>
        </w:rPr>
      </w:pPr>
      <w:r>
        <w:rPr>
          <w:rFonts w:ascii="Arial" w:cs="Arial" w:eastAsia="Arial" w:hAnsi="Arial"/>
          <w:sz w:val="17"/>
          <w:szCs w:val="17"/>
          <w:color w:val="auto"/>
        </w:rPr>
        <w:t>No parking of contractor or sub-contractor vehicles will be provided in the truck dock, handicapped or fire access lanes, or any private ways in or surrounding the property. Vehicles so parked will be towed at the expense of the Tenant who has engaged the Contractor for whom the owner of such vehicle is employed.</w:t>
      </w:r>
    </w:p>
    <w:p>
      <w:pPr>
        <w:spacing w:after="0" w:line="66" w:lineRule="exact"/>
        <w:rPr>
          <w:rFonts w:ascii="Arial" w:cs="Arial" w:eastAsia="Arial" w:hAnsi="Arial"/>
          <w:sz w:val="17"/>
          <w:szCs w:val="17"/>
          <w:color w:val="auto"/>
        </w:rPr>
      </w:pPr>
    </w:p>
    <w:p>
      <w:pPr>
        <w:ind w:left="642" w:hanging="216"/>
        <w:spacing w:after="0"/>
        <w:tabs>
          <w:tab w:leader="none" w:pos="642" w:val="left"/>
        </w:tabs>
        <w:numPr>
          <w:ilvl w:val="1"/>
          <w:numId w:val="403"/>
        </w:numPr>
        <w:rPr>
          <w:rFonts w:ascii="Arial" w:cs="Arial" w:eastAsia="Arial" w:hAnsi="Arial"/>
          <w:sz w:val="17"/>
          <w:szCs w:val="17"/>
          <w:color w:val="auto"/>
        </w:rPr>
      </w:pPr>
      <w:r>
        <w:rPr>
          <w:rFonts w:ascii="Arial" w:cs="Arial" w:eastAsia="Arial" w:hAnsi="Arial"/>
          <w:sz w:val="17"/>
          <w:szCs w:val="17"/>
          <w:color w:val="auto"/>
        </w:rPr>
        <w:t>Garage parking is available on-site.</w:t>
      </w:r>
    </w:p>
    <w:p>
      <w:pPr>
        <w:spacing w:after="0" w:line="320" w:lineRule="exact"/>
        <w:rPr>
          <w:rFonts w:ascii="Arial" w:cs="Arial" w:eastAsia="Arial" w:hAnsi="Arial"/>
          <w:sz w:val="17"/>
          <w:szCs w:val="17"/>
          <w:color w:val="auto"/>
        </w:rPr>
      </w:pPr>
    </w:p>
    <w:p>
      <w:pPr>
        <w:ind w:left="182" w:hanging="182"/>
        <w:spacing w:after="0"/>
        <w:tabs>
          <w:tab w:leader="none" w:pos="182" w:val="left"/>
        </w:tabs>
        <w:numPr>
          <w:ilvl w:val="0"/>
          <w:numId w:val="404"/>
        </w:numPr>
        <w:rPr>
          <w:rFonts w:ascii="Arial" w:cs="Arial" w:eastAsia="Arial" w:hAnsi="Arial"/>
          <w:sz w:val="17"/>
          <w:szCs w:val="17"/>
          <w:color w:val="auto"/>
        </w:rPr>
      </w:pPr>
      <w:r>
        <w:rPr>
          <w:rFonts w:ascii="Arial" w:cs="Arial" w:eastAsia="Arial" w:hAnsi="Arial"/>
          <w:sz w:val="17"/>
          <w:szCs w:val="17"/>
          <w:b w:val="1"/>
          <w:bCs w:val="1"/>
          <w:u w:val="single" w:color="auto"/>
          <w:color w:val="auto"/>
        </w:rPr>
        <w:t>BUILDING MATERIALS</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7"/>
          <w:szCs w:val="17"/>
          <w:color w:val="auto"/>
        </w:rPr>
        <w:t>7.1 Delivery:</w:t>
      </w:r>
    </w:p>
    <w:p>
      <w:pPr>
        <w:spacing w:after="0" w:line="118" w:lineRule="exact"/>
        <w:rPr>
          <w:sz w:val="20"/>
          <w:szCs w:val="20"/>
          <w:color w:val="auto"/>
        </w:rPr>
      </w:pPr>
    </w:p>
    <w:p>
      <w:pPr>
        <w:ind w:left="422" w:right="440" w:firstLine="4"/>
        <w:spacing w:after="0" w:line="287" w:lineRule="auto"/>
        <w:tabs>
          <w:tab w:leader="none" w:pos="649"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All deliveries of construction materials shall be made at the predetermined times approved by the Property Manager and shall be effected safely and expeditiously only at the location determined by the Property Manager.</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7"/>
          <w:szCs w:val="17"/>
          <w:color w:val="auto"/>
        </w:rPr>
        <w:t>7.2 Transportation in Building:</w:t>
      </w:r>
    </w:p>
    <w:p>
      <w:pPr>
        <w:spacing w:after="0" w:line="118" w:lineRule="exact"/>
        <w:rPr>
          <w:sz w:val="20"/>
          <w:szCs w:val="20"/>
          <w:color w:val="auto"/>
        </w:rPr>
      </w:pPr>
    </w:p>
    <w:p>
      <w:pPr>
        <w:ind w:left="422" w:firstLine="4"/>
        <w:spacing w:after="0" w:line="287" w:lineRule="auto"/>
        <w:tabs>
          <w:tab w:leader="none" w:pos="64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Distribution of materials from delivery point to the work area in the Building shall be accomplished with the least disruption to the operation of the Building possible. Elevators will be assigned for material delivery and will be controlled by the Building Management.</w:t>
      </w:r>
    </w:p>
    <w:p>
      <w:pPr>
        <w:spacing w:after="0" w:line="54" w:lineRule="exact"/>
        <w:rPr>
          <w:rFonts w:ascii="Arial" w:cs="Arial" w:eastAsia="Arial" w:hAnsi="Arial"/>
          <w:sz w:val="17"/>
          <w:szCs w:val="17"/>
          <w:color w:val="auto"/>
        </w:rPr>
      </w:pPr>
    </w:p>
    <w:p>
      <w:pPr>
        <w:ind w:left="422" w:right="240" w:firstLine="4"/>
        <w:spacing w:after="0" w:line="272" w:lineRule="auto"/>
        <w:tabs>
          <w:tab w:leader="none" w:pos="63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Contractors shall provide adequate protection to all carpets, wall surfaces, doors and trim in all public areas through which materials are transported. Contractors shall continuously clean all such areas. Protective measures shall include runners over carpet, padding in elevators and any other measures determined by the Property Manager.</w:t>
      </w:r>
    </w:p>
    <w:p>
      <w:pPr>
        <w:spacing w:after="0" w:line="66" w:lineRule="exact"/>
        <w:rPr>
          <w:rFonts w:ascii="Arial" w:cs="Arial" w:eastAsia="Arial" w:hAnsi="Arial"/>
          <w:sz w:val="17"/>
          <w:szCs w:val="17"/>
          <w:color w:val="auto"/>
        </w:rPr>
      </w:pPr>
    </w:p>
    <w:p>
      <w:pPr>
        <w:ind w:left="422" w:right="60" w:firstLine="4"/>
        <w:spacing w:after="0" w:line="266" w:lineRule="auto"/>
        <w:tabs>
          <w:tab w:leader="none" w:pos="63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Any damage caused to the Building through the movement of construction materials or otherwise shall be the responsibility of Tenant who has engaged the Contractor involved. Charges for such damage will be submitted by the Landlord directly to the Tenant. Prior to the commencement of tenant work, a pre-existing condition survey shall be submitted to the Property Manager. Such survey shall be used at the completion of the project to determine, if any, the extent of damage to the building systems or finishes.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7"/>
          <w:szCs w:val="17"/>
          <w:color w:val="auto"/>
        </w:rPr>
        <w:t>7.3 Storage and Placement:</w:t>
      </w:r>
    </w:p>
    <w:p>
      <w:pPr>
        <w:spacing w:after="0" w:line="118" w:lineRule="exact"/>
        <w:rPr>
          <w:sz w:val="20"/>
          <w:szCs w:val="20"/>
          <w:color w:val="auto"/>
        </w:rPr>
      </w:pPr>
    </w:p>
    <w:p>
      <w:pPr>
        <w:ind w:left="422" w:right="180" w:firstLine="4"/>
        <w:spacing w:after="0" w:line="287" w:lineRule="auto"/>
        <w:tabs>
          <w:tab w:leader="none" w:pos="639"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All construction materials shall be stored only in the premises where they are to be installed. No storage of materials will be permitted in any public areas, loading docks or corridors leading to the premises.</w:t>
      </w:r>
    </w:p>
    <w:p>
      <w:pPr>
        <w:spacing w:after="0" w:line="94"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C-6</w:t>
      </w:r>
    </w:p>
    <w:p>
      <w:pPr>
        <w:sectPr>
          <w:pgSz w:w="11900" w:h="16838" w:orient="portrait"/>
          <w:cols w:equalWidth="0" w:num="1">
            <w:col w:w="10642"/>
          </w:cols>
          <w:pgMar w:left="618" w:top="270" w:right="639" w:bottom="1440" w:gutter="0" w:footer="0" w:header="0"/>
        </w:sectPr>
      </w:pPr>
    </w:p>
    <w:bookmarkStart w:id="462" w:name="page463"/>
    <w:bookmarkEnd w:id="46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 No flammable, toxic, or otherwise hazardous materials may be brought in or about the Building unless all of the following are met:</w:t>
      </w:r>
    </w:p>
    <w:p>
      <w:pPr>
        <w:spacing w:after="0" w:line="26" w:lineRule="exact"/>
        <w:rPr>
          <w:sz w:val="20"/>
          <w:szCs w:val="20"/>
          <w:color w:val="auto"/>
        </w:rPr>
      </w:pPr>
    </w:p>
    <w:p>
      <w:pPr>
        <w:ind w:left="420" w:right="40" w:firstLine="4"/>
        <w:spacing w:after="0" w:line="264" w:lineRule="auto"/>
        <w:tabs>
          <w:tab w:leader="none" w:pos="628"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authorized by the Property Manager, (ii) all applicable laws, ordinances, rules and regulations are complied with, and (iii) all necessary permits have been obtained. All necessary precautions shall be taken by the contractor handling such materials against damage or injury caused by such materials.</w:t>
      </w:r>
    </w:p>
    <w:p>
      <w:pPr>
        <w:spacing w:after="0" w:line="74" w:lineRule="exact"/>
        <w:rPr>
          <w:sz w:val="20"/>
          <w:szCs w:val="20"/>
          <w:color w:val="auto"/>
        </w:rPr>
      </w:pPr>
    </w:p>
    <w:p>
      <w:pPr>
        <w:ind w:left="420" w:right="80" w:firstLine="4"/>
        <w:spacing w:after="0" w:line="287" w:lineRule="auto"/>
        <w:tabs>
          <w:tab w:leader="none" w:pos="63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All materials required for the construction of the premises must comply with Building Standards, must conform to the plans and specifications approved by Landlord, and must be installed in the locations shown on the drawings approved by the Landlord.</w:t>
      </w:r>
    </w:p>
    <w:p>
      <w:pPr>
        <w:spacing w:after="0" w:line="54" w:lineRule="exact"/>
        <w:rPr>
          <w:rFonts w:ascii="Arial" w:cs="Arial" w:eastAsia="Arial" w:hAnsi="Arial"/>
          <w:sz w:val="17"/>
          <w:szCs w:val="17"/>
          <w:color w:val="auto"/>
        </w:rPr>
      </w:pPr>
    </w:p>
    <w:p>
      <w:pPr>
        <w:ind w:left="660" w:hanging="236"/>
        <w:spacing w:after="0"/>
        <w:tabs>
          <w:tab w:leader="none" w:pos="6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All work shall be subject to supervision and inspection by Landlord’s Representative.</w:t>
      </w:r>
    </w:p>
    <w:p>
      <w:pPr>
        <w:spacing w:after="0" w:line="117" w:lineRule="exact"/>
        <w:rPr>
          <w:rFonts w:ascii="Arial" w:cs="Arial" w:eastAsia="Arial" w:hAnsi="Arial"/>
          <w:sz w:val="17"/>
          <w:szCs w:val="17"/>
          <w:color w:val="auto"/>
        </w:rPr>
      </w:pPr>
    </w:p>
    <w:p>
      <w:pPr>
        <w:ind w:left="420" w:right="740" w:firstLine="4"/>
        <w:spacing w:after="0" w:line="320" w:lineRule="auto"/>
        <w:tabs>
          <w:tab w:leader="none" w:pos="62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No alterations to approved plans will be made without prior knowledge and approval of the Property Manager. Such changes shall be documented on the as-build drawings required to be delivered to Landlord pursuant to Paragraph 10 of the rules and regulations.</w:t>
      </w:r>
    </w:p>
    <w:p>
      <w:pPr>
        <w:spacing w:after="0" w:line="31" w:lineRule="exact"/>
        <w:rPr>
          <w:rFonts w:ascii="Arial" w:cs="Arial" w:eastAsia="Arial" w:hAnsi="Arial"/>
          <w:sz w:val="16"/>
          <w:szCs w:val="16"/>
          <w:color w:val="auto"/>
        </w:rPr>
      </w:pPr>
    </w:p>
    <w:p>
      <w:pPr>
        <w:ind w:left="420" w:right="200" w:firstLine="4"/>
        <w:spacing w:after="0" w:line="287" w:lineRule="auto"/>
        <w:tabs>
          <w:tab w:leader="none" w:pos="618"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All protective devices (e.g., temporary enclosures and partitions) and materials, as well as their placement, must be approved by the Property Manager.</w:t>
      </w:r>
    </w:p>
    <w:p>
      <w:pPr>
        <w:spacing w:after="0" w:line="54" w:lineRule="exact"/>
        <w:rPr>
          <w:rFonts w:ascii="Arial" w:cs="Arial" w:eastAsia="Arial" w:hAnsi="Arial"/>
          <w:sz w:val="17"/>
          <w:szCs w:val="17"/>
          <w:color w:val="auto"/>
        </w:rPr>
      </w:pPr>
    </w:p>
    <w:p>
      <w:pPr>
        <w:ind w:left="420" w:right="520" w:firstLine="4"/>
        <w:spacing w:after="0" w:line="320" w:lineRule="auto"/>
        <w:tabs>
          <w:tab w:leader="none" w:pos="647"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It is the responsibility of Contractors to ensure that the temporary placement of materials does not impose a hazard to the Building or its occupants, either through overloading, or interference with Building systems, access, egress or in any other manner whatsoever.</w:t>
      </w:r>
    </w:p>
    <w:p>
      <w:pPr>
        <w:spacing w:after="0" w:line="31" w:lineRule="exact"/>
        <w:rPr>
          <w:rFonts w:ascii="Arial" w:cs="Arial" w:eastAsia="Arial" w:hAnsi="Arial"/>
          <w:sz w:val="16"/>
          <w:szCs w:val="16"/>
          <w:color w:val="auto"/>
        </w:rPr>
      </w:pPr>
    </w:p>
    <w:p>
      <w:pPr>
        <w:ind w:left="420" w:right="320" w:firstLine="4"/>
        <w:spacing w:after="0" w:line="287" w:lineRule="auto"/>
        <w:tabs>
          <w:tab w:leader="none" w:pos="64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All existing and/or new openings made through the floor slab for piping, cabling, etc. must be sealed per code. All holes in the floor slab at abandoned floor outlets, etc. need to be filled with solid concrete.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7.4 Salvage and Waste Removal:</w:t>
      </w:r>
    </w:p>
    <w:p>
      <w:pPr>
        <w:spacing w:after="0" w:line="118" w:lineRule="exact"/>
        <w:rPr>
          <w:sz w:val="20"/>
          <w:szCs w:val="20"/>
          <w:color w:val="auto"/>
        </w:rPr>
      </w:pPr>
    </w:p>
    <w:p>
      <w:pPr>
        <w:ind w:left="420" w:firstLine="4"/>
        <w:spacing w:after="0" w:line="264" w:lineRule="auto"/>
        <w:tabs>
          <w:tab w:leader="none" w:pos="64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All rubbish, waste and debris shall be neatly and cleanly removed from the Building by Contractors daily unless otherwise approved by the Property Manager. The Building’s trash compactor shall not be used for construction or other debris. For any demolition and debris, each Contractor must make arrangements with the Property Manager for the scheduling and location of an additional dumpster to be supplied at the cost of the Tenant engaging such Contractor. Where, in the opinion of the Property Manager, such arrangements are not practical, such Contractors will make alternative arrangements for removal at the cost of the Tenant engaging such Contractors.</w:t>
      </w:r>
    </w:p>
    <w:p>
      <w:pPr>
        <w:spacing w:after="0" w:line="73" w:lineRule="exact"/>
        <w:rPr>
          <w:rFonts w:ascii="Arial" w:cs="Arial" w:eastAsia="Arial" w:hAnsi="Arial"/>
          <w:sz w:val="17"/>
          <w:szCs w:val="17"/>
          <w:color w:val="auto"/>
        </w:rPr>
      </w:pPr>
    </w:p>
    <w:p>
      <w:pPr>
        <w:ind w:left="420" w:right="240" w:firstLine="4"/>
        <w:spacing w:after="0" w:line="287" w:lineRule="auto"/>
        <w:tabs>
          <w:tab w:leader="none" w:pos="63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Toxic or flammable materials are to be properly removed daily and disposed of in full accordance with all applicable laws, ordinances, rules and regulations.</w:t>
      </w:r>
    </w:p>
    <w:p>
      <w:pPr>
        <w:spacing w:after="0" w:line="54" w:lineRule="exact"/>
        <w:rPr>
          <w:rFonts w:ascii="Arial" w:cs="Arial" w:eastAsia="Arial" w:hAnsi="Arial"/>
          <w:sz w:val="17"/>
          <w:szCs w:val="17"/>
          <w:color w:val="auto"/>
        </w:rPr>
      </w:pPr>
    </w:p>
    <w:p>
      <w:pPr>
        <w:ind w:left="420" w:right="40" w:firstLine="4"/>
        <w:spacing w:after="0" w:line="264" w:lineRule="auto"/>
        <w:tabs>
          <w:tab w:leader="none" w:pos="63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Contractors shall, prior to removing any item (including, without limitation, building standard doors, frames and hardware, light fixtures, ceiling diffusers, ceiling exhaust fans, sprinkler heads, fire horns, ceiling speakers and smoke detectors) from the Building, notify the Property Manager that it intends to remove such item. At the election of Property Manager, Contractors shall deliver any such items to the Property Manager. Such items will be delivered, without cost, to an area designated by the Property Manager which area shall be within the Building or the complex in which the Building is located.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w:t>
      </w:r>
    </w:p>
    <w:p>
      <w:pPr>
        <w:sectPr>
          <w:pgSz w:w="11900" w:h="16838" w:orient="portrait"/>
          <w:cols w:equalWidth="0" w:num="1">
            <w:col w:w="10640"/>
          </w:cols>
          <w:pgMar w:left="620" w:top="270" w:right="639" w:bottom="1440" w:gutter="0" w:footer="0" w:header="0"/>
        </w:sectPr>
      </w:pPr>
    </w:p>
    <w:bookmarkStart w:id="463" w:name="page464"/>
    <w:bookmarkEnd w:id="463"/>
    <w:p>
      <w:pPr>
        <w:ind w:left="182" w:hanging="182"/>
        <w:spacing w:after="0"/>
        <w:tabs>
          <w:tab w:leader="none" w:pos="182" w:val="left"/>
        </w:tabs>
        <w:numPr>
          <w:ilvl w:val="0"/>
          <w:numId w:val="41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PAYMENT OF CONTRACTORS</w:t>
      </w:r>
    </w:p>
    <w:p>
      <w:pPr>
        <w:spacing w:after="0" w:line="124" w:lineRule="exact"/>
        <w:rPr>
          <w:sz w:val="20"/>
          <w:szCs w:val="20"/>
          <w:color w:val="auto"/>
        </w:rPr>
      </w:pPr>
    </w:p>
    <w:p>
      <w:pPr>
        <w:ind w:left="2" w:firstLine="426"/>
        <w:spacing w:after="0" w:line="266" w:lineRule="auto"/>
        <w:rPr>
          <w:sz w:val="20"/>
          <w:szCs w:val="20"/>
          <w:color w:val="auto"/>
        </w:rPr>
      </w:pPr>
      <w:r>
        <w:rPr>
          <w:rFonts w:ascii="Arial" w:cs="Arial" w:eastAsia="Arial" w:hAnsi="Arial"/>
          <w:sz w:val="17"/>
          <w:szCs w:val="17"/>
          <w:color w:val="auto"/>
        </w:rPr>
        <w:t>Tenant shall promptly pay the cost of all Tenant Work so that Tenant’s premises and the Building shall be free of liens for labor or materials. If any mechanic’s lien is filed against the Building or any part thereof which is claimed to be attributable to the Tenant, its agents, employees or contractors, Tenant shall give immediate notice of such lien to the Landlord and shall promptly discharge the same by payment or filing any necessary bond within 10 days after Tenant has first notice of such mechanic’s lien.</w:t>
      </w:r>
    </w:p>
    <w:p>
      <w:pPr>
        <w:spacing w:after="0" w:line="276" w:lineRule="exact"/>
        <w:rPr>
          <w:sz w:val="20"/>
          <w:szCs w:val="20"/>
          <w:color w:val="auto"/>
        </w:rPr>
      </w:pPr>
    </w:p>
    <w:p>
      <w:pPr>
        <w:ind w:left="182" w:hanging="182"/>
        <w:spacing w:after="0"/>
        <w:tabs>
          <w:tab w:leader="none" w:pos="182" w:val="left"/>
        </w:tabs>
        <w:numPr>
          <w:ilvl w:val="0"/>
          <w:numId w:val="412"/>
        </w:numPr>
        <w:rPr>
          <w:rFonts w:ascii="Arial" w:cs="Arial" w:eastAsia="Arial" w:hAnsi="Arial"/>
          <w:sz w:val="17"/>
          <w:szCs w:val="17"/>
          <w:color w:val="auto"/>
        </w:rPr>
      </w:pPr>
      <w:r>
        <w:rPr>
          <w:rFonts w:ascii="Arial" w:cs="Arial" w:eastAsia="Arial" w:hAnsi="Arial"/>
          <w:sz w:val="17"/>
          <w:szCs w:val="17"/>
          <w:b w:val="1"/>
          <w:bCs w:val="1"/>
          <w:u w:val="single" w:color="auto"/>
          <w:color w:val="auto"/>
        </w:rPr>
        <w:t>CONFLICT BETWEEN RULES AND REGULATIONS AND LEASE</w:t>
      </w:r>
    </w:p>
    <w:p>
      <w:pPr>
        <w:spacing w:after="0" w:line="124" w:lineRule="exact"/>
        <w:rPr>
          <w:sz w:val="20"/>
          <w:szCs w:val="20"/>
          <w:color w:val="auto"/>
        </w:rPr>
      </w:pPr>
    </w:p>
    <w:p>
      <w:pPr>
        <w:ind w:left="422"/>
        <w:spacing w:after="0"/>
        <w:rPr>
          <w:sz w:val="20"/>
          <w:szCs w:val="20"/>
          <w:color w:val="auto"/>
        </w:rPr>
      </w:pPr>
      <w:r>
        <w:rPr>
          <w:rFonts w:ascii="Arial" w:cs="Arial" w:eastAsia="Arial" w:hAnsi="Arial"/>
          <w:sz w:val="17"/>
          <w:szCs w:val="17"/>
          <w:color w:val="auto"/>
        </w:rPr>
        <w:t>In the event of any conflict between the Lease and these Rules and Regulations, the terms of the Lease shall control.</w:t>
      </w:r>
    </w:p>
    <w:p>
      <w:pPr>
        <w:spacing w:after="0" w:line="321" w:lineRule="exact"/>
        <w:rPr>
          <w:sz w:val="20"/>
          <w:szCs w:val="20"/>
          <w:color w:val="auto"/>
        </w:rPr>
      </w:pPr>
    </w:p>
    <w:p>
      <w:pPr>
        <w:ind w:left="262" w:hanging="262"/>
        <w:spacing w:after="0"/>
        <w:tabs>
          <w:tab w:leader="none" w:pos="262" w:val="left"/>
        </w:tabs>
        <w:numPr>
          <w:ilvl w:val="0"/>
          <w:numId w:val="413"/>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p>
    <w:p>
      <w:pPr>
        <w:spacing w:after="0" w:line="124" w:lineRule="exact"/>
        <w:rPr>
          <w:sz w:val="20"/>
          <w:szCs w:val="20"/>
          <w:color w:val="auto"/>
        </w:rPr>
      </w:pPr>
    </w:p>
    <w:p>
      <w:pPr>
        <w:ind w:left="2"/>
        <w:spacing w:after="0" w:line="266" w:lineRule="auto"/>
        <w:rPr>
          <w:sz w:val="20"/>
          <w:szCs w:val="20"/>
          <w:color w:val="auto"/>
        </w:rPr>
      </w:pPr>
      <w:r>
        <w:rPr>
          <w:rFonts w:ascii="Arial" w:cs="Arial" w:eastAsia="Arial" w:hAnsi="Arial"/>
          <w:sz w:val="17"/>
          <w:szCs w:val="17"/>
          <w:color w:val="auto"/>
        </w:rPr>
        <w:t>10.1. These Rules and Regulations are in addition to, and shall not be construed to in any way modify or amend, in whole or in part, the terms, covenants, agreements and conditions of any lease of any premises in the Building. Landlord may waive any one or more of these Rules and Regulations for the benefit of any tenant or tenants, and any such waiver by Landlord shall not be construed as a waiver of such Rules and Regulations for any or all tenants.</w:t>
      </w:r>
    </w:p>
    <w:p>
      <w:pPr>
        <w:spacing w:after="0" w:line="178" w:lineRule="exact"/>
        <w:rPr>
          <w:sz w:val="20"/>
          <w:szCs w:val="20"/>
          <w:color w:val="auto"/>
        </w:rPr>
      </w:pPr>
    </w:p>
    <w:p>
      <w:pPr>
        <w:ind w:left="2" w:right="40"/>
        <w:spacing w:after="0" w:line="266" w:lineRule="auto"/>
        <w:rPr>
          <w:sz w:val="20"/>
          <w:szCs w:val="20"/>
          <w:color w:val="auto"/>
        </w:rPr>
      </w:pPr>
      <w:r>
        <w:rPr>
          <w:rFonts w:ascii="Arial" w:cs="Arial" w:eastAsia="Arial" w:hAnsi="Arial"/>
          <w:sz w:val="17"/>
          <w:szCs w:val="17"/>
          <w:color w:val="auto"/>
        </w:rPr>
        <w:t>10.2. Landlord reserves the right to make such other and reasonable rules and regulations as in its judgment may from time to time be needed for safety and security, for care and cleanliness of the Building and for the preservation of good order in and about the Building. Tenant agrees to abide by all such rules and regulations herein stated and any additional rules and regulations which are adopted. Tenant shall be responsible for the observance of all of the foregoing rules by Tenant’s employees, agents, clients, customers, invitees and guests.</w:t>
      </w:r>
    </w:p>
    <w:p>
      <w:pPr>
        <w:spacing w:after="0" w:line="112"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C-8</w:t>
      </w:r>
    </w:p>
    <w:p>
      <w:pPr>
        <w:sectPr>
          <w:pgSz w:w="11900" w:h="16838" w:orient="portrait"/>
          <w:cols w:equalWidth="0" w:num="1">
            <w:col w:w="10642"/>
          </w:cols>
          <w:pgMar w:left="618" w:top="264" w:right="6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SCHEDULE A OF EXHIBIT 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 DESIGN AND CONSTRUCTION OF TENANT WORK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Ledgemont Technology Center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BASE BUILDING CHARGES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Contractors desiring to work on the Building Systems must coordinate all work with the Management Office at 781-861-7786.</w:t>
      </w:r>
    </w:p>
    <w:p>
      <w:pPr>
        <w:spacing w:after="0" w:line="222" w:lineRule="exact"/>
        <w:rPr>
          <w:sz w:val="20"/>
          <w:szCs w:val="20"/>
          <w:color w:val="auto"/>
        </w:rPr>
      </w:pPr>
    </w:p>
    <w:p>
      <w:pPr>
        <w:ind w:firstLine="426"/>
        <w:spacing w:after="0" w:line="320" w:lineRule="auto"/>
        <w:rPr>
          <w:sz w:val="20"/>
          <w:szCs w:val="20"/>
          <w:color w:val="auto"/>
        </w:rPr>
      </w:pPr>
      <w:r>
        <w:rPr>
          <w:rFonts w:ascii="Arial" w:cs="Arial" w:eastAsia="Arial" w:hAnsi="Arial"/>
          <w:sz w:val="16"/>
          <w:szCs w:val="16"/>
          <w:color w:val="auto"/>
        </w:rPr>
        <w:t>All work must be scheduled a minimum of one week prior to the start of work. A work order will be issued listing the system affected and the time of shutdown. No work will commence until the work order has been signed by an authorized representative of the construction company.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Contractors must obtain credit approval from the Management Office prior to any work authorization.</w:t>
      </w:r>
    </w:p>
    <w:p>
      <w:pPr>
        <w:spacing w:after="0" w:line="24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280" w:type="dxa"/>
            <w:vAlign w:val="bottom"/>
            <w:gridSpan w:val="2"/>
          </w:tcPr>
          <w:p>
            <w:pPr>
              <w:ind w:left="1620"/>
              <w:spacing w:after="0"/>
              <w:rPr>
                <w:sz w:val="20"/>
                <w:szCs w:val="20"/>
                <w:color w:val="auto"/>
              </w:rPr>
            </w:pPr>
            <w:r>
              <w:rPr>
                <w:rFonts w:ascii="Arial" w:cs="Arial" w:eastAsia="Arial" w:hAnsi="Arial"/>
                <w:sz w:val="14"/>
                <w:szCs w:val="14"/>
                <w:color w:val="auto"/>
              </w:rPr>
              <w:t>Fire Alarm Shutdown</w:t>
            </w:r>
          </w:p>
        </w:tc>
        <w:tc>
          <w:tcPr>
            <w:tcW w:w="1680" w:type="dxa"/>
            <w:vAlign w:val="bottom"/>
            <w:gridSpan w:val="2"/>
          </w:tcPr>
          <w:p>
            <w:pPr>
              <w:ind w:left="440"/>
              <w:spacing w:after="0"/>
              <w:rPr>
                <w:sz w:val="20"/>
                <w:szCs w:val="20"/>
                <w:color w:val="auto"/>
              </w:rPr>
            </w:pPr>
            <w:r>
              <w:rPr>
                <w:rFonts w:ascii="Arial" w:cs="Arial" w:eastAsia="Arial" w:hAnsi="Arial"/>
                <w:sz w:val="14"/>
                <w:szCs w:val="14"/>
                <w:color w:val="auto"/>
                <w:w w:val="91"/>
              </w:rPr>
              <w:t>Reconnect Shutdown</w:t>
            </w: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8:00 a.m. to 5:00 p.m.</w:t>
            </w:r>
          </w:p>
        </w:tc>
        <w:tc>
          <w:tcPr>
            <w:tcW w:w="20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125.00</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N/C</w:t>
            </w:r>
          </w:p>
        </w:tc>
      </w:tr>
      <w:tr>
        <w:trPr>
          <w:trHeight w:val="209"/>
        </w:trPr>
        <w:tc>
          <w:tcPr>
            <w:tcW w:w="3140" w:type="dxa"/>
            <w:vAlign w:val="bottom"/>
          </w:tcPr>
          <w:p>
            <w:pPr>
              <w:spacing w:after="0"/>
              <w:rPr>
                <w:sz w:val="20"/>
                <w:szCs w:val="20"/>
                <w:color w:val="auto"/>
              </w:rPr>
            </w:pPr>
            <w:r>
              <w:rPr>
                <w:rFonts w:ascii="Arial" w:cs="Arial" w:eastAsia="Arial" w:hAnsi="Arial"/>
                <w:sz w:val="17"/>
                <w:szCs w:val="17"/>
                <w:color w:val="auto"/>
              </w:rPr>
              <w:t>5:00 p.m. to 8:00 a.m.</w:t>
            </w:r>
          </w:p>
        </w:tc>
        <w:tc>
          <w:tcPr>
            <w:tcW w:w="2040" w:type="dxa"/>
            <w:vAlign w:val="bottom"/>
          </w:tcPr>
          <w:p>
            <w:pPr>
              <w:ind w:left="16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53"/>
              <w:spacing w:after="0"/>
              <w:rPr>
                <w:sz w:val="20"/>
                <w:szCs w:val="20"/>
                <w:color w:val="auto"/>
              </w:rPr>
            </w:pPr>
            <w:r>
              <w:rPr>
                <w:rFonts w:ascii="Arial" w:cs="Arial" w:eastAsia="Arial" w:hAnsi="Arial"/>
                <w:sz w:val="17"/>
                <w:szCs w:val="17"/>
                <w:color w:val="auto"/>
              </w:rPr>
              <w:t>175.00</w:t>
            </w:r>
          </w:p>
        </w:tc>
        <w:tc>
          <w:tcPr>
            <w:tcW w:w="820" w:type="dxa"/>
            <w:vAlign w:val="bottom"/>
          </w:tcPr>
          <w:p>
            <w:pPr>
              <w:ind w:left="4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175.00</w:t>
            </w: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Saturday</w:t>
            </w:r>
          </w:p>
        </w:tc>
        <w:tc>
          <w:tcPr>
            <w:tcW w:w="20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225.00</w:t>
            </w:r>
          </w:p>
        </w:tc>
        <w:tc>
          <w:tcPr>
            <w:tcW w:w="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r>
      <w:tr>
        <w:trPr>
          <w:trHeight w:val="221"/>
        </w:trPr>
        <w:tc>
          <w:tcPr>
            <w:tcW w:w="3140" w:type="dxa"/>
            <w:vAlign w:val="bottom"/>
          </w:tcPr>
          <w:p>
            <w:pPr>
              <w:spacing w:after="0"/>
              <w:rPr>
                <w:sz w:val="20"/>
                <w:szCs w:val="20"/>
                <w:color w:val="auto"/>
              </w:rPr>
            </w:pPr>
            <w:r>
              <w:rPr>
                <w:rFonts w:ascii="Arial" w:cs="Arial" w:eastAsia="Arial" w:hAnsi="Arial"/>
                <w:sz w:val="17"/>
                <w:szCs w:val="17"/>
                <w:color w:val="auto"/>
              </w:rPr>
              <w:t>Sunday</w:t>
            </w:r>
          </w:p>
        </w:tc>
        <w:tc>
          <w:tcPr>
            <w:tcW w:w="2040" w:type="dxa"/>
            <w:vAlign w:val="bottom"/>
          </w:tcPr>
          <w:p>
            <w:pPr>
              <w:ind w:left="16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53"/>
              <w:spacing w:after="0"/>
              <w:rPr>
                <w:sz w:val="20"/>
                <w:szCs w:val="20"/>
                <w:color w:val="auto"/>
              </w:rPr>
            </w:pPr>
            <w:r>
              <w:rPr>
                <w:rFonts w:ascii="Arial" w:cs="Arial" w:eastAsia="Arial" w:hAnsi="Arial"/>
                <w:sz w:val="17"/>
                <w:szCs w:val="17"/>
                <w:color w:val="auto"/>
              </w:rPr>
              <w:t>250.00</w:t>
            </w:r>
          </w:p>
        </w:tc>
        <w:tc>
          <w:tcPr>
            <w:tcW w:w="820" w:type="dxa"/>
            <w:vAlign w:val="bottom"/>
          </w:tcPr>
          <w:p>
            <w:pPr>
              <w:ind w:left="4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250.00</w:t>
            </w:r>
          </w:p>
        </w:tc>
      </w:tr>
    </w:tbl>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Labor charge (per person) for Fire Alarm Watch or Sprinkler System Shutdown (required when servicing or testing any life safety device):</w:t>
      </w:r>
    </w:p>
    <w:p>
      <w:pPr>
        <w:sectPr>
          <w:pgSz w:w="11900" w:h="16838" w:orient="portrait"/>
          <w:cols w:equalWidth="0" w:num="1">
            <w:col w:w="10640"/>
          </w:cols>
          <w:pgMar w:left="620" w:top="264" w:right="639" w:bottom="1440" w:gutter="0" w:footer="0" w:header="0"/>
        </w:sectPr>
      </w:pPr>
    </w:p>
    <w:p>
      <w:pPr>
        <w:spacing w:after="0" w:line="260"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8:00 a.m. to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-100965</wp:posOffset>
            </wp:positionV>
            <wp:extent cx="4592320" cy="132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592320" cy="132715"/>
                    </a:xfrm>
                    <a:prstGeom prst="rect">
                      <a:avLst/>
                    </a:prstGeom>
                    <a:noFill/>
                  </pic:spPr>
                </pic:pic>
              </a:graphicData>
            </a:graphic>
          </wp:anchor>
        </w:drawing>
      </w:r>
    </w:p>
    <w:p>
      <w:pPr>
        <w:spacing w:after="0" w:line="29"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5:00 p.m. to 8:00 a.m.</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Saturday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-123190</wp:posOffset>
            </wp:positionV>
            <wp:extent cx="4592320" cy="132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592320" cy="13271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7"/>
          <w:szCs w:val="17"/>
          <w:color w:val="auto"/>
        </w:rPr>
        <w:t>Sunday</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$40.00 per hour</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$60.00 per hour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$60.00 per hour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$80.00 per hour</w:t>
      </w:r>
    </w:p>
    <w:p>
      <w:pPr>
        <w:spacing w:after="0" w:line="222" w:lineRule="exact"/>
        <w:rPr>
          <w:sz w:val="20"/>
          <w:szCs w:val="20"/>
          <w:color w:val="auto"/>
        </w:rPr>
      </w:pPr>
    </w:p>
    <w:p>
      <w:pPr>
        <w:sectPr>
          <w:pgSz w:w="11900" w:h="16838" w:orient="portrait"/>
          <w:cols w:equalWidth="0" w:num="2">
            <w:col w:w="7120" w:space="720"/>
            <w:col w:w="2800"/>
          </w:cols>
          <w:pgMar w:left="620" w:top="264" w:right="639" w:bottom="1440" w:gutter="0" w:footer="0" w:header="0"/>
          <w:type w:val="continuous"/>
        </w:sectPr>
      </w:pPr>
    </w:p>
    <w:p>
      <w:pPr>
        <w:spacing w:after="0" w:line="10" w:lineRule="exact"/>
        <w:rPr>
          <w:sz w:val="20"/>
          <w:szCs w:val="20"/>
          <w:color w:val="auto"/>
        </w:rPr>
      </w:pPr>
    </w:p>
    <w:p>
      <w:pPr>
        <w:ind w:firstLine="426"/>
        <w:spacing w:after="0" w:line="287" w:lineRule="auto"/>
        <w:rPr>
          <w:sz w:val="20"/>
          <w:szCs w:val="20"/>
          <w:color w:val="auto"/>
        </w:rPr>
      </w:pPr>
      <w:r>
        <w:rPr>
          <w:rFonts w:ascii="Arial" w:cs="Arial" w:eastAsia="Arial" w:hAnsi="Arial"/>
          <w:sz w:val="17"/>
          <w:szCs w:val="17"/>
          <w:color w:val="auto"/>
        </w:rPr>
        <w:t>Contractor may not proceed with any work until authorization to begin work has been obtained from the Management Office. A separate request is to be issued for each day in which the Life Safety work is being performed.</w:t>
      </w:r>
    </w:p>
    <w:p>
      <w:pPr>
        <w:spacing w:after="0" w:line="159" w:lineRule="exact"/>
        <w:rPr>
          <w:sz w:val="20"/>
          <w:szCs w:val="20"/>
          <w:color w:val="auto"/>
        </w:rPr>
      </w:pPr>
    </w:p>
    <w:p>
      <w:pPr>
        <w:ind w:right="440" w:firstLine="426"/>
        <w:spacing w:after="0" w:line="287" w:lineRule="auto"/>
        <w:rPr>
          <w:sz w:val="20"/>
          <w:szCs w:val="20"/>
          <w:color w:val="auto"/>
        </w:rPr>
      </w:pPr>
      <w:r>
        <w:rPr>
          <w:rFonts w:ascii="Arial" w:cs="Arial" w:eastAsia="Arial" w:hAnsi="Arial"/>
          <w:sz w:val="17"/>
          <w:szCs w:val="17"/>
          <w:color w:val="auto"/>
        </w:rPr>
        <w:t>Contractor will be fined $1,500.00 for each and every false alarm caused by contractor’s employees or their actions. Contractor will be fined $500.00 for every smoke detector covered by the contractor or their subcontractors.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$30.00 Per Hr (3 Hr Min) Contractors must pay a minimum of $1,500.00 to repair the elevator cabs if damaged.</w:t>
      </w:r>
    </w:p>
    <w:p>
      <w:pPr>
        <w:spacing w:after="0" w:line="15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C-9</w:t>
      </w:r>
    </w:p>
    <w:p>
      <w:pPr>
        <w:sectPr>
          <w:pgSz w:w="11900" w:h="16838" w:orient="portrait"/>
          <w:cols w:equalWidth="0" w:num="1">
            <w:col w:w="10640"/>
          </w:cols>
          <w:pgMar w:left="620" w:top="264" w:right="639" w:bottom="1440" w:gutter="0" w:footer="0" w:header="0"/>
          <w:type w:val="continuous"/>
        </w:sectPr>
      </w:pPr>
    </w:p>
    <w:bookmarkStart w:id="465" w:name="page466"/>
    <w:bookmarkEnd w:id="465"/>
    <w:p>
      <w:pPr>
        <w:jc w:val="center"/>
        <w:ind w:right="-3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B OF EXHIBIT C</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u w:val="single" w:color="auto"/>
          <w:color w:val="auto"/>
        </w:rPr>
        <w:t>FOR DESIGN AND CONSTRUCTION OF TENANT WORK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INSTALLATION OF CABLES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1.1 Computer and Telephone Cables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1.1.1 Layout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layout of cables must be submitted to the Property Manager for approval prior to installation.</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1.1.2 Installation</w:t>
      </w:r>
    </w:p>
    <w:p>
      <w:pPr>
        <w:spacing w:after="0" w:line="118" w:lineRule="exact"/>
        <w:rPr>
          <w:sz w:val="20"/>
          <w:szCs w:val="20"/>
          <w:color w:val="auto"/>
        </w:rPr>
      </w:pPr>
    </w:p>
    <w:p>
      <w:pPr>
        <w:ind w:left="1180" w:hanging="223"/>
        <w:spacing w:after="0"/>
        <w:tabs>
          <w:tab w:leader="none" w:pos="118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Cables installed above the ceiling must be Teflon coated or encased in metal conduit.</w:t>
      </w:r>
    </w:p>
    <w:p>
      <w:pPr>
        <w:spacing w:after="0" w:line="117" w:lineRule="exact"/>
        <w:rPr>
          <w:rFonts w:ascii="Arial" w:cs="Arial" w:eastAsia="Arial" w:hAnsi="Arial"/>
          <w:sz w:val="17"/>
          <w:szCs w:val="17"/>
          <w:color w:val="auto"/>
        </w:rPr>
      </w:pPr>
    </w:p>
    <w:p>
      <w:pPr>
        <w:ind w:left="1180" w:hanging="223"/>
        <w:spacing w:after="0"/>
        <w:tabs>
          <w:tab w:leader="none" w:pos="118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Cables must be tagged every 15’ and color coded.</w:t>
      </w:r>
    </w:p>
    <w:p>
      <w:pPr>
        <w:spacing w:after="0" w:line="117" w:lineRule="exact"/>
        <w:rPr>
          <w:rFonts w:ascii="Arial" w:cs="Arial" w:eastAsia="Arial" w:hAnsi="Arial"/>
          <w:sz w:val="17"/>
          <w:szCs w:val="17"/>
          <w:color w:val="auto"/>
        </w:rPr>
      </w:pPr>
    </w:p>
    <w:p>
      <w:pPr>
        <w:ind w:left="1180" w:hanging="223"/>
        <w:spacing w:after="0"/>
        <w:tabs>
          <w:tab w:leader="none" w:pos="118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Cables must be properly affixed to the framing above the duct work so that they are self-supporting. Do not fasten to light fixtures.</w:t>
      </w:r>
    </w:p>
    <w:p>
      <w:pPr>
        <w:spacing w:after="0" w:line="140" w:lineRule="exact"/>
        <w:rPr>
          <w:rFonts w:ascii="Arial" w:cs="Arial" w:eastAsia="Arial" w:hAnsi="Arial"/>
          <w:sz w:val="15"/>
          <w:szCs w:val="15"/>
          <w:color w:val="auto"/>
        </w:rPr>
      </w:pPr>
    </w:p>
    <w:p>
      <w:pPr>
        <w:ind w:left="1180" w:hanging="223"/>
        <w:spacing w:after="0"/>
        <w:tabs>
          <w:tab w:leader="none" w:pos="118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Cables must not sag and will be installed in the shortest possible runs.</w:t>
      </w:r>
    </w:p>
    <w:p>
      <w:pPr>
        <w:spacing w:after="0" w:line="117" w:lineRule="exact"/>
        <w:rPr>
          <w:rFonts w:ascii="Arial" w:cs="Arial" w:eastAsia="Arial" w:hAnsi="Arial"/>
          <w:sz w:val="17"/>
          <w:szCs w:val="17"/>
          <w:color w:val="auto"/>
        </w:rPr>
      </w:pPr>
    </w:p>
    <w:p>
      <w:pPr>
        <w:ind w:left="960" w:right="80" w:hanging="3"/>
        <w:spacing w:after="0" w:line="287" w:lineRule="auto"/>
        <w:tabs>
          <w:tab w:leader="none" w:pos="1168"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Connections (connectors, splices, etc.) must be securely installed so that they will not pull apart if cable is accidentally touched or pulled.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1.2 Electrical Floor Outlet Cables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1.2.1 Layout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layout of cables must be submitted to the Property Manager for approval prior to installation.</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1.2.2 Installation</w:t>
      </w:r>
    </w:p>
    <w:p>
      <w:pPr>
        <w:spacing w:after="0" w:line="118" w:lineRule="exact"/>
        <w:rPr>
          <w:sz w:val="20"/>
          <w:szCs w:val="20"/>
          <w:color w:val="auto"/>
        </w:rPr>
      </w:pPr>
    </w:p>
    <w:p>
      <w:pPr>
        <w:ind w:left="1180" w:hanging="223"/>
        <w:spacing w:after="0"/>
        <w:tabs>
          <w:tab w:leader="none" w:pos="11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Cables must be tagged every 15’ and color coded.</w:t>
      </w:r>
    </w:p>
    <w:p>
      <w:pPr>
        <w:spacing w:after="0" w:line="117" w:lineRule="exact"/>
        <w:rPr>
          <w:rFonts w:ascii="Arial" w:cs="Arial" w:eastAsia="Arial" w:hAnsi="Arial"/>
          <w:sz w:val="17"/>
          <w:szCs w:val="17"/>
          <w:color w:val="auto"/>
        </w:rPr>
      </w:pPr>
    </w:p>
    <w:p>
      <w:pPr>
        <w:ind w:left="1180" w:hanging="223"/>
        <w:spacing w:after="0"/>
        <w:tabs>
          <w:tab w:leader="none" w:pos="11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Runs will be as short and as free of slack as possible secured per code requirements.</w:t>
      </w:r>
    </w:p>
    <w:p>
      <w:pPr>
        <w:spacing w:after="0" w:line="117" w:lineRule="exact"/>
        <w:rPr>
          <w:rFonts w:ascii="Arial" w:cs="Arial" w:eastAsia="Arial" w:hAnsi="Arial"/>
          <w:sz w:val="17"/>
          <w:szCs w:val="17"/>
          <w:color w:val="auto"/>
        </w:rPr>
      </w:pPr>
    </w:p>
    <w:p>
      <w:pPr>
        <w:ind w:left="1180" w:hanging="223"/>
        <w:spacing w:after="0"/>
        <w:tabs>
          <w:tab w:leader="none" w:pos="11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Cables are to be installed in tenant’s own ceiling then down partitions into the ceiling of the tenant below.</w:t>
      </w:r>
    </w:p>
    <w:p>
      <w:pPr>
        <w:spacing w:after="0" w:line="117" w:lineRule="exact"/>
        <w:rPr>
          <w:rFonts w:ascii="Arial" w:cs="Arial" w:eastAsia="Arial" w:hAnsi="Arial"/>
          <w:sz w:val="17"/>
          <w:szCs w:val="17"/>
          <w:color w:val="auto"/>
        </w:rPr>
      </w:pPr>
    </w:p>
    <w:p>
      <w:pPr>
        <w:ind w:left="1180" w:hanging="223"/>
        <w:spacing w:after="0"/>
        <w:tabs>
          <w:tab w:leader="none" w:pos="11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Cables must be properly secured so that they are self-supporting.</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C-10</w:t>
      </w:r>
    </w:p>
    <w:p>
      <w:pPr>
        <w:sectPr>
          <w:pgSz w:w="11900" w:h="16838" w:orient="portrait"/>
          <w:cols w:equalWidth="0" w:num="1">
            <w:col w:w="10280"/>
          </w:cols>
          <w:pgMar w:left="620" w:top="265" w:right="999" w:bottom="1440" w:gutter="0" w:footer="0" w:header="0"/>
        </w:sectPr>
      </w:pPr>
    </w:p>
    <w:bookmarkStart w:id="466" w:name="page467"/>
    <w:bookmarkEnd w:id="466"/>
    <w:p>
      <w:pPr>
        <w:ind w:left="1160" w:hanging="203"/>
        <w:spacing w:after="0"/>
        <w:tabs>
          <w:tab w:leader="none" w:pos="1160" w:val="left"/>
        </w:tabs>
        <w:numPr>
          <w:ilvl w:val="0"/>
          <w:numId w:val="4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All connections (connectors, splices, etc.) must be located in the tenant’s own space to avoid damage from below.</w:t>
      </w:r>
    </w:p>
    <w:p>
      <w:pPr>
        <w:spacing w:after="0" w:line="140" w:lineRule="exact"/>
        <w:rPr>
          <w:rFonts w:ascii="Arial" w:cs="Arial" w:eastAsia="Arial" w:hAnsi="Arial"/>
          <w:sz w:val="15"/>
          <w:szCs w:val="15"/>
          <w:color w:val="auto"/>
        </w:rPr>
      </w:pPr>
    </w:p>
    <w:p>
      <w:pPr>
        <w:ind w:left="1160" w:hanging="203"/>
        <w:spacing w:after="0"/>
        <w:tabs>
          <w:tab w:leader="none" w:pos="116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Cables must be secured with clamps where they pass through the floor to prevent connections from separating.</w:t>
      </w:r>
    </w:p>
    <w:p>
      <w:pPr>
        <w:spacing w:after="0" w:line="129" w:lineRule="exact"/>
        <w:rPr>
          <w:rFonts w:ascii="Arial" w:cs="Arial" w:eastAsia="Arial" w:hAnsi="Arial"/>
          <w:sz w:val="16"/>
          <w:szCs w:val="16"/>
          <w:color w:val="auto"/>
        </w:rPr>
      </w:pPr>
    </w:p>
    <w:p>
      <w:pPr>
        <w:ind w:left="1180" w:hanging="223"/>
        <w:spacing w:after="0"/>
        <w:tabs>
          <w:tab w:leader="none" w:pos="118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Where feasible, install cables above duct work and other materials in the ceiling.</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1.1 Electrical Work</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1.3.1 All power wiring in Mechanical Rooms, Electric Rooms and Telephone rooms must be in EMT.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1.4 Security System</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1.4.1 Layout</w:t>
      </w:r>
    </w:p>
    <w:p>
      <w:pPr>
        <w:spacing w:after="0" w:line="118" w:lineRule="exact"/>
        <w:rPr>
          <w:sz w:val="20"/>
          <w:szCs w:val="20"/>
          <w:color w:val="auto"/>
        </w:rPr>
      </w:pPr>
    </w:p>
    <w:p>
      <w:pPr>
        <w:ind w:left="420" w:right="1379"/>
        <w:spacing w:after="0" w:line="384" w:lineRule="auto"/>
        <w:rPr>
          <w:sz w:val="20"/>
          <w:szCs w:val="20"/>
          <w:color w:val="auto"/>
        </w:rPr>
      </w:pPr>
      <w:r>
        <w:rPr>
          <w:rFonts w:ascii="Arial" w:cs="Arial" w:eastAsia="Arial" w:hAnsi="Arial"/>
          <w:sz w:val="17"/>
          <w:szCs w:val="17"/>
          <w:color w:val="auto"/>
        </w:rPr>
        <w:t>A layout of the security system wiring must be submitted to the Property Manager for approval prior to installation. 1.4.2 Installation</w:t>
      </w:r>
    </w:p>
    <w:p>
      <w:pPr>
        <w:spacing w:after="0" w:line="1" w:lineRule="exact"/>
        <w:rPr>
          <w:sz w:val="20"/>
          <w:szCs w:val="20"/>
          <w:color w:val="auto"/>
        </w:rPr>
      </w:pPr>
    </w:p>
    <w:p>
      <w:pPr>
        <w:ind w:left="5160" w:right="4339" w:hanging="4203"/>
        <w:spacing w:after="0" w:line="508" w:lineRule="auto"/>
        <w:tabs>
          <w:tab w:leader="none" w:pos="1191"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All wiring for the security system will be tagged every 15’. C-11</w:t>
      </w:r>
    </w:p>
    <w:p>
      <w:pPr>
        <w:sectPr>
          <w:pgSz w:w="11900" w:h="16838" w:orient="portrait"/>
          <w:cols w:equalWidth="0" w:num="1">
            <w:col w:w="9839"/>
          </w:cols>
          <w:pgMar w:left="620" w:top="270" w:right="1440" w:bottom="1440" w:gutter="0" w:footer="0" w:header="0"/>
        </w:sectPr>
      </w:pPr>
    </w:p>
    <w:bookmarkStart w:id="467" w:name="page468"/>
    <w:bookmarkEnd w:id="467"/>
    <w:p>
      <w:pPr>
        <w:jc w:val="center"/>
        <w:ind w:right="-81"/>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C OF EXHIBIT C</w:t>
      </w:r>
    </w:p>
    <w:p>
      <w:pPr>
        <w:spacing w:after="0" w:line="118" w:lineRule="exact"/>
        <w:rPr>
          <w:sz w:val="20"/>
          <w:szCs w:val="20"/>
          <w:color w:val="auto"/>
        </w:rPr>
      </w:pPr>
    </w:p>
    <w:p>
      <w:pPr>
        <w:jc w:val="center"/>
        <w:ind w:right="-81"/>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118" w:lineRule="exact"/>
        <w:rPr>
          <w:sz w:val="20"/>
          <w:szCs w:val="20"/>
          <w:color w:val="auto"/>
        </w:rPr>
      </w:pPr>
    </w:p>
    <w:p>
      <w:pPr>
        <w:jc w:val="center"/>
        <w:ind w:right="-81"/>
        <w:spacing w:after="0"/>
        <w:rPr>
          <w:sz w:val="20"/>
          <w:szCs w:val="20"/>
          <w:color w:val="auto"/>
        </w:rPr>
      </w:pPr>
      <w:r>
        <w:rPr>
          <w:rFonts w:ascii="Arial" w:cs="Arial" w:eastAsia="Arial" w:hAnsi="Arial"/>
          <w:sz w:val="17"/>
          <w:szCs w:val="17"/>
          <w:b w:val="1"/>
          <w:bCs w:val="1"/>
          <w:u w:val="single" w:color="auto"/>
          <w:color w:val="auto"/>
        </w:rPr>
        <w:t>FOR DESIGN AND CONSTRUCTION OF TENANT WORK</w:t>
      </w:r>
    </w:p>
    <w:p>
      <w:pPr>
        <w:spacing w:after="0" w:line="228" w:lineRule="exact"/>
        <w:rPr>
          <w:sz w:val="20"/>
          <w:szCs w:val="20"/>
          <w:color w:val="auto"/>
        </w:rPr>
      </w:pPr>
    </w:p>
    <w:p>
      <w:pPr>
        <w:ind w:left="422" w:right="7280" w:hanging="422"/>
        <w:spacing w:after="0" w:line="512" w:lineRule="auto"/>
        <w:tabs>
          <w:tab w:leader="none" w:pos="17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WELDING AND HEAT CUTTING WORK 1.1 Definition</w:t>
      </w:r>
    </w:p>
    <w:p>
      <w:pPr>
        <w:spacing w:after="0" w:line="1" w:lineRule="exact"/>
        <w:rPr>
          <w:sz w:val="20"/>
          <w:szCs w:val="20"/>
          <w:color w:val="auto"/>
        </w:rPr>
      </w:pPr>
    </w:p>
    <w:p>
      <w:pPr>
        <w:jc w:val="both"/>
        <w:ind w:left="2" w:right="220" w:firstLine="426"/>
        <w:spacing w:after="0" w:line="272" w:lineRule="auto"/>
        <w:rPr>
          <w:sz w:val="20"/>
          <w:szCs w:val="20"/>
          <w:color w:val="auto"/>
        </w:rPr>
      </w:pPr>
      <w:r>
        <w:rPr>
          <w:rFonts w:ascii="Arial" w:cs="Arial" w:eastAsia="Arial" w:hAnsi="Arial"/>
          <w:sz w:val="17"/>
          <w:szCs w:val="17"/>
          <w:color w:val="auto"/>
        </w:rPr>
        <w:t>Welding and heat cutting activities as well as soldering and brazing shall be included in “Special Work” category as defines in Section 5.2(B). They require the tenant to provide the Property Manager with at least forty eight (48) hours’ notice before proceeding and must be performed during periods outside of regular business hours.</w:t>
      </w:r>
    </w:p>
    <w:p>
      <w:pPr>
        <w:spacing w:after="0" w:line="171"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1.2 Permitting</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The Contractor must obtain a permit from the Lexington Fire Department before commencing work.</w:t>
      </w:r>
    </w:p>
    <w:p>
      <w:pPr>
        <w:spacing w:after="0" w:line="222" w:lineRule="exact"/>
        <w:rPr>
          <w:sz w:val="20"/>
          <w:szCs w:val="20"/>
          <w:color w:val="auto"/>
        </w:rPr>
      </w:pPr>
    </w:p>
    <w:p>
      <w:pPr>
        <w:ind w:left="422"/>
        <w:spacing w:after="0"/>
        <w:rPr>
          <w:sz w:val="20"/>
          <w:szCs w:val="20"/>
          <w:color w:val="auto"/>
        </w:rPr>
      </w:pPr>
      <w:r>
        <w:rPr>
          <w:rFonts w:ascii="Arial" w:cs="Arial" w:eastAsia="Arial" w:hAnsi="Arial"/>
          <w:sz w:val="17"/>
          <w:szCs w:val="17"/>
          <w:color w:val="auto"/>
        </w:rPr>
        <w:t>1.3 Precautions</w:t>
      </w:r>
    </w:p>
    <w:p>
      <w:pPr>
        <w:spacing w:after="0" w:line="222" w:lineRule="exact"/>
        <w:rPr>
          <w:sz w:val="20"/>
          <w:szCs w:val="20"/>
          <w:color w:val="auto"/>
        </w:rPr>
      </w:pPr>
    </w:p>
    <w:p>
      <w:pPr>
        <w:ind w:left="2" w:firstLine="426"/>
        <w:spacing w:after="0" w:line="287" w:lineRule="auto"/>
        <w:rPr>
          <w:sz w:val="20"/>
          <w:szCs w:val="20"/>
          <w:color w:val="auto"/>
        </w:rPr>
      </w:pPr>
      <w:r>
        <w:rPr>
          <w:rFonts w:ascii="Arial" w:cs="Arial" w:eastAsia="Arial" w:hAnsi="Arial"/>
          <w:sz w:val="17"/>
          <w:szCs w:val="17"/>
          <w:color w:val="auto"/>
        </w:rPr>
        <w:t>Because welding and other hot work is a fire hazard, the Contractor must observe the following precautions and procedures (when possible, work should be done in a non-combustible area):</w:t>
      </w:r>
    </w:p>
    <w:p>
      <w:pPr>
        <w:spacing w:after="0" w:line="55" w:lineRule="exact"/>
        <w:rPr>
          <w:sz w:val="20"/>
          <w:szCs w:val="20"/>
          <w:color w:val="auto"/>
        </w:rPr>
      </w:pPr>
    </w:p>
    <w:p>
      <w:pPr>
        <w:ind w:left="962" w:right="20" w:hanging="3"/>
        <w:spacing w:after="0" w:line="287" w:lineRule="auto"/>
        <w:tabs>
          <w:tab w:leader="none" w:pos="118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No sprinkler impairments are allowed during “Special Work” and while the fire watch is in place. The sprinkler impairment restriction is for the floor the “Special Work” is taking place on and the floor above and the floor below.</w:t>
      </w:r>
    </w:p>
    <w:p>
      <w:pPr>
        <w:spacing w:after="0" w:line="54" w:lineRule="exact"/>
        <w:rPr>
          <w:rFonts w:ascii="Arial" w:cs="Arial" w:eastAsia="Arial" w:hAnsi="Arial"/>
          <w:sz w:val="17"/>
          <w:szCs w:val="17"/>
          <w:color w:val="auto"/>
        </w:rPr>
      </w:pPr>
    </w:p>
    <w:p>
      <w:pPr>
        <w:ind w:left="962" w:hanging="3"/>
        <w:spacing w:after="0" w:line="287" w:lineRule="auto"/>
        <w:tabs>
          <w:tab w:leader="none" w:pos="117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Smoke Detectors in the work area should be de-activated by the Building Manager for the duration of the work. The Property Manager will re-activate smoke detectors when the work is complete.</w:t>
      </w:r>
    </w:p>
    <w:p>
      <w:pPr>
        <w:spacing w:after="0" w:line="54" w:lineRule="exact"/>
        <w:rPr>
          <w:rFonts w:ascii="Arial" w:cs="Arial" w:eastAsia="Arial" w:hAnsi="Arial"/>
          <w:sz w:val="17"/>
          <w:szCs w:val="17"/>
          <w:color w:val="auto"/>
        </w:rPr>
      </w:pPr>
    </w:p>
    <w:p>
      <w:pPr>
        <w:ind w:left="962" w:right="320" w:hanging="3"/>
        <w:spacing w:after="0" w:line="287" w:lineRule="auto"/>
        <w:tabs>
          <w:tab w:leader="none" w:pos="117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Combustible materials shall be located at least fifty (50) feet from hot work operations and shall be covered with non-combustible materials.</w:t>
      </w:r>
    </w:p>
    <w:p>
      <w:pPr>
        <w:spacing w:after="0" w:line="54" w:lineRule="exact"/>
        <w:rPr>
          <w:rFonts w:ascii="Arial" w:cs="Arial" w:eastAsia="Arial" w:hAnsi="Arial"/>
          <w:sz w:val="17"/>
          <w:szCs w:val="17"/>
          <w:color w:val="auto"/>
        </w:rPr>
      </w:pPr>
    </w:p>
    <w:p>
      <w:pPr>
        <w:ind w:left="1182" w:hanging="223"/>
        <w:spacing w:after="0"/>
        <w:tabs>
          <w:tab w:leader="none" w:pos="1182"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All flammable liquids and other hazards must be removed.</w:t>
      </w:r>
    </w:p>
    <w:p>
      <w:pPr>
        <w:spacing w:after="0" w:line="117" w:lineRule="exact"/>
        <w:rPr>
          <w:rFonts w:ascii="Arial" w:cs="Arial" w:eastAsia="Arial" w:hAnsi="Arial"/>
          <w:sz w:val="17"/>
          <w:szCs w:val="17"/>
          <w:color w:val="auto"/>
        </w:rPr>
      </w:pPr>
    </w:p>
    <w:p>
      <w:pPr>
        <w:ind w:left="1162" w:hanging="203"/>
        <w:spacing w:after="0"/>
        <w:tabs>
          <w:tab w:leader="none" w:pos="1162"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All floor and wall openings must be covered with non-combustible material.</w:t>
      </w:r>
    </w:p>
    <w:p>
      <w:pPr>
        <w:spacing w:after="0" w:line="117" w:lineRule="exact"/>
        <w:rPr>
          <w:rFonts w:ascii="Arial" w:cs="Arial" w:eastAsia="Arial" w:hAnsi="Arial"/>
          <w:sz w:val="17"/>
          <w:szCs w:val="17"/>
          <w:color w:val="auto"/>
        </w:rPr>
      </w:pPr>
    </w:p>
    <w:p>
      <w:pPr>
        <w:ind w:left="1162" w:hanging="203"/>
        <w:spacing w:after="0"/>
        <w:tabs>
          <w:tab w:leader="none" w:pos="1162" w:val="left"/>
        </w:tabs>
        <w:numPr>
          <w:ilvl w:val="0"/>
          <w:numId w:val="419"/>
        </w:numPr>
        <w:rPr>
          <w:rFonts w:ascii="Arial" w:cs="Arial" w:eastAsia="Arial" w:hAnsi="Arial"/>
          <w:sz w:val="17"/>
          <w:szCs w:val="17"/>
          <w:color w:val="auto"/>
        </w:rPr>
      </w:pPr>
      <w:r>
        <w:rPr>
          <w:rFonts w:ascii="Arial" w:cs="Arial" w:eastAsia="Arial" w:hAnsi="Arial"/>
          <w:sz w:val="17"/>
          <w:szCs w:val="17"/>
          <w:color w:val="auto"/>
        </w:rPr>
        <w:t>Containers, tanks, ducts, etc. must be cleaned and purged of flammable vapors, liquids, dusts etc.</w:t>
      </w:r>
    </w:p>
    <w:p>
      <w:pPr>
        <w:spacing w:after="0" w:line="117" w:lineRule="exact"/>
        <w:rPr>
          <w:rFonts w:ascii="Arial" w:cs="Arial" w:eastAsia="Arial" w:hAnsi="Arial"/>
          <w:sz w:val="17"/>
          <w:szCs w:val="17"/>
          <w:color w:val="auto"/>
        </w:rPr>
      </w:pPr>
    </w:p>
    <w:p>
      <w:pPr>
        <w:ind w:left="962" w:right="320" w:hanging="3"/>
        <w:spacing w:after="0" w:line="296" w:lineRule="auto"/>
        <w:tabs>
          <w:tab w:leader="none" w:pos="1189"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 minimum of one multipurpose ABC rated portable fire extinguisher must be provided within ten (10) feet of the work area. The extinguisher should be fully charged and have been properly serviced within the last year. It is the responsibility of the contractor to provide fire extinguishers. Building extinguishers should not be used. A standpipe hose should also be readily available.</w:t>
      </w:r>
    </w:p>
    <w:p>
      <w:pPr>
        <w:spacing w:after="0" w:line="89" w:lineRule="exact"/>
        <w:rPr>
          <w:sz w:val="20"/>
          <w:szCs w:val="20"/>
          <w:color w:val="auto"/>
        </w:rPr>
      </w:pPr>
    </w:p>
    <w:p>
      <w:pPr>
        <w:jc w:val="center"/>
        <w:ind w:right="-81"/>
        <w:spacing w:after="0"/>
        <w:rPr>
          <w:sz w:val="20"/>
          <w:szCs w:val="20"/>
          <w:color w:val="auto"/>
        </w:rPr>
      </w:pPr>
      <w:r>
        <w:rPr>
          <w:rFonts w:ascii="Arial" w:cs="Arial" w:eastAsia="Arial" w:hAnsi="Arial"/>
          <w:sz w:val="17"/>
          <w:szCs w:val="17"/>
          <w:color w:val="auto"/>
        </w:rPr>
        <w:t>C-12</w:t>
      </w:r>
    </w:p>
    <w:p>
      <w:pPr>
        <w:sectPr>
          <w:pgSz w:w="11900" w:h="16838" w:orient="portrait"/>
          <w:cols w:equalWidth="0" w:num="1">
            <w:col w:w="10562"/>
          </w:cols>
          <w:pgMar w:left="618" w:top="264" w:right="719" w:bottom="1440" w:gutter="0" w:footer="0" w:header="0"/>
        </w:sectPr>
      </w:pPr>
    </w:p>
    <w:bookmarkStart w:id="468" w:name="page469"/>
    <w:bookmarkEnd w:id="468"/>
    <w:p>
      <w:pPr>
        <w:ind w:left="140" w:hanging="3"/>
        <w:spacing w:after="0" w:line="324" w:lineRule="auto"/>
        <w:tabs>
          <w:tab w:leader="none" w:pos="367" w:val="left"/>
        </w:tabs>
        <w:numPr>
          <w:ilvl w:val="0"/>
          <w:numId w:val="42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fire watch should be maintained on the floor levels where the work was conducted plus the next two floors below for at least one hour after welding or burning has ceased. The fire watch shall consist of a member of the Lexington Fire Department. If there is a chance that slag could enter into a utility or elevator shaft, then the fire watch should cover the base of the shaft as well as the intermediate floors.</w:t>
      </w:r>
    </w:p>
    <w:p>
      <w:pPr>
        <w:spacing w:after="0" w:line="32" w:lineRule="exact"/>
        <w:rPr>
          <w:rFonts w:ascii="Arial" w:cs="Arial" w:eastAsia="Arial" w:hAnsi="Arial"/>
          <w:sz w:val="15"/>
          <w:szCs w:val="15"/>
          <w:color w:val="auto"/>
        </w:rPr>
      </w:pPr>
    </w:p>
    <w:p>
      <w:pPr>
        <w:ind w:left="300" w:hanging="163"/>
        <w:spacing w:after="0"/>
        <w:tabs>
          <w:tab w:leader="none" w:pos="30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If determined, a member of the Lexington Fire Department shall be on site, at Tenant cost, for any “Special Work”.</w:t>
      </w:r>
    </w:p>
    <w:p>
      <w:pPr>
        <w:spacing w:after="0" w:line="15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C-13</w:t>
      </w:r>
    </w:p>
    <w:p>
      <w:pPr>
        <w:sectPr>
          <w:pgSz w:w="11900" w:h="16838" w:orient="portrait"/>
          <w:cols w:equalWidth="0" w:num="1">
            <w:col w:w="9760"/>
          </w:cols>
          <w:pgMar w:left="1440" w:top="270" w:right="699" w:bottom="1440" w:gutter="0" w:footer="0" w:header="0"/>
        </w:sectPr>
      </w:pPr>
    </w:p>
    <w:bookmarkStart w:id="469" w:name="page470"/>
    <w:bookmarkEnd w:id="469"/>
    <w:p>
      <w:pPr>
        <w:jc w:val="center"/>
        <w:ind w:right="-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Tenant Work Insurance Schedule</w:t>
      </w:r>
    </w:p>
    <w:p>
      <w:pPr>
        <w:spacing w:after="0" w:line="222" w:lineRule="exact"/>
        <w:rPr>
          <w:sz w:val="20"/>
          <w:szCs w:val="20"/>
          <w:color w:val="auto"/>
        </w:rPr>
      </w:pPr>
    </w:p>
    <w:p>
      <w:pPr>
        <w:ind w:right="180" w:firstLine="426"/>
        <w:spacing w:after="0" w:line="272" w:lineRule="auto"/>
        <w:rPr>
          <w:sz w:val="20"/>
          <w:szCs w:val="20"/>
          <w:color w:val="auto"/>
        </w:rPr>
      </w:pPr>
      <w:r>
        <w:rPr>
          <w:rFonts w:ascii="Arial" w:cs="Arial" w:eastAsia="Arial" w:hAnsi="Arial"/>
          <w:sz w:val="17"/>
          <w:szCs w:val="17"/>
          <w:color w:val="auto"/>
        </w:rPr>
        <w:t>Tenant shall, at its own expense, maintain and keep in force, or cause to be maintained and kept in force by any general contractors, sub-contractors or other third party entities where required by contract, throughout any period of alterations to the Premises or the Building by Tenant, the following insurance coverages:</w:t>
      </w:r>
    </w:p>
    <w:p>
      <w:pPr>
        <w:spacing w:after="0" w:line="66" w:lineRule="exact"/>
        <w:rPr>
          <w:sz w:val="20"/>
          <w:szCs w:val="20"/>
          <w:color w:val="auto"/>
        </w:rPr>
      </w:pPr>
    </w:p>
    <w:p>
      <w:pPr>
        <w:ind w:firstLine="424"/>
        <w:spacing w:after="0" w:line="261" w:lineRule="auto"/>
        <w:tabs>
          <w:tab w:leader="none" w:pos="672"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Property Insurance</w:t>
      </w:r>
      <w:r>
        <w:rPr>
          <w:rFonts w:ascii="Arial" w:cs="Arial" w:eastAsia="Arial" w:hAnsi="Arial"/>
          <w:sz w:val="17"/>
          <w:szCs w:val="17"/>
          <w:color w:val="auto"/>
        </w:rPr>
        <w:t>. “All-Risk” or “Special” Form property insurance, and/or Builders Risk coverage for major renovation projects, including, without limitation, coverage for fire, earthquake and flood; boiler and machinery (if applicable); sprinkler damage; vandalism; malicious mischief coverage on all equipment, furniture, fixtures, fittings, tenants work, improvements and betterments, business income, extra expense, merchandise, inventory/stock, contents, and personal property located on or in the Premises. Such insurance shall be in an amount equal to the full replacement cost of the aggregate of the foregoing and shall provide coverage comparable to the coverage in the standard ISO “All-Risk” or “Special” form, when such coverage is supplemented with the coverages required above. Property policy shall also include coverage for Plate Glass, where required by written contract.</w:t>
      </w:r>
    </w:p>
    <w:p>
      <w:pPr>
        <w:spacing w:after="0" w:line="183" w:lineRule="exact"/>
        <w:rPr>
          <w:sz w:val="20"/>
          <w:szCs w:val="20"/>
          <w:color w:val="auto"/>
        </w:rPr>
      </w:pPr>
    </w:p>
    <w:p>
      <w:pPr>
        <w:ind w:right="80" w:firstLine="426"/>
        <w:spacing w:after="0" w:line="287" w:lineRule="auto"/>
        <w:rPr>
          <w:sz w:val="20"/>
          <w:szCs w:val="20"/>
          <w:color w:val="auto"/>
        </w:rPr>
      </w:pPr>
      <w:r>
        <w:rPr>
          <w:rFonts w:ascii="Arial" w:cs="Arial" w:eastAsia="Arial" w:hAnsi="Arial"/>
          <w:sz w:val="17"/>
          <w:szCs w:val="17"/>
          <w:color w:val="auto"/>
        </w:rPr>
        <w:t>Builders Risk insurance coverage may be provided by the general contractor on a blanket builders risk policy with limits adequate for the project, and evidencing the additional insureds as required in the Lease.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General Liability, Umbrella/Excess Liability, Workers Compensation and Auto Liability coverage as follows:</w:t>
      </w:r>
    </w:p>
    <w:p>
      <w:pPr>
        <w:spacing w:after="0" w:line="248" w:lineRule="exact"/>
        <w:rPr>
          <w:sz w:val="20"/>
          <w:szCs w:val="20"/>
          <w:color w:val="auto"/>
        </w:rPr>
      </w:pPr>
    </w:p>
    <w:p>
      <w:pPr>
        <w:ind w:left="1000"/>
        <w:spacing w:after="0"/>
        <w:tabs>
          <w:tab w:leader="none" w:pos="2860" w:val="left"/>
        </w:tabs>
        <w:rPr>
          <w:sz w:val="20"/>
          <w:szCs w:val="20"/>
          <w:color w:val="auto"/>
        </w:rPr>
      </w:pPr>
      <w:r>
        <w:rPr>
          <w:rFonts w:ascii="Arial" w:cs="Arial" w:eastAsia="Arial" w:hAnsi="Arial"/>
          <w:sz w:val="17"/>
          <w:szCs w:val="17"/>
          <w:color w:val="auto"/>
        </w:rPr>
        <w:t>(a) General Liability</w:t>
      </w:r>
      <w:r>
        <w:rPr>
          <w:sz w:val="20"/>
          <w:szCs w:val="20"/>
          <w:color w:val="auto"/>
        </w:rPr>
        <w:tab/>
      </w:r>
      <w:r>
        <w:rPr>
          <w:rFonts w:ascii="Arial" w:cs="Arial" w:eastAsia="Arial" w:hAnsi="Arial"/>
          <w:sz w:val="15"/>
          <w:szCs w:val="15"/>
          <w:color w:val="auto"/>
        </w:rPr>
        <w:t>$1,000,000 per occurrence</w:t>
      </w:r>
    </w:p>
    <w:p>
      <w:pPr>
        <w:spacing w:after="0" w:line="118"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$1,000,000 personal &amp; advertising injury</w:t>
      </w:r>
    </w:p>
    <w:p>
      <w:pPr>
        <w:spacing w:after="0" w:line="118"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$2,000,000 products/completed operations aggregate</w:t>
      </w:r>
    </w:p>
    <w:p>
      <w:pPr>
        <w:spacing w:after="0" w:line="118"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$2,000,000 general aggregate</w:t>
      </w:r>
    </w:p>
    <w:p>
      <w:pPr>
        <w:spacing w:after="0" w:line="222" w:lineRule="exact"/>
        <w:rPr>
          <w:sz w:val="20"/>
          <w:szCs w:val="20"/>
          <w:color w:val="auto"/>
        </w:rPr>
      </w:pPr>
    </w:p>
    <w:p>
      <w:pPr>
        <w:ind w:right="60" w:firstLine="426"/>
        <w:spacing w:after="0" w:line="264" w:lineRule="auto"/>
        <w:rPr>
          <w:sz w:val="20"/>
          <w:szCs w:val="20"/>
          <w:color w:val="auto"/>
        </w:rPr>
      </w:pPr>
      <w:r>
        <w:rPr>
          <w:rFonts w:ascii="Arial" w:cs="Arial" w:eastAsia="Arial" w:hAnsi="Arial"/>
          <w:sz w:val="17"/>
          <w:szCs w:val="17"/>
          <w:color w:val="auto"/>
        </w:rPr>
        <w:t>The General Contractor is required to maintain, during the construction period and up to 3 years after project completion, a General Liability insurance policy, covering bodily injury, personal injury, property damage, completed operations, with limits to include a $1,000,000 limit for blanket contractual liability coverage and adding Landlord as additional insured as respects the project during construction and for completed operations up to 3 years after the end of the project. Landlord requires a copy of the ISO 20 10 11 85 Additional Insured endorsement, showing Landlord as an additional insured to the GC’s policy.</w:t>
      </w:r>
    </w:p>
    <w:p>
      <w:pPr>
        <w:spacing w:after="0" w:line="178" w:lineRule="exact"/>
        <w:rPr>
          <w:sz w:val="20"/>
          <w:szCs w:val="20"/>
          <w:color w:val="auto"/>
        </w:rPr>
      </w:pPr>
    </w:p>
    <w:p>
      <w:pPr>
        <w:ind w:left="5180" w:right="480" w:hanging="4223"/>
        <w:spacing w:after="0" w:line="464" w:lineRule="auto"/>
        <w:tabs>
          <w:tab w:leader="none" w:pos="1194" w:val="left"/>
        </w:tabs>
        <w:numPr>
          <w:ilvl w:val="0"/>
          <w:numId w:val="422"/>
        </w:numPr>
        <w:rPr>
          <w:rFonts w:ascii="Arial" w:cs="Arial" w:eastAsia="Arial" w:hAnsi="Arial"/>
          <w:sz w:val="17"/>
          <w:szCs w:val="17"/>
          <w:color w:val="auto"/>
        </w:rPr>
      </w:pPr>
      <w:r>
        <w:rPr>
          <w:rFonts w:ascii="Arial" w:cs="Arial" w:eastAsia="Arial" w:hAnsi="Arial"/>
          <w:sz w:val="17"/>
          <w:szCs w:val="17"/>
          <w:color w:val="auto"/>
        </w:rPr>
        <w:t>Auto Liability $1,000,000 combined single limit (Any Auto) for bodily injury and property damage, hired and non-owned cover. D-1</w:t>
      </w:r>
    </w:p>
    <w:p>
      <w:pPr>
        <w:sectPr>
          <w:pgSz w:w="11900" w:h="16838" w:orient="portrait"/>
          <w:cols w:equalWidth="0" w:num="1">
            <w:col w:w="10640"/>
          </w:cols>
          <w:pgMar w:left="620" w:top="270" w:right="639" w:bottom="1440" w:gutter="0" w:footer="0" w:header="0"/>
        </w:sectPr>
      </w:pPr>
    </w:p>
    <w:bookmarkStart w:id="470" w:name="page471"/>
    <w:bookmarkEnd w:id="470"/>
    <w:tbl>
      <w:tblPr>
        <w:tblLayout w:type="fixed"/>
        <w:tblInd w:w="106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Arial" w:cs="Arial" w:eastAsia="Arial" w:hAnsi="Arial"/>
                <w:sz w:val="17"/>
                <w:szCs w:val="17"/>
                <w:color w:val="auto"/>
              </w:rPr>
              <w:t>(c) Workers Compensation</w:t>
            </w:r>
          </w:p>
        </w:tc>
        <w:tc>
          <w:tcPr>
            <w:tcW w:w="2040" w:type="dxa"/>
            <w:vAlign w:val="bottom"/>
          </w:tcPr>
          <w:p>
            <w:pPr>
              <w:ind w:left="180"/>
              <w:spacing w:after="0"/>
              <w:rPr>
                <w:sz w:val="20"/>
                <w:szCs w:val="20"/>
                <w:color w:val="auto"/>
              </w:rPr>
            </w:pPr>
            <w:r>
              <w:rPr>
                <w:rFonts w:ascii="Arial" w:cs="Arial" w:eastAsia="Arial" w:hAnsi="Arial"/>
                <w:sz w:val="17"/>
                <w:szCs w:val="17"/>
                <w:color w:val="auto"/>
              </w:rPr>
              <w:t>Statutory Limits</w:t>
            </w:r>
          </w:p>
        </w:tc>
      </w:tr>
      <w:tr>
        <w:trPr>
          <w:trHeight w:val="313"/>
        </w:trPr>
        <w:tc>
          <w:tcPr>
            <w:tcW w:w="2060" w:type="dxa"/>
            <w:vAlign w:val="bottom"/>
          </w:tcPr>
          <w:p>
            <w:pPr>
              <w:ind w:left="260"/>
              <w:spacing w:after="0"/>
              <w:rPr>
                <w:sz w:val="20"/>
                <w:szCs w:val="20"/>
                <w:color w:val="auto"/>
              </w:rPr>
            </w:pPr>
            <w:r>
              <w:rPr>
                <w:rFonts w:ascii="Arial" w:cs="Arial" w:eastAsia="Arial" w:hAnsi="Arial"/>
                <w:sz w:val="17"/>
                <w:szCs w:val="17"/>
                <w:color w:val="auto"/>
              </w:rPr>
              <w:t>Employers Liability</w:t>
            </w:r>
          </w:p>
        </w:tc>
        <w:tc>
          <w:tcPr>
            <w:tcW w:w="2040" w:type="dxa"/>
            <w:vAlign w:val="bottom"/>
          </w:tcPr>
          <w:p>
            <w:pPr>
              <w:ind w:left="180"/>
              <w:spacing w:after="0"/>
              <w:rPr>
                <w:sz w:val="20"/>
                <w:szCs w:val="20"/>
                <w:color w:val="auto"/>
              </w:rPr>
            </w:pPr>
            <w:r>
              <w:rPr>
                <w:rFonts w:ascii="Arial" w:cs="Arial" w:eastAsia="Arial" w:hAnsi="Arial"/>
                <w:sz w:val="17"/>
                <w:szCs w:val="17"/>
                <w:color w:val="auto"/>
                <w:w w:val="94"/>
              </w:rPr>
              <w:t>$1,000,000 each accident</w:t>
            </w:r>
          </w:p>
        </w:tc>
      </w:tr>
      <w:tr>
        <w:trPr>
          <w:trHeight w:val="313"/>
        </w:trPr>
        <w:tc>
          <w:tcPr>
            <w:tcW w:w="2060" w:type="dxa"/>
            <w:vAlign w:val="bottom"/>
          </w:tcPr>
          <w:p>
            <w:pPr>
              <w:spacing w:after="0"/>
              <w:rPr>
                <w:sz w:val="24"/>
                <w:szCs w:val="24"/>
                <w:color w:val="auto"/>
              </w:rPr>
            </w:pPr>
          </w:p>
        </w:tc>
        <w:tc>
          <w:tcPr>
            <w:tcW w:w="2040" w:type="dxa"/>
            <w:vAlign w:val="bottom"/>
          </w:tcPr>
          <w:p>
            <w:pPr>
              <w:ind w:left="180"/>
              <w:spacing w:after="0"/>
              <w:rPr>
                <w:sz w:val="20"/>
                <w:szCs w:val="20"/>
                <w:color w:val="auto"/>
              </w:rPr>
            </w:pPr>
            <w:r>
              <w:rPr>
                <w:rFonts w:ascii="Arial" w:cs="Arial" w:eastAsia="Arial" w:hAnsi="Arial"/>
                <w:sz w:val="17"/>
                <w:szCs w:val="17"/>
                <w:color w:val="auto"/>
                <w:w w:val="89"/>
              </w:rPr>
              <w:t>$1,000,000 each employee</w:t>
            </w:r>
          </w:p>
        </w:tc>
      </w:tr>
      <w:tr>
        <w:trPr>
          <w:trHeight w:val="313"/>
        </w:trPr>
        <w:tc>
          <w:tcPr>
            <w:tcW w:w="2060" w:type="dxa"/>
            <w:vAlign w:val="bottom"/>
          </w:tcPr>
          <w:p>
            <w:pPr>
              <w:spacing w:after="0"/>
              <w:rPr>
                <w:sz w:val="24"/>
                <w:szCs w:val="24"/>
                <w:color w:val="auto"/>
              </w:rPr>
            </w:pPr>
          </w:p>
        </w:tc>
        <w:tc>
          <w:tcPr>
            <w:tcW w:w="2040" w:type="dxa"/>
            <w:vAlign w:val="bottom"/>
          </w:tcPr>
          <w:p>
            <w:pPr>
              <w:ind w:left="180"/>
              <w:spacing w:after="0"/>
              <w:rPr>
                <w:sz w:val="20"/>
                <w:szCs w:val="20"/>
                <w:color w:val="auto"/>
              </w:rPr>
            </w:pPr>
            <w:r>
              <w:rPr>
                <w:rFonts w:ascii="Arial" w:cs="Arial" w:eastAsia="Arial" w:hAnsi="Arial"/>
                <w:sz w:val="17"/>
                <w:szCs w:val="17"/>
                <w:color w:val="auto"/>
              </w:rPr>
              <w:t>$1,000,000 policy limit</w:t>
            </w: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8675" cy="36830"/>
                    </a:xfrm>
                    <a:prstGeom prst="rect">
                      <a:avLst/>
                    </a:prstGeom>
                    <a:noFill/>
                  </pic:spPr>
                </pic:pic>
              </a:graphicData>
            </a:graphic>
          </wp:anchor>
        </w:drawing>
      </w:r>
    </w:p>
    <w:p>
      <w:pPr>
        <w:ind w:right="60" w:firstLine="426"/>
        <w:spacing w:after="0" w:line="287" w:lineRule="auto"/>
        <w:rPr>
          <w:sz w:val="20"/>
          <w:szCs w:val="20"/>
          <w:color w:val="auto"/>
        </w:rPr>
      </w:pPr>
      <w:r>
        <w:rPr>
          <w:rFonts w:ascii="Arial" w:cs="Arial" w:eastAsia="Arial" w:hAnsi="Arial"/>
          <w:sz w:val="17"/>
          <w:szCs w:val="17"/>
          <w:color w:val="auto"/>
        </w:rPr>
        <w:t>General Contractor shall ensure that any and all sub-contractors shall maintain equal limits of coverage for Workers Compensation/EL and collect insurance certificates verifying same.</w:t>
      </w:r>
    </w:p>
    <w:p>
      <w:pPr>
        <w:spacing w:after="0" w:line="185" w:lineRule="exact"/>
        <w:rPr>
          <w:sz w:val="20"/>
          <w:szCs w:val="20"/>
          <w:color w:val="auto"/>
        </w:rPr>
      </w:pPr>
    </w:p>
    <w:p>
      <w:pPr>
        <w:ind w:left="1000"/>
        <w:spacing w:after="0"/>
        <w:tabs>
          <w:tab w:leader="none" w:pos="3600" w:val="left"/>
        </w:tabs>
        <w:rPr>
          <w:sz w:val="20"/>
          <w:szCs w:val="20"/>
          <w:color w:val="auto"/>
        </w:rPr>
      </w:pPr>
      <w:r>
        <w:rPr>
          <w:rFonts w:ascii="Arial" w:cs="Arial" w:eastAsia="Arial" w:hAnsi="Arial"/>
          <w:sz w:val="17"/>
          <w:szCs w:val="17"/>
          <w:color w:val="auto"/>
        </w:rPr>
        <w:t>(d) Umbrella/Excess Liability</w:t>
      </w:r>
      <w:r>
        <w:rPr>
          <w:sz w:val="20"/>
          <w:szCs w:val="20"/>
          <w:color w:val="auto"/>
        </w:rPr>
        <w:tab/>
      </w:r>
      <w:r>
        <w:rPr>
          <w:rFonts w:ascii="Arial" w:cs="Arial" w:eastAsia="Arial" w:hAnsi="Arial"/>
          <w:sz w:val="15"/>
          <w:szCs w:val="15"/>
          <w:color w:val="auto"/>
        </w:rPr>
        <w:t>$3,000,000 per occurrence</w:t>
      </w:r>
    </w:p>
    <w:p>
      <w:pPr>
        <w:spacing w:after="0" w:line="118"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$3,000,000 aggregate</w:t>
      </w:r>
    </w:p>
    <w:p>
      <w:pPr>
        <w:spacing w:after="0" w:line="222" w:lineRule="exact"/>
        <w:rPr>
          <w:sz w:val="20"/>
          <w:szCs w:val="20"/>
          <w:color w:val="auto"/>
        </w:rPr>
      </w:pPr>
    </w:p>
    <w:p>
      <w:pPr>
        <w:ind w:firstLine="957"/>
        <w:spacing w:after="0" w:line="266" w:lineRule="auto"/>
        <w:tabs>
          <w:tab w:leader="none" w:pos="1195" w:val="left"/>
        </w:tabs>
        <w:numPr>
          <w:ilvl w:val="1"/>
          <w:numId w:val="423"/>
        </w:numPr>
        <w:rPr>
          <w:rFonts w:ascii="Arial" w:cs="Arial" w:eastAsia="Arial" w:hAnsi="Arial"/>
          <w:sz w:val="17"/>
          <w:szCs w:val="17"/>
          <w:color w:val="auto"/>
        </w:rPr>
      </w:pPr>
      <w:r>
        <w:rPr>
          <w:rFonts w:ascii="Arial" w:cs="Arial" w:eastAsia="Arial" w:hAnsi="Arial"/>
          <w:sz w:val="17"/>
          <w:szCs w:val="17"/>
          <w:color w:val="auto"/>
        </w:rPr>
        <w:t>Environmental Insurance – To the extent required by Landlord Contractors’ commercial general liability/umbrella insurance policy(ies) shall include Landlord and Landlord’s designees as additional insureds’, and shall include a primary non-contributory provision. Liability policy shall contain a clause that the insurer may not cancel or materially change coverage without first giving Landlord thirty (30) days prior written notice, except cancellation for non-payment of premium, in which ten (10) days prior written notice shall be required.</w:t>
      </w:r>
    </w:p>
    <w:p>
      <w:pPr>
        <w:spacing w:after="0" w:line="177" w:lineRule="exact"/>
        <w:rPr>
          <w:rFonts w:ascii="Arial" w:cs="Arial" w:eastAsia="Arial" w:hAnsi="Arial"/>
          <w:sz w:val="17"/>
          <w:szCs w:val="17"/>
          <w:color w:val="auto"/>
        </w:rPr>
      </w:pPr>
    </w:p>
    <w:p>
      <w:pPr>
        <w:ind w:right="220" w:firstLine="424"/>
        <w:spacing w:after="0" w:line="287" w:lineRule="auto"/>
        <w:tabs>
          <w:tab w:leader="none" w:pos="672" w:val="left"/>
        </w:tabs>
        <w:numPr>
          <w:ilvl w:val="0"/>
          <w:numId w:val="424"/>
        </w:numPr>
        <w:rPr>
          <w:rFonts w:ascii="Arial" w:cs="Arial" w:eastAsia="Arial" w:hAnsi="Arial"/>
          <w:sz w:val="17"/>
          <w:szCs w:val="17"/>
          <w:color w:val="auto"/>
        </w:rPr>
      </w:pPr>
      <w:r>
        <w:rPr>
          <w:rFonts w:ascii="Arial" w:cs="Arial" w:eastAsia="Arial" w:hAnsi="Arial"/>
          <w:sz w:val="17"/>
          <w:szCs w:val="17"/>
          <w:color w:val="auto"/>
        </w:rPr>
        <w:t>Deductibles. If any of the above insurances have deductibles or self-insured retentions, the Tenant and/or contractor (policy Named Insured) shall be responsible for the deductible amount.</w:t>
      </w:r>
    </w:p>
    <w:p>
      <w:pPr>
        <w:spacing w:after="0" w:line="159" w:lineRule="exact"/>
        <w:rPr>
          <w:sz w:val="20"/>
          <w:szCs w:val="20"/>
          <w:color w:val="auto"/>
        </w:rPr>
      </w:pPr>
    </w:p>
    <w:p>
      <w:pPr>
        <w:ind w:right="40" w:firstLine="426"/>
        <w:spacing w:after="0" w:line="264" w:lineRule="auto"/>
        <w:rPr>
          <w:sz w:val="20"/>
          <w:szCs w:val="20"/>
          <w:color w:val="auto"/>
        </w:rPr>
      </w:pPr>
      <w:r>
        <w:rPr>
          <w:rFonts w:ascii="Arial" w:cs="Arial" w:eastAsia="Arial" w:hAnsi="Arial"/>
          <w:sz w:val="17"/>
          <w:szCs w:val="17"/>
          <w:color w:val="auto"/>
        </w:rPr>
        <w:t>All of the insurance policies required in this Exhibit D shall be written by insurance companies which are licensed to do business in the State where the property is located, or obtained through a duly authorized surplus lines insurance agent or otherwise in conformity with the laws of such state, with an A.M. Best rating of at least A and a financial size category of not less than VII. Tenant shall provide Landlord with certificates of insurance upon request, prior to commencement of the Tenant/contractor work, or within thirty (30) days of coverage inception and subsequent renewals or rewrites/replacements of any cancelled/non-renewed policies.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w:t>
      </w:r>
    </w:p>
    <w:p>
      <w:pPr>
        <w:sectPr>
          <w:pgSz w:w="11900" w:h="16838" w:orient="portrait"/>
          <w:cols w:equalWidth="0" w:num="1">
            <w:col w:w="10640"/>
          </w:cols>
          <w:pgMar w:left="620" w:top="270" w:right="639"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Plans and Specifications for Initial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180340</wp:posOffset>
            </wp:positionV>
            <wp:extent cx="5048250" cy="37382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048250" cy="373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9019"/>
          </w:cols>
          <w:pgMar w:left="1440" w:top="270" w:right="1440"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E-1</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Vivarium Plans and Specifications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[To be attached to Lease once completed but not later than March 30, 2017]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E-2</w:t>
      </w:r>
    </w:p>
    <w:p>
      <w:pPr>
        <w:sectPr>
          <w:pgSz w:w="11900" w:h="16838" w:orient="portrait"/>
          <w:cols w:equalWidth="0" w:num="1">
            <w:col w:w="9019"/>
          </w:cols>
          <w:pgMar w:left="1440" w:top="270" w:right="1440" w:bottom="1440" w:gutter="0" w:footer="0" w:header="0"/>
        </w:sectPr>
      </w:pPr>
    </w:p>
    <w:bookmarkStart w:id="473" w:name="page474"/>
    <w:bookmarkEnd w:id="473"/>
    <w:p>
      <w:pPr>
        <w:jc w:val="center"/>
        <w:ind w:right="-19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F</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Construction Documents</w:t>
      </w:r>
    </w:p>
    <w:p>
      <w:pPr>
        <w:spacing w:after="0" w:line="222" w:lineRule="exact"/>
        <w:rPr>
          <w:sz w:val="20"/>
          <w:szCs w:val="20"/>
          <w:color w:val="auto"/>
        </w:rPr>
      </w:pPr>
    </w:p>
    <w:p>
      <w:pPr>
        <w:ind w:firstLine="424"/>
        <w:spacing w:after="0" w:line="282" w:lineRule="auto"/>
        <w:tabs>
          <w:tab w:leader="none" w:pos="600"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Preparation of Construction Documents</w:t>
      </w:r>
      <w:r>
        <w:rPr>
          <w:rFonts w:ascii="Arial" w:cs="Arial" w:eastAsia="Arial" w:hAnsi="Arial"/>
          <w:sz w:val="16"/>
          <w:szCs w:val="16"/>
          <w:color w:val="auto"/>
        </w:rPr>
        <w:t>. The Construction Documents shall include all architectural, mechanical, electrical and structural drawings and detailed specifications for the Tenant Work and shall show all work necessary to complete the Tenant Work including all cutting, fitting, and patching and all connections to the mechanical and electrical systems and components of the Building. Tenants leasing partial floors shall design entrances, doors and any other elements which visually integrate with the elevator lobbies and common areas in a manner and with materials and finishes which are compatible with the common area finishes for such floor. Landlord reserves the right to reject Construction Documents which in its reasonable opinion fail to comply with this provision. The Construction Documents shall include:</w:t>
      </w:r>
    </w:p>
    <w:p>
      <w:pPr>
        <w:spacing w:after="0" w:line="164" w:lineRule="exact"/>
        <w:rPr>
          <w:rFonts w:ascii="Arial" w:cs="Arial" w:eastAsia="Arial" w:hAnsi="Arial"/>
          <w:sz w:val="16"/>
          <w:szCs w:val="16"/>
          <w:color w:val="auto"/>
        </w:rPr>
      </w:pPr>
    </w:p>
    <w:p>
      <w:pPr>
        <w:ind w:left="1200" w:hanging="243"/>
        <w:spacing w:after="0"/>
        <w:tabs>
          <w:tab w:leader="none" w:pos="120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Major Work Information: A list of any items or matters which might require structural modifications to the Building, including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105" w:lineRule="exact"/>
        <w:rPr>
          <w:rFonts w:ascii="Arial" w:cs="Arial" w:eastAsia="Arial" w:hAnsi="Arial"/>
          <w:sz w:val="16"/>
          <w:szCs w:val="16"/>
          <w:color w:val="auto"/>
        </w:rPr>
      </w:pPr>
    </w:p>
    <w:p>
      <w:pPr>
        <w:ind w:left="1600" w:hanging="217"/>
        <w:spacing w:after="0"/>
        <w:tabs>
          <w:tab w:leader="none" w:pos="160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Location and details of special floor areas exceeding 150 pounds of live load per square foot;</w:t>
      </w:r>
    </w:p>
    <w:p>
      <w:pPr>
        <w:spacing w:after="0" w:line="117" w:lineRule="exact"/>
        <w:rPr>
          <w:rFonts w:ascii="Arial" w:cs="Arial" w:eastAsia="Arial" w:hAnsi="Arial"/>
          <w:sz w:val="17"/>
          <w:szCs w:val="17"/>
          <w:color w:val="auto"/>
        </w:rPr>
      </w:pPr>
    </w:p>
    <w:p>
      <w:pPr>
        <w:ind w:left="1640" w:hanging="257"/>
        <w:spacing w:after="0"/>
        <w:tabs>
          <w:tab w:leader="none" w:pos="164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Location and weights of storage files, batteries, HVAC units and technical areas;</w:t>
      </w:r>
    </w:p>
    <w:p>
      <w:pPr>
        <w:spacing w:after="0" w:line="117" w:lineRule="exact"/>
        <w:rPr>
          <w:rFonts w:ascii="Arial" w:cs="Arial" w:eastAsia="Arial" w:hAnsi="Arial"/>
          <w:sz w:val="17"/>
          <w:szCs w:val="17"/>
          <w:color w:val="auto"/>
        </w:rPr>
      </w:pPr>
    </w:p>
    <w:p>
      <w:pPr>
        <w:ind w:left="1680" w:hanging="297"/>
        <w:spacing w:after="0"/>
        <w:tabs>
          <w:tab w:leader="none" w:pos="168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Location of any special soundproofing requirements;</w:t>
      </w:r>
    </w:p>
    <w:p>
      <w:pPr>
        <w:spacing w:after="0" w:line="117" w:lineRule="exact"/>
        <w:rPr>
          <w:rFonts w:ascii="Arial" w:cs="Arial" w:eastAsia="Arial" w:hAnsi="Arial"/>
          <w:sz w:val="17"/>
          <w:szCs w:val="17"/>
          <w:color w:val="auto"/>
        </w:rPr>
      </w:pPr>
    </w:p>
    <w:p>
      <w:pPr>
        <w:ind w:left="1680" w:hanging="297"/>
        <w:spacing w:after="0"/>
        <w:tabs>
          <w:tab w:leader="none" w:pos="168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Existence of any extraordinary HVAC requirements necessitating perforation of structural members; and</w:t>
      </w:r>
    </w:p>
    <w:p>
      <w:pPr>
        <w:spacing w:after="0" w:line="117" w:lineRule="exact"/>
        <w:rPr>
          <w:rFonts w:ascii="Arial" w:cs="Arial" w:eastAsia="Arial" w:hAnsi="Arial"/>
          <w:sz w:val="17"/>
          <w:szCs w:val="17"/>
          <w:color w:val="auto"/>
        </w:rPr>
      </w:pPr>
    </w:p>
    <w:p>
      <w:pPr>
        <w:ind w:left="1620" w:hanging="237"/>
        <w:spacing w:after="0"/>
        <w:tabs>
          <w:tab w:leader="none" w:pos="162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Existence of any requirements for heavy loads, dunnage or other items affecting the structure.</w:t>
      </w:r>
    </w:p>
    <w:p>
      <w:pPr>
        <w:spacing w:after="0" w:line="222" w:lineRule="exact"/>
        <w:rPr>
          <w:rFonts w:ascii="Arial" w:cs="Arial" w:eastAsia="Arial" w:hAnsi="Arial"/>
          <w:sz w:val="17"/>
          <w:szCs w:val="17"/>
          <w:color w:val="auto"/>
        </w:rPr>
      </w:pPr>
    </w:p>
    <w:p>
      <w:pPr>
        <w:ind w:right="160" w:firstLine="957"/>
        <w:spacing w:after="0" w:line="287" w:lineRule="auto"/>
        <w:tabs>
          <w:tab w:leader="none" w:pos="1205" w:val="left"/>
        </w:tabs>
        <w:numPr>
          <w:ilvl w:val="1"/>
          <w:numId w:val="425"/>
        </w:numPr>
        <w:rPr>
          <w:rFonts w:ascii="Arial" w:cs="Arial" w:eastAsia="Arial" w:hAnsi="Arial"/>
          <w:sz w:val="17"/>
          <w:szCs w:val="17"/>
          <w:color w:val="auto"/>
        </w:rPr>
      </w:pPr>
      <w:r>
        <w:rPr>
          <w:rFonts w:ascii="Arial" w:cs="Arial" w:eastAsia="Arial" w:hAnsi="Arial"/>
          <w:sz w:val="17"/>
          <w:szCs w:val="17"/>
          <w:color w:val="auto"/>
        </w:rPr>
        <w:t>Plans Submission: Two (2) blackline drawings and one (1) CAD disk showing all architectural, mechanical and electrical systems, including cutsheets, specifications and the following:</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CONSTRUCTION PLANS:</w:t>
      </w:r>
    </w:p>
    <w:p>
      <w:pPr>
        <w:spacing w:after="0" w:line="118" w:lineRule="exact"/>
        <w:rPr>
          <w:sz w:val="20"/>
          <w:szCs w:val="20"/>
          <w:color w:val="auto"/>
        </w:rPr>
      </w:pPr>
    </w:p>
    <w:p>
      <w:pPr>
        <w:ind w:left="1620" w:hanging="237"/>
        <w:spacing w:after="0"/>
        <w:tabs>
          <w:tab w:leader="none" w:pos="162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All partitions shall be shown; indicate ratings of all partitions; indicate all non-standard construction and details referenced;</w:t>
      </w:r>
    </w:p>
    <w:p>
      <w:pPr>
        <w:spacing w:after="0" w:line="129" w:lineRule="exact"/>
        <w:rPr>
          <w:rFonts w:ascii="Arial" w:cs="Arial" w:eastAsia="Arial" w:hAnsi="Arial"/>
          <w:sz w:val="16"/>
          <w:szCs w:val="16"/>
          <w:color w:val="auto"/>
        </w:rPr>
      </w:pPr>
    </w:p>
    <w:p>
      <w:pPr>
        <w:ind w:left="1620" w:hanging="237"/>
        <w:spacing w:after="0"/>
        <w:tabs>
          <w:tab w:leader="none" w:pos="16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Dimensions for partition shall be shown to face of stud; critical tolerances and ± dimensions shall be clearly noted;</w:t>
      </w:r>
    </w:p>
    <w:p>
      <w:pPr>
        <w:spacing w:after="0" w:line="117" w:lineRule="exact"/>
        <w:rPr>
          <w:rFonts w:ascii="Arial" w:cs="Arial" w:eastAsia="Arial" w:hAnsi="Arial"/>
          <w:sz w:val="17"/>
          <w:szCs w:val="17"/>
          <w:color w:val="auto"/>
        </w:rPr>
      </w:pPr>
    </w:p>
    <w:p>
      <w:pPr>
        <w:ind w:left="1620" w:hanging="237"/>
        <w:spacing w:after="0"/>
        <w:tabs>
          <w:tab w:leader="none" w:pos="16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All doors shall be shown on and shall be numbered and scheduled on door schedule; indicate ratings of all doors;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0440"/>
          </w:cols>
          <w:pgMar w:left="620" w:top="270" w:right="839" w:bottom="1440" w:gutter="0" w:footer="0" w:header="0"/>
        </w:sectPr>
      </w:pPr>
    </w:p>
    <w:bookmarkStart w:id="474" w:name="page475"/>
    <w:bookmarkEnd w:id="474"/>
    <w:p>
      <w:pPr>
        <w:ind w:left="560" w:right="120" w:firstLine="3"/>
        <w:spacing w:after="0" w:line="287" w:lineRule="auto"/>
        <w:tabs>
          <w:tab w:leader="none" w:pos="806" w:val="left"/>
        </w:tabs>
        <w:numPr>
          <w:ilvl w:val="0"/>
          <w:numId w:val="4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All non-standard construction, non-standard materials and/or installation shall be explicitly noted; equipment and finishes shall be shown and details referenced; and</w:t>
      </w:r>
    </w:p>
    <w:p>
      <w:pPr>
        <w:spacing w:after="0" w:line="54" w:lineRule="exact"/>
        <w:rPr>
          <w:rFonts w:ascii="Arial" w:cs="Arial" w:eastAsia="Arial" w:hAnsi="Arial"/>
          <w:sz w:val="17"/>
          <w:szCs w:val="17"/>
          <w:color w:val="auto"/>
        </w:rPr>
      </w:pPr>
    </w:p>
    <w:p>
      <w:pPr>
        <w:ind w:left="560" w:right="160" w:firstLine="3"/>
        <w:spacing w:after="0" w:line="287" w:lineRule="auto"/>
        <w:tabs>
          <w:tab w:leader="none" w:pos="80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All plumbing fixtures or other equipment requirements and any equipment requiring connection to Building plumbing systems shall be noted.</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REFLECTED CEILING PLAN:</w:t>
      </w:r>
    </w:p>
    <w:p>
      <w:pPr>
        <w:spacing w:after="0" w:line="118" w:lineRule="exact"/>
        <w:rPr>
          <w:sz w:val="20"/>
          <w:szCs w:val="20"/>
          <w:color w:val="auto"/>
        </w:rPr>
      </w:pPr>
    </w:p>
    <w:p>
      <w:pPr>
        <w:ind w:left="560" w:right="160" w:firstLine="3"/>
        <w:spacing w:after="0" w:line="287" w:lineRule="auto"/>
        <w:tabs>
          <w:tab w:leader="none" w:pos="806" w:val="left"/>
        </w:tabs>
        <w:numPr>
          <w:ilvl w:val="0"/>
          <w:numId w:val="428"/>
        </w:numPr>
        <w:rPr>
          <w:rFonts w:ascii="Arial" w:cs="Arial" w:eastAsia="Arial" w:hAnsi="Arial"/>
          <w:sz w:val="17"/>
          <w:szCs w:val="17"/>
          <w:color w:val="auto"/>
        </w:rPr>
      </w:pPr>
      <w:r>
        <w:rPr>
          <w:rFonts w:ascii="Arial" w:cs="Arial" w:eastAsia="Arial" w:hAnsi="Arial"/>
          <w:sz w:val="17"/>
          <w:szCs w:val="17"/>
          <w:color w:val="auto"/>
        </w:rPr>
        <w:t>Layout suspended ceiling grid pattern in each room, describing the intent of the ceiling working point, origin and/or centering; and</w:t>
      </w:r>
    </w:p>
    <w:p>
      <w:pPr>
        <w:spacing w:after="0" w:line="54" w:lineRule="exact"/>
        <w:rPr>
          <w:rFonts w:ascii="Arial" w:cs="Arial" w:eastAsia="Arial" w:hAnsi="Arial"/>
          <w:sz w:val="17"/>
          <w:szCs w:val="17"/>
          <w:color w:val="auto"/>
        </w:rPr>
      </w:pPr>
    </w:p>
    <w:p>
      <w:pPr>
        <w:ind w:left="560" w:right="40" w:firstLine="3"/>
        <w:spacing w:after="0" w:line="272" w:lineRule="auto"/>
        <w:tabs>
          <w:tab w:leader="none" w:pos="806" w:val="left"/>
        </w:tabs>
        <w:numPr>
          <w:ilvl w:val="0"/>
          <w:numId w:val="428"/>
        </w:numPr>
        <w:rPr>
          <w:rFonts w:ascii="Arial" w:cs="Arial" w:eastAsia="Arial" w:hAnsi="Arial"/>
          <w:sz w:val="17"/>
          <w:szCs w:val="17"/>
          <w:color w:val="auto"/>
        </w:rPr>
      </w:pPr>
      <w:r>
        <w:rPr>
          <w:rFonts w:ascii="Arial" w:cs="Arial" w:eastAsia="Arial" w:hAnsi="Arial"/>
          <w:sz w:val="17"/>
          <w:szCs w:val="17"/>
          <w:color w:val="auto"/>
        </w:rPr>
        <w:t>Locate all ceiling-mounted lighting fixtures and air handling devices including air dampers, fan boxes, etc., lighting fixtures, supply air diffusers, wall switches, down lights, special lighting fixtures, special return air registers, special supply air diffusers, and special wall switches.</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TELECOMMUNICATIONS AND ELECTRICAL EQUIPMENT PLAN:</w:t>
      </w:r>
    </w:p>
    <w:p>
      <w:pPr>
        <w:spacing w:after="0" w:line="118" w:lineRule="exact"/>
        <w:rPr>
          <w:sz w:val="20"/>
          <w:szCs w:val="20"/>
          <w:color w:val="auto"/>
        </w:rPr>
      </w:pPr>
    </w:p>
    <w:p>
      <w:pPr>
        <w:ind w:left="800" w:hanging="237"/>
        <w:spacing w:after="0"/>
        <w:tabs>
          <w:tab w:leader="none" w:pos="8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All telephone outlets required;</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All electrical outlets required; note non-standard power devices and/or related equipment;</w:t>
      </w:r>
    </w:p>
    <w:p>
      <w:pPr>
        <w:spacing w:after="0" w:line="117" w:lineRule="exact"/>
        <w:rPr>
          <w:rFonts w:ascii="Arial" w:cs="Arial" w:eastAsia="Arial" w:hAnsi="Arial"/>
          <w:sz w:val="17"/>
          <w:szCs w:val="17"/>
          <w:color w:val="auto"/>
        </w:rPr>
      </w:pPr>
    </w:p>
    <w:p>
      <w:pPr>
        <w:ind w:left="560" w:right="320" w:firstLine="3"/>
        <w:spacing w:after="0" w:line="287" w:lineRule="auto"/>
        <w:tabs>
          <w:tab w:leader="none" w:pos="80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All electrical requirements associated with plumbing fixtures or equipment; append product data for all equipment requiring special power, temperature control or plumbing considerations;</w:t>
      </w:r>
    </w:p>
    <w:p>
      <w:pPr>
        <w:spacing w:after="0" w:line="54" w:lineRule="exact"/>
        <w:rPr>
          <w:rFonts w:ascii="Arial" w:cs="Arial" w:eastAsia="Arial" w:hAnsi="Arial"/>
          <w:sz w:val="17"/>
          <w:szCs w:val="17"/>
          <w:color w:val="auto"/>
        </w:rPr>
      </w:pPr>
    </w:p>
    <w:p>
      <w:pPr>
        <w:ind w:left="800" w:hanging="237"/>
        <w:spacing w:after="0"/>
        <w:tabs>
          <w:tab w:leader="none" w:pos="8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Location of telecommunications equipment and conduits; and</w:t>
      </w:r>
    </w:p>
    <w:p>
      <w:pPr>
        <w:spacing w:after="0" w:line="117" w:lineRule="exact"/>
        <w:rPr>
          <w:rFonts w:ascii="Arial" w:cs="Arial" w:eastAsia="Arial" w:hAnsi="Arial"/>
          <w:sz w:val="17"/>
          <w:szCs w:val="17"/>
          <w:color w:val="auto"/>
        </w:rPr>
      </w:pPr>
    </w:p>
    <w:p>
      <w:pPr>
        <w:ind w:left="560" w:firstLine="3"/>
        <w:spacing w:after="0" w:line="272" w:lineRule="auto"/>
        <w:tabs>
          <w:tab w:leader="none" w:pos="80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Components and design of the Antennas (including associated equipment) as installed, in sufficient detail to evaluate weight, bearing requirements, wind-load characteristics, power requirements and the effects on Building structure, moisture resistance of the roof membrane and operations of pre-existing telecommunications equipment.</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DOOR SCHEDULE:</w:t>
      </w:r>
    </w:p>
    <w:p>
      <w:pPr>
        <w:spacing w:after="0" w:line="118" w:lineRule="exact"/>
        <w:rPr>
          <w:sz w:val="20"/>
          <w:szCs w:val="20"/>
          <w:color w:val="auto"/>
        </w:rPr>
      </w:pPr>
    </w:p>
    <w:p>
      <w:pPr>
        <w:ind w:left="800" w:hanging="237"/>
        <w:spacing w:after="0"/>
        <w:tabs>
          <w:tab w:leader="none" w:pos="8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Provide a schedule of doors, sizes, finishes, hardware sets and ratings; and</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Non-standard materials and/or installation shall be explicitly noted.</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HVAC:</w:t>
      </w:r>
    </w:p>
    <w:p>
      <w:pPr>
        <w:spacing w:after="0" w:line="118" w:lineRule="exact"/>
        <w:rPr>
          <w:sz w:val="20"/>
          <w:szCs w:val="20"/>
          <w:color w:val="auto"/>
        </w:rPr>
      </w:pPr>
    </w:p>
    <w:p>
      <w:pPr>
        <w:ind w:left="4380" w:right="3780" w:hanging="3817"/>
        <w:spacing w:after="0" w:line="464" w:lineRule="auto"/>
        <w:tabs>
          <w:tab w:leader="none" w:pos="806" w:val="left"/>
        </w:tabs>
        <w:numPr>
          <w:ilvl w:val="0"/>
          <w:numId w:val="431"/>
        </w:numPr>
        <w:rPr>
          <w:rFonts w:ascii="Arial" w:cs="Arial" w:eastAsia="Arial" w:hAnsi="Arial"/>
          <w:sz w:val="17"/>
          <w:szCs w:val="17"/>
          <w:color w:val="auto"/>
        </w:rPr>
      </w:pPr>
      <w:r>
        <w:rPr>
          <w:rFonts w:ascii="Arial" w:cs="Arial" w:eastAsia="Arial" w:hAnsi="Arial"/>
          <w:sz w:val="17"/>
          <w:szCs w:val="17"/>
          <w:color w:val="auto"/>
        </w:rPr>
        <w:t>Areas requiring special temperature and/or humidity control requirements; F-2</w:t>
      </w:r>
    </w:p>
    <w:p>
      <w:pPr>
        <w:sectPr>
          <w:pgSz w:w="11900" w:h="16838" w:orient="portrait"/>
          <w:cols w:equalWidth="0" w:num="1">
            <w:col w:w="9780"/>
          </w:cols>
          <w:pgMar w:left="1440" w:top="270" w:right="679" w:bottom="1440" w:gutter="0" w:footer="0" w:header="0"/>
        </w:sectPr>
      </w:pPr>
    </w:p>
    <w:bookmarkStart w:id="475" w:name="page476"/>
    <w:bookmarkEnd w:id="475"/>
    <w:p>
      <w:pPr>
        <w:ind w:left="800" w:hanging="237"/>
        <w:spacing w:after="0"/>
        <w:tabs>
          <w:tab w:leader="none" w:pos="8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Heat emission of equipment (including catalogue cuts), such as CRTs, copy machines, etc.;</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Special exhaust requirements—conference rooms, pantry, toilets, etc.; and</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Any extension of system beyond demised space.</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ELECTRICAL:</w:t>
      </w:r>
    </w:p>
    <w:p>
      <w:pPr>
        <w:spacing w:after="0" w:line="118" w:lineRule="exact"/>
        <w:rPr>
          <w:sz w:val="20"/>
          <w:szCs w:val="20"/>
          <w:color w:val="auto"/>
        </w:rPr>
      </w:pPr>
    </w:p>
    <w:p>
      <w:pPr>
        <w:ind w:left="800" w:hanging="237"/>
        <w:spacing w:after="0"/>
        <w:tabs>
          <w:tab w:leader="none" w:pos="8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Special lighting requirements;</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Power requirements and special outlet requirements of equipment;</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Security requirements;</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Supplied telephone equipment and the necessary space allocation for same; and</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Any extensions of tenant equipment beyond demised space.</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PLUMBING:</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 Remote toilets;</w:t>
      </w:r>
    </w:p>
    <w:p>
      <w:pPr>
        <w:spacing w:after="0" w:line="118" w:lineRule="exact"/>
        <w:rPr>
          <w:sz w:val="20"/>
          <w:szCs w:val="20"/>
          <w:color w:val="auto"/>
        </w:rPr>
      </w:pPr>
    </w:p>
    <w:p>
      <w:pPr>
        <w:ind w:left="800" w:hanging="237"/>
        <w:spacing w:after="0"/>
        <w:tabs>
          <w:tab w:leader="none" w:pos="80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Pantry equipment requirements;</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Remote water and/or drain requirements such as for sinks, ice makers, etc.; and</w:t>
      </w:r>
    </w:p>
    <w:p>
      <w:pPr>
        <w:spacing w:after="0" w:line="117" w:lineRule="exact"/>
        <w:rPr>
          <w:rFonts w:ascii="Arial" w:cs="Arial" w:eastAsia="Arial" w:hAnsi="Arial"/>
          <w:sz w:val="17"/>
          <w:szCs w:val="17"/>
          <w:color w:val="auto"/>
        </w:rPr>
      </w:pPr>
    </w:p>
    <w:p>
      <w:pPr>
        <w:ind w:left="800" w:hanging="237"/>
        <w:spacing w:after="0"/>
        <w:tabs>
          <w:tab w:leader="none" w:pos="80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Special drainage requirements, such as those requiring holding or dilution tanks.</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ROOF:</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Detailed plan of any existing and proposed roof equipment showing location and elevations of all equipment.</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SITE: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Detailed plan, including fencing, pads, conduits, landscaping and elevations of equipment.</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SPECIAL SERVICES:</w:t>
      </w:r>
    </w:p>
    <w:p>
      <w:pPr>
        <w:spacing w:after="0" w:line="118" w:lineRule="exact"/>
        <w:rPr>
          <w:sz w:val="20"/>
          <w:szCs w:val="20"/>
          <w:color w:val="auto"/>
        </w:rPr>
      </w:pPr>
    </w:p>
    <w:p>
      <w:pPr>
        <w:ind w:left="560"/>
        <w:spacing w:after="0" w:line="287" w:lineRule="auto"/>
        <w:rPr>
          <w:sz w:val="20"/>
          <w:szCs w:val="20"/>
          <w:color w:val="auto"/>
        </w:rPr>
      </w:pPr>
      <w:r>
        <w:rPr>
          <w:rFonts w:ascii="Arial" w:cs="Arial" w:eastAsia="Arial" w:hAnsi="Arial"/>
          <w:sz w:val="17"/>
          <w:szCs w:val="17"/>
          <w:color w:val="auto"/>
        </w:rPr>
        <w:t>Equipment cuts, power requirements, heat emissions, raised floor requirements, fire protection requirements, security requirements, and emergency power.</w:t>
      </w:r>
    </w:p>
    <w:p>
      <w:pPr>
        <w:spacing w:after="0" w:line="9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9720"/>
          </w:cols>
          <w:pgMar w:left="1440" w:top="270" w:right="739" w:bottom="1440" w:gutter="0" w:footer="0" w:header="0"/>
        </w:sectPr>
      </w:pPr>
    </w:p>
    <w:bookmarkStart w:id="476" w:name="page477"/>
    <w:bookmarkEnd w:id="476"/>
    <w:p>
      <w:pPr>
        <w:ind w:left="-120" w:firstLine="424"/>
        <w:spacing w:after="0" w:line="259" w:lineRule="auto"/>
        <w:tabs>
          <w:tab w:leader="none" w:pos="480"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Plan Requirements</w:t>
      </w:r>
      <w:r>
        <w:rPr>
          <w:rFonts w:ascii="Arial" w:cs="Arial" w:eastAsia="Arial" w:hAnsi="Arial"/>
          <w:sz w:val="17"/>
          <w:szCs w:val="17"/>
          <w:color w:val="auto"/>
        </w:rPr>
        <w:t>. The Construction Documents shall be fully detailed and fully coordinated with each other and with existing field conditions, shall show complete dimensions, and shall have designated thereon all points of location and other matters, including special construction details and finish schedules. All drawings shall be uniform size and shall incorporate the standard electrical and plumbing symbols and be at a scale of 1/8” = 1’0” or larger. Materials and/or installation shall be explicitly noted and adequately specified to allow for Landlord review, building permit application, and construction. All equipment and installations shall be made in accordance with standard materials and procedures unless a deviation outside of industry standards is shown on the Construction Documents and approved by Landlord. To the extent practicable, a concise description of products, acceptable substitutes, and installation procedures and standards shall be provided. Product cuts must be provided and special mechanical or electrical loads noted. Landlord’s approval of the plans, drawings, specifications or other submissions in respect of any work, addition, alteration or improvement to be undertaken by or on behalf of Tenant shall create no liability or responsibility on the part of Landlord for their completeness, design sufficiency or compliance with requirements of any applicable laws, rules or regulations of any governmental or quasi-governmental agency, board or authority.</w:t>
      </w:r>
    </w:p>
    <w:p>
      <w:pPr>
        <w:spacing w:after="0" w:line="185" w:lineRule="exact"/>
        <w:rPr>
          <w:rFonts w:ascii="Arial" w:cs="Arial" w:eastAsia="Arial" w:hAnsi="Arial"/>
          <w:sz w:val="17"/>
          <w:szCs w:val="17"/>
          <w:color w:val="auto"/>
        </w:rPr>
      </w:pPr>
    </w:p>
    <w:p>
      <w:pPr>
        <w:ind w:left="-120" w:right="540" w:firstLine="424"/>
        <w:spacing w:after="0" w:line="287" w:lineRule="auto"/>
        <w:tabs>
          <w:tab w:leader="none" w:pos="480"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Drawing and Document Production</w:t>
      </w:r>
      <w:r>
        <w:rPr>
          <w:rFonts w:ascii="Arial" w:cs="Arial" w:eastAsia="Arial" w:hAnsi="Arial"/>
          <w:sz w:val="17"/>
          <w:szCs w:val="17"/>
          <w:color w:val="auto"/>
        </w:rPr>
        <w:t>. Landlord shall provide Tenant with two (2) blackline drawings and one (1) CAD disk showing the Building and site outline, core walls and columns, together with corridor and demising wall location plans.</w:t>
      </w:r>
    </w:p>
    <w:p>
      <w:pPr>
        <w:spacing w:after="0" w:line="159" w:lineRule="exact"/>
        <w:rPr>
          <w:rFonts w:ascii="Arial" w:cs="Arial" w:eastAsia="Arial" w:hAnsi="Arial"/>
          <w:sz w:val="17"/>
          <w:szCs w:val="17"/>
          <w:color w:val="auto"/>
        </w:rPr>
      </w:pPr>
    </w:p>
    <w:p>
      <w:pPr>
        <w:ind w:left="-120" w:right="40" w:firstLine="424"/>
        <w:spacing w:after="0" w:line="266" w:lineRule="auto"/>
        <w:tabs>
          <w:tab w:leader="none" w:pos="480"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Change Orders</w:t>
      </w:r>
      <w:r>
        <w:rPr>
          <w:rFonts w:ascii="Arial" w:cs="Arial" w:eastAsia="Arial" w:hAnsi="Arial"/>
          <w:sz w:val="17"/>
          <w:szCs w:val="17"/>
          <w:color w:val="auto"/>
        </w:rPr>
        <w:t>. The Construction Documents shall not be materially changed or modified by Tenant after approval by Landlord without the further approval in writing by Landlord, which approval shall not be unreasonably withheld or delayed. Landlord shall not be obligated to approve any change or modification of the Construction Documents which in Landlord’s sole opinion shall cause any additional cost or expense to Landlord for which Tenant has not agreed to reimburse Landlord.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420"/>
          </w:cols>
          <w:pgMar w:left="740" w:top="271" w:right="739" w:bottom="1440" w:gutter="0" w:footer="0" w:header="0"/>
        </w:sectPr>
      </w:pPr>
    </w:p>
    <w:bookmarkStart w:id="477" w:name="page478"/>
    <w:bookmarkEnd w:id="477"/>
    <w:p>
      <w:pPr>
        <w:jc w:val="center"/>
        <w:ind w:right="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G</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List of Environmental Substances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Chemical</w:t>
            </w:r>
          </w:p>
        </w:tc>
        <w:tc>
          <w:tcPr>
            <w:tcW w:w="3440" w:type="dxa"/>
            <w:vAlign w:val="bottom"/>
          </w:tcPr>
          <w:p>
            <w:pPr>
              <w:spacing w:after="0"/>
              <w:rPr>
                <w:sz w:val="16"/>
                <w:szCs w:val="16"/>
                <w:color w:val="auto"/>
              </w:rPr>
            </w:pPr>
          </w:p>
        </w:tc>
        <w:tc>
          <w:tcPr>
            <w:tcW w:w="3540" w:type="dxa"/>
            <w:vAlign w:val="bottom"/>
            <w:gridSpan w:val="2"/>
          </w:tcPr>
          <w:p>
            <w:pPr>
              <w:ind w:left="3000"/>
              <w:spacing w:after="0"/>
              <w:rPr>
                <w:sz w:val="20"/>
                <w:szCs w:val="20"/>
                <w:color w:val="auto"/>
              </w:rPr>
            </w:pPr>
            <w:r>
              <w:rPr>
                <w:rFonts w:ascii="Arial" w:cs="Arial" w:eastAsia="Arial" w:hAnsi="Arial"/>
                <w:sz w:val="14"/>
                <w:szCs w:val="14"/>
                <w:b w:val="1"/>
                <w:bCs w:val="1"/>
                <w:color w:val="auto"/>
                <w:w w:val="91"/>
              </w:rPr>
              <w:t>Quantity</w:t>
            </w:r>
          </w:p>
        </w:tc>
        <w:tc>
          <w:tcPr>
            <w:tcW w:w="2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620" w:type="dxa"/>
            <w:vAlign w:val="bottom"/>
            <w:gridSpan w:val="2"/>
          </w:tcPr>
          <w:p>
            <w:pPr>
              <w:jc w:val="center"/>
              <w:ind w:left="110"/>
              <w:spacing w:after="0"/>
              <w:rPr>
                <w:sz w:val="20"/>
                <w:szCs w:val="20"/>
                <w:color w:val="auto"/>
              </w:rPr>
            </w:pPr>
            <w:r>
              <w:rPr>
                <w:rFonts w:ascii="Arial" w:cs="Arial" w:eastAsia="Arial" w:hAnsi="Arial"/>
                <w:sz w:val="14"/>
                <w:szCs w:val="14"/>
                <w:b w:val="1"/>
                <w:bCs w:val="1"/>
                <w:color w:val="auto"/>
                <w:w w:val="91"/>
              </w:rPr>
              <w:t>Rating</w:t>
            </w: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(+)-Sodium L-ascorbate</w:t>
            </w:r>
          </w:p>
        </w:tc>
        <w:tc>
          <w:tcPr>
            <w:tcW w:w="300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0.22</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301"/>
        </w:trPr>
        <w:tc>
          <w:tcPr>
            <w:tcW w:w="4020" w:type="dxa"/>
            <w:vAlign w:val="bottom"/>
            <w:gridSpan w:val="2"/>
          </w:tcPr>
          <w:p>
            <w:pPr>
              <w:spacing w:after="0"/>
              <w:rPr>
                <w:sz w:val="20"/>
                <w:szCs w:val="20"/>
                <w:color w:val="auto"/>
              </w:rPr>
            </w:pPr>
            <w:r>
              <w:rPr>
                <w:rFonts w:ascii="Arial" w:cs="Arial" w:eastAsia="Arial" w:hAnsi="Arial"/>
                <w:sz w:val="17"/>
                <w:szCs w:val="17"/>
                <w:color w:val="auto"/>
              </w:rPr>
              <w:t>(2R,3R)-(+)-Tartaric acid</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89"/>
              </w:rPr>
              <w:t>0.001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1,4-Dithioerythritol</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89"/>
              </w:rPr>
              <w:t>0.001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1.0N SODIUM HYDROXIDE 1L</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10X TBS</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1.59</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1A</w:t>
            </w: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10X TGS</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1-Propanol</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0.03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2-Mercaptobenzoic acid</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2-Mercaptoethanol</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0.03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Combustible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3A</w:t>
            </w: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2-propanol</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Acetic Acid</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Acetic acid sodium salt</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0.55</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Acetic anhydride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0.06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ACETONE 10 X 1 GRAM EA=1BX</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0.02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Acetonitrile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0.66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AGAROSE 100G</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ACETATE 500GM</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carbonate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CHLORIDE AR 500G</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ferric citrate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formate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heptamolybdate tetrahydrate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0.01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hydrogen carbonate</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2"/>
              </w:rPr>
              <w:t>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7"/>
                <w:szCs w:val="17"/>
                <w:color w:val="auto"/>
              </w:rPr>
              <w:t>AMMONIUM SULFATE AR 2.5K</w:t>
            </w:r>
          </w:p>
        </w:tc>
        <w:tc>
          <w:tcPr>
            <w:tcW w:w="3540" w:type="dxa"/>
            <w:vAlign w:val="bottom"/>
            <w:gridSpan w:val="2"/>
          </w:tcPr>
          <w:p>
            <w:pPr>
              <w:jc w:val="center"/>
              <w:ind w:left="2914"/>
              <w:spacing w:after="0"/>
              <w:rPr>
                <w:sz w:val="20"/>
                <w:szCs w:val="20"/>
                <w:color w:val="auto"/>
              </w:rPr>
            </w:pPr>
            <w:r>
              <w:rPr>
                <w:rFonts w:ascii="Arial" w:cs="Arial" w:eastAsia="Arial" w:hAnsi="Arial"/>
                <w:sz w:val="17"/>
                <w:szCs w:val="17"/>
                <w:color w:val="auto"/>
                <w:w w:val="90"/>
              </w:rPr>
              <w:t>5.51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40" w:type="dxa"/>
            <w:vAlign w:val="bottom"/>
            <w:gridSpan w:val="2"/>
          </w:tcPr>
          <w:p>
            <w:pPr>
              <w:ind w:left="1160"/>
              <w:spacing w:after="0"/>
              <w:rPr>
                <w:sz w:val="20"/>
                <w:szCs w:val="20"/>
                <w:color w:val="auto"/>
              </w:rPr>
            </w:pPr>
            <w:r>
              <w:rPr>
                <w:rFonts w:ascii="Arial" w:cs="Arial" w:eastAsia="Arial" w:hAnsi="Arial"/>
                <w:sz w:val="17"/>
                <w:szCs w:val="17"/>
                <w:color w:val="auto"/>
              </w:rPr>
              <w:t>G-1</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660"/>
          </w:cols>
          <w:pgMar w:left="620" w:top="270" w:right="619" w:bottom="1440" w:gutter="0" w:footer="0" w:header="0"/>
        </w:sectPr>
      </w:pPr>
    </w:p>
    <w:bookmarkStart w:id="478" w:name="page479"/>
    <w:bookmarkEnd w:id="4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Chemical</w:t>
            </w:r>
          </w:p>
        </w:tc>
        <w:tc>
          <w:tcPr>
            <w:tcW w:w="3620" w:type="dxa"/>
            <w:vAlign w:val="bottom"/>
          </w:tcPr>
          <w:p>
            <w:pPr>
              <w:spacing w:after="0"/>
              <w:rPr>
                <w:sz w:val="16"/>
                <w:szCs w:val="16"/>
                <w:color w:val="auto"/>
              </w:rPr>
            </w:pPr>
          </w:p>
        </w:tc>
        <w:tc>
          <w:tcPr>
            <w:tcW w:w="3360" w:type="dxa"/>
            <w:vAlign w:val="bottom"/>
            <w:gridSpan w:val="2"/>
          </w:tcPr>
          <w:p>
            <w:pPr>
              <w:ind w:left="2820"/>
              <w:spacing w:after="0"/>
              <w:rPr>
                <w:sz w:val="20"/>
                <w:szCs w:val="20"/>
                <w:color w:val="auto"/>
              </w:rPr>
            </w:pPr>
            <w:r>
              <w:rPr>
                <w:rFonts w:ascii="Arial" w:cs="Arial" w:eastAsia="Arial" w:hAnsi="Arial"/>
                <w:sz w:val="14"/>
                <w:szCs w:val="14"/>
                <w:b w:val="1"/>
                <w:bCs w:val="1"/>
                <w:color w:val="auto"/>
                <w:w w:val="91"/>
              </w:rPr>
              <w:t>Quantity</w:t>
            </w:r>
          </w:p>
        </w:tc>
        <w:tc>
          <w:tcPr>
            <w:tcW w:w="2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620" w:type="dxa"/>
            <w:vAlign w:val="bottom"/>
            <w:gridSpan w:val="2"/>
          </w:tcPr>
          <w:p>
            <w:pPr>
              <w:jc w:val="center"/>
              <w:ind w:left="110"/>
              <w:spacing w:after="0"/>
              <w:rPr>
                <w:sz w:val="20"/>
                <w:szCs w:val="20"/>
                <w:color w:val="auto"/>
              </w:rPr>
            </w:pPr>
            <w:r>
              <w:rPr>
                <w:rFonts w:ascii="Arial" w:cs="Arial" w:eastAsia="Arial" w:hAnsi="Arial"/>
                <w:sz w:val="14"/>
                <w:szCs w:val="14"/>
                <w:b w:val="1"/>
                <w:bCs w:val="1"/>
                <w:color w:val="auto"/>
                <w:w w:val="91"/>
              </w:rPr>
              <w:t>Rating</w:t>
            </w:r>
          </w:p>
        </w:tc>
      </w:tr>
      <w:tr>
        <w:trPr>
          <w:trHeight w:val="207"/>
        </w:trPr>
        <w:tc>
          <w:tcPr>
            <w:tcW w:w="4200" w:type="dxa"/>
            <w:vAlign w:val="bottom"/>
            <w:gridSpan w:val="2"/>
          </w:tcPr>
          <w:p>
            <w:pPr>
              <w:spacing w:after="0"/>
              <w:rPr>
                <w:sz w:val="20"/>
                <w:szCs w:val="20"/>
                <w:color w:val="auto"/>
              </w:rPr>
            </w:pPr>
            <w:r>
              <w:rPr>
                <w:rFonts w:ascii="Arial" w:cs="Arial" w:eastAsia="Arial" w:hAnsi="Arial"/>
                <w:sz w:val="17"/>
                <w:szCs w:val="17"/>
                <w:color w:val="auto"/>
              </w:rPr>
              <w:t>bacto agar</w:t>
            </w:r>
          </w:p>
        </w:tc>
        <w:tc>
          <w:tcPr>
            <w:tcW w:w="282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pound</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301"/>
        </w:trPr>
        <w:tc>
          <w:tcPr>
            <w:tcW w:w="4200" w:type="dxa"/>
            <w:vAlign w:val="bottom"/>
            <w:gridSpan w:val="2"/>
          </w:tcPr>
          <w:p>
            <w:pPr>
              <w:spacing w:after="0"/>
              <w:rPr>
                <w:sz w:val="20"/>
                <w:szCs w:val="20"/>
                <w:color w:val="auto"/>
              </w:rPr>
            </w:pPr>
            <w:r>
              <w:rPr>
                <w:rFonts w:ascii="Arial" w:cs="Arial" w:eastAsia="Arial" w:hAnsi="Arial"/>
                <w:sz w:val="17"/>
                <w:szCs w:val="17"/>
                <w:color w:val="auto"/>
              </w:rPr>
              <w:t>BDH CALCIUM CHLORIDE USP 2.5KG</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5.5</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BUTYL ALCOHOL ACS REAGENT500ML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CaC12 2H20</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Calcium carbonate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Calcium chloride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CALCIUM CHLORIDE DIHY AR 500G</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Calcium fluoride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0.01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CHLOROFOAM-D 50GM</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chloroform</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Citric acid</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Combustible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3B</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Dextrose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DL-Dithiothreitol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0.01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Ethanol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0.03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Formaldehyde solution</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3A</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Glucose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Glycerol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Combustible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3B</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Guanidine hydrochloride</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2"/>
              </w:rPr>
              <w:t>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HEPES</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0.55</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Hydrochloric Acid</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HYDROGEN PEROX 30% SOL 500ML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MES</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0.11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Methanol</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1.06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5"/>
              </w:rPr>
              <w:t>1B</w:t>
            </w: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MgCl 6H20</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0.22</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00" w:type="dxa"/>
            <w:vAlign w:val="bottom"/>
            <w:gridSpan w:val="2"/>
          </w:tcPr>
          <w:p>
            <w:pPr>
              <w:spacing w:after="0"/>
              <w:rPr>
                <w:sz w:val="20"/>
                <w:szCs w:val="20"/>
                <w:color w:val="auto"/>
              </w:rPr>
            </w:pPr>
            <w:r>
              <w:rPr>
                <w:rFonts w:ascii="Arial" w:cs="Arial" w:eastAsia="Arial" w:hAnsi="Arial"/>
                <w:sz w:val="17"/>
                <w:szCs w:val="17"/>
                <w:color w:val="auto"/>
              </w:rPr>
              <w:t>MOPS</w:t>
            </w:r>
          </w:p>
        </w:tc>
        <w:tc>
          <w:tcPr>
            <w:tcW w:w="3360" w:type="dxa"/>
            <w:vAlign w:val="bottom"/>
            <w:gridSpan w:val="2"/>
          </w:tcPr>
          <w:p>
            <w:pPr>
              <w:jc w:val="center"/>
              <w:ind w:left="2734"/>
              <w:spacing w:after="0"/>
              <w:rPr>
                <w:sz w:val="20"/>
                <w:szCs w:val="20"/>
                <w:color w:val="auto"/>
              </w:rPr>
            </w:pPr>
            <w:r>
              <w:rPr>
                <w:rFonts w:ascii="Arial" w:cs="Arial" w:eastAsia="Arial" w:hAnsi="Arial"/>
                <w:sz w:val="17"/>
                <w:szCs w:val="17"/>
                <w:color w:val="auto"/>
                <w:w w:val="90"/>
              </w:rPr>
              <w:t>0.55</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3"/>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3"/>
              </w:rPr>
              <w:t>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2"/>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60" w:type="dxa"/>
            <w:vAlign w:val="bottom"/>
            <w:gridSpan w:val="2"/>
          </w:tcPr>
          <w:p>
            <w:pPr>
              <w:ind w:left="980"/>
              <w:spacing w:after="0"/>
              <w:rPr>
                <w:sz w:val="20"/>
                <w:szCs w:val="20"/>
                <w:color w:val="auto"/>
              </w:rPr>
            </w:pPr>
            <w:r>
              <w:rPr>
                <w:rFonts w:ascii="Arial" w:cs="Arial" w:eastAsia="Arial" w:hAnsi="Arial"/>
                <w:sz w:val="17"/>
                <w:szCs w:val="17"/>
                <w:color w:val="auto"/>
              </w:rPr>
              <w:t>G-2</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660"/>
          </w:cols>
          <w:pgMar w:left="620" w:top="260" w:right="619" w:bottom="1440" w:gutter="0" w:footer="0" w:header="0"/>
        </w:sectPr>
      </w:pPr>
    </w:p>
    <w:bookmarkStart w:id="479" w:name="page480"/>
    <w:bookmarkEnd w:id="4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867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Chemical</w:t>
            </w:r>
          </w:p>
        </w:tc>
        <w:tc>
          <w:tcPr>
            <w:tcW w:w="3220" w:type="dxa"/>
            <w:vAlign w:val="bottom"/>
            <w:gridSpan w:val="2"/>
          </w:tcPr>
          <w:p>
            <w:pPr>
              <w:ind w:left="2680"/>
              <w:spacing w:after="0"/>
              <w:rPr>
                <w:sz w:val="20"/>
                <w:szCs w:val="20"/>
                <w:color w:val="auto"/>
              </w:rPr>
            </w:pPr>
            <w:r>
              <w:rPr>
                <w:rFonts w:ascii="Arial" w:cs="Arial" w:eastAsia="Arial" w:hAnsi="Arial"/>
                <w:sz w:val="14"/>
                <w:szCs w:val="14"/>
                <w:b w:val="1"/>
                <w:bCs w:val="1"/>
                <w:color w:val="auto"/>
                <w:w w:val="91"/>
              </w:rPr>
              <w:t>Quantity</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Unit</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620" w:type="dxa"/>
            <w:vAlign w:val="bottom"/>
            <w:gridSpan w:val="2"/>
          </w:tcPr>
          <w:p>
            <w:pPr>
              <w:ind w:left="200"/>
              <w:spacing w:after="0"/>
              <w:rPr>
                <w:sz w:val="20"/>
                <w:szCs w:val="20"/>
                <w:color w:val="auto"/>
              </w:rPr>
            </w:pPr>
            <w:r>
              <w:rPr>
                <w:rFonts w:ascii="Arial" w:cs="Arial" w:eastAsia="Arial" w:hAnsi="Arial"/>
                <w:sz w:val="14"/>
                <w:szCs w:val="14"/>
                <w:b w:val="1"/>
                <w:bCs w:val="1"/>
                <w:color w:val="auto"/>
                <w:w w:val="91"/>
              </w:rPr>
              <w:t>Rating</w:t>
            </w:r>
          </w:p>
        </w:tc>
      </w:tr>
      <w:tr>
        <w:trPr>
          <w:trHeight w:val="207"/>
        </w:trPr>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2"/>
              </w:rPr>
              <w:t>NaH2PO4</w:t>
            </w:r>
          </w:p>
        </w:tc>
        <w:tc>
          <w:tcPr>
            <w:tcW w:w="3520" w:type="dxa"/>
            <w:vAlign w:val="bottom"/>
          </w:tcPr>
          <w:p>
            <w:pPr>
              <w:ind w:left="180"/>
              <w:spacing w:after="0" w:line="182" w:lineRule="exact"/>
              <w:rPr>
                <w:sz w:val="20"/>
                <w:szCs w:val="20"/>
                <w:color w:val="auto"/>
              </w:rPr>
            </w:pPr>
            <w:r>
              <w:rPr>
                <w:rFonts w:ascii="Arial" w:cs="Arial" w:eastAsia="Arial" w:hAnsi="Arial"/>
                <w:sz w:val="17"/>
                <w:szCs w:val="17"/>
                <w:color w:val="auto"/>
              </w:rPr>
              <w:t>H2O</w:t>
            </w:r>
          </w:p>
        </w:tc>
        <w:tc>
          <w:tcPr>
            <w:tcW w:w="268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301"/>
        </w:trPr>
        <w:tc>
          <w:tcPr>
            <w:tcW w:w="4100" w:type="dxa"/>
            <w:vAlign w:val="bottom"/>
            <w:gridSpan w:val="2"/>
          </w:tcPr>
          <w:p>
            <w:pPr>
              <w:spacing w:after="0"/>
              <w:rPr>
                <w:sz w:val="20"/>
                <w:szCs w:val="20"/>
                <w:color w:val="auto"/>
              </w:rPr>
            </w:pPr>
            <w:r>
              <w:rPr>
                <w:rFonts w:ascii="Arial" w:cs="Arial" w:eastAsia="Arial" w:hAnsi="Arial"/>
                <w:sz w:val="17"/>
                <w:szCs w:val="17"/>
                <w:color w:val="auto"/>
              </w:rPr>
              <w:t>NaHCO3</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NITRIC ACID OMNITRACE 500ML</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0.13</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PBS</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50</w:t>
            </w:r>
          </w:p>
        </w:tc>
        <w:tc>
          <w:tcPr>
            <w:tcW w:w="960" w:type="dxa"/>
            <w:vAlign w:val="bottom"/>
            <w:gridSpan w:val="2"/>
          </w:tcPr>
          <w:p>
            <w:pPr>
              <w:jc w:val="center"/>
              <w:ind w:left="113"/>
              <w:spacing w:after="0"/>
              <w:rPr>
                <w:sz w:val="20"/>
                <w:szCs w:val="20"/>
                <w:color w:val="auto"/>
              </w:rPr>
            </w:pPr>
            <w:r>
              <w:rPr>
                <w:rFonts w:ascii="Arial" w:cs="Arial" w:eastAsia="Arial" w:hAnsi="Arial"/>
                <w:sz w:val="17"/>
                <w:szCs w:val="17"/>
                <w:color w:val="auto"/>
              </w:rPr>
              <w:t>TABLETS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POT PHOSDIBASIC ANHYD AR 100LB</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potassium chloride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Potassium hydroxide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5.51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POTASSIUM PHOSPHATE MONO 500G</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RNA grade H2O</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0.26</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 PHOSPHATE DIBASIC AN 125G</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0.28</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acetate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ACETATE RE ANHYD 500GM</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bicarbonate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6.6</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carbonate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Chloride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chloride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2.2</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hydroxide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phosphate monobasic</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0.22</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Phosphate Monobasic Anhydrous</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2.2</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Sodium sulfate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96"/>
              </w:rPr>
              <w:t>0.06</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Sucrose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100" w:type="dxa"/>
            <w:vAlign w:val="bottom"/>
            <w:gridSpan w:val="2"/>
          </w:tcPr>
          <w:p>
            <w:pPr>
              <w:spacing w:after="0"/>
              <w:rPr>
                <w:sz w:val="20"/>
                <w:szCs w:val="20"/>
                <w:color w:val="auto"/>
              </w:rPr>
            </w:pPr>
            <w:r>
              <w:rPr>
                <w:rFonts w:ascii="Arial" w:cs="Arial" w:eastAsia="Arial" w:hAnsi="Arial"/>
                <w:sz w:val="17"/>
                <w:szCs w:val="17"/>
                <w:color w:val="auto"/>
              </w:rPr>
              <w:t>Tris base</w:t>
            </w:r>
          </w:p>
        </w:tc>
        <w:tc>
          <w:tcPr>
            <w:tcW w:w="3220" w:type="dxa"/>
            <w:vAlign w:val="bottom"/>
            <w:gridSpan w:val="2"/>
          </w:tcPr>
          <w:p>
            <w:pPr>
              <w:jc w:val="center"/>
              <w:ind w:left="2574"/>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pounds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Non-flammable solid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2"/>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20" w:type="dxa"/>
            <w:vAlign w:val="bottom"/>
            <w:gridSpan w:val="2"/>
          </w:tcPr>
          <w:p>
            <w:pPr>
              <w:ind w:left="1080"/>
              <w:spacing w:after="0"/>
              <w:rPr>
                <w:sz w:val="20"/>
                <w:szCs w:val="20"/>
                <w:color w:val="auto"/>
              </w:rPr>
            </w:pPr>
            <w:r>
              <w:rPr>
                <w:rFonts w:ascii="Arial" w:cs="Arial" w:eastAsia="Arial" w:hAnsi="Arial"/>
                <w:sz w:val="17"/>
                <w:szCs w:val="17"/>
                <w:color w:val="auto"/>
              </w:rPr>
              <w:t>G-3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660"/>
          </w:cols>
          <w:pgMar w:left="620" w:top="260" w:right="619" w:bottom="1440" w:gutter="0" w:footer="0" w:header="0"/>
        </w:sectPr>
      </w:pPr>
    </w:p>
    <w:bookmarkStart w:id="480" w:name="page481"/>
    <w:bookmarkEnd w:id="4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Chemical</w:t>
            </w:r>
          </w:p>
        </w:tc>
        <w:tc>
          <w:tcPr>
            <w:tcW w:w="3300" w:type="dxa"/>
            <w:vAlign w:val="bottom"/>
            <w:gridSpan w:val="2"/>
          </w:tcPr>
          <w:p>
            <w:pPr>
              <w:ind w:left="2760"/>
              <w:spacing w:after="0"/>
              <w:rPr>
                <w:sz w:val="20"/>
                <w:szCs w:val="20"/>
                <w:color w:val="auto"/>
              </w:rPr>
            </w:pPr>
            <w:r>
              <w:rPr>
                <w:rFonts w:ascii="Arial" w:cs="Arial" w:eastAsia="Arial" w:hAnsi="Arial"/>
                <w:sz w:val="14"/>
                <w:szCs w:val="14"/>
                <w:b w:val="1"/>
                <w:bCs w:val="1"/>
                <w:color w:val="auto"/>
                <w:w w:val="91"/>
              </w:rPr>
              <w:t>Quantity</w:t>
            </w:r>
          </w:p>
        </w:tc>
        <w:tc>
          <w:tcPr>
            <w:tcW w:w="2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620" w:type="dxa"/>
            <w:vAlign w:val="bottom"/>
            <w:gridSpan w:val="2"/>
          </w:tcPr>
          <w:p>
            <w:pPr>
              <w:jc w:val="center"/>
              <w:ind w:left="110"/>
              <w:spacing w:after="0"/>
              <w:rPr>
                <w:sz w:val="20"/>
                <w:szCs w:val="20"/>
                <w:color w:val="auto"/>
              </w:rPr>
            </w:pPr>
            <w:r>
              <w:rPr>
                <w:rFonts w:ascii="Arial" w:cs="Arial" w:eastAsia="Arial" w:hAnsi="Arial"/>
                <w:sz w:val="14"/>
                <w:szCs w:val="14"/>
                <w:b w:val="1"/>
                <w:bCs w:val="1"/>
                <w:color w:val="auto"/>
                <w:w w:val="91"/>
              </w:rPr>
              <w:t>Rating</w:t>
            </w:r>
          </w:p>
        </w:tc>
      </w:tr>
      <w:tr>
        <w:trPr>
          <w:trHeight w:val="207"/>
        </w:trPr>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3"/>
              </w:rPr>
              <w:t>Triton(R)</w:t>
            </w:r>
          </w:p>
        </w:tc>
        <w:tc>
          <w:tcPr>
            <w:tcW w:w="3680" w:type="dxa"/>
            <w:vAlign w:val="bottom"/>
          </w:tcPr>
          <w:p>
            <w:pPr>
              <w:ind w:left="120"/>
              <w:spacing w:after="0" w:line="182" w:lineRule="exact"/>
              <w:rPr>
                <w:sz w:val="20"/>
                <w:szCs w:val="20"/>
                <w:color w:val="auto"/>
              </w:rPr>
            </w:pPr>
            <w:r>
              <w:rPr>
                <w:rFonts w:ascii="Arial" w:cs="Arial" w:eastAsia="Arial" w:hAnsi="Arial"/>
                <w:sz w:val="17"/>
                <w:szCs w:val="17"/>
                <w:color w:val="auto"/>
              </w:rPr>
              <w:t>X-100</w:t>
            </w:r>
          </w:p>
        </w:tc>
        <w:tc>
          <w:tcPr>
            <w:tcW w:w="276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0.13</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gallons</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Combustible liquid</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3B</w:t>
            </w:r>
          </w:p>
        </w:tc>
      </w:tr>
      <w:tr>
        <w:trPr>
          <w:trHeight w:val="301"/>
        </w:trPr>
        <w:tc>
          <w:tcPr>
            <w:tcW w:w="4260" w:type="dxa"/>
            <w:vAlign w:val="bottom"/>
            <w:gridSpan w:val="2"/>
          </w:tcPr>
          <w:p>
            <w:pPr>
              <w:spacing w:after="0"/>
              <w:rPr>
                <w:sz w:val="20"/>
                <w:szCs w:val="20"/>
                <w:color w:val="auto"/>
              </w:rPr>
            </w:pPr>
            <w:r>
              <w:rPr>
                <w:rFonts w:ascii="Arial" w:cs="Arial" w:eastAsia="Arial" w:hAnsi="Arial"/>
                <w:sz w:val="17"/>
                <w:szCs w:val="17"/>
                <w:color w:val="auto"/>
              </w:rPr>
              <w:t>Trizol (phenol and guanidinium isothiocyanate)</w:t>
            </w:r>
          </w:p>
        </w:tc>
        <w:tc>
          <w:tcPr>
            <w:tcW w:w="3300" w:type="dxa"/>
            <w:vAlign w:val="bottom"/>
            <w:gridSpan w:val="2"/>
          </w:tcPr>
          <w:p>
            <w:pPr>
              <w:jc w:val="center"/>
              <w:ind w:left="2676"/>
              <w:spacing w:after="0"/>
              <w:rPr>
                <w:sz w:val="20"/>
                <w:szCs w:val="20"/>
                <w:color w:val="auto"/>
              </w:rPr>
            </w:pPr>
            <w:r>
              <w:rPr>
                <w:rFonts w:ascii="Arial" w:cs="Arial" w:eastAsia="Arial" w:hAnsi="Arial"/>
                <w:sz w:val="17"/>
                <w:szCs w:val="17"/>
                <w:color w:val="auto"/>
                <w:w w:val="89"/>
              </w:rPr>
              <w:t>0.026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60" w:type="dxa"/>
            <w:vAlign w:val="bottom"/>
            <w:gridSpan w:val="2"/>
          </w:tcPr>
          <w:p>
            <w:pPr>
              <w:spacing w:after="0"/>
              <w:rPr>
                <w:sz w:val="20"/>
                <w:szCs w:val="20"/>
                <w:color w:val="auto"/>
              </w:rPr>
            </w:pPr>
            <w:r>
              <w:rPr>
                <w:rFonts w:ascii="Arial" w:cs="Arial" w:eastAsia="Arial" w:hAnsi="Arial"/>
                <w:sz w:val="17"/>
                <w:szCs w:val="17"/>
                <w:color w:val="auto"/>
              </w:rPr>
              <w:t>TWEEN(R) 20</w:t>
            </w:r>
          </w:p>
        </w:tc>
        <w:tc>
          <w:tcPr>
            <w:tcW w:w="3300" w:type="dxa"/>
            <w:vAlign w:val="bottom"/>
            <w:gridSpan w:val="2"/>
          </w:tcPr>
          <w:p>
            <w:pPr>
              <w:jc w:val="center"/>
              <w:ind w:left="2676"/>
              <w:spacing w:after="0"/>
              <w:rPr>
                <w:sz w:val="20"/>
                <w:szCs w:val="20"/>
                <w:color w:val="auto"/>
              </w:rPr>
            </w:pPr>
            <w:r>
              <w:rPr>
                <w:rFonts w:ascii="Arial" w:cs="Arial" w:eastAsia="Arial" w:hAnsi="Arial"/>
                <w:sz w:val="17"/>
                <w:szCs w:val="17"/>
                <w:color w:val="auto"/>
                <w:w w:val="89"/>
              </w:rPr>
              <w:t>0.026</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60" w:type="dxa"/>
            <w:vAlign w:val="bottom"/>
            <w:gridSpan w:val="2"/>
          </w:tcPr>
          <w:p>
            <w:pPr>
              <w:spacing w:after="0"/>
              <w:rPr>
                <w:sz w:val="20"/>
                <w:szCs w:val="20"/>
                <w:color w:val="auto"/>
              </w:rPr>
            </w:pPr>
            <w:r>
              <w:rPr>
                <w:rFonts w:ascii="Arial" w:cs="Arial" w:eastAsia="Arial" w:hAnsi="Arial"/>
                <w:sz w:val="17"/>
                <w:szCs w:val="17"/>
                <w:color w:val="auto"/>
              </w:rPr>
              <w:t>TWEEN(R) 80</w:t>
            </w:r>
          </w:p>
        </w:tc>
        <w:tc>
          <w:tcPr>
            <w:tcW w:w="3300" w:type="dxa"/>
            <w:vAlign w:val="bottom"/>
            <w:gridSpan w:val="2"/>
          </w:tcPr>
          <w:p>
            <w:pPr>
              <w:jc w:val="center"/>
              <w:ind w:left="2676"/>
              <w:spacing w:after="0"/>
              <w:rPr>
                <w:sz w:val="20"/>
                <w:szCs w:val="20"/>
                <w:color w:val="auto"/>
              </w:rPr>
            </w:pPr>
            <w:r>
              <w:rPr>
                <w:rFonts w:ascii="Arial" w:cs="Arial" w:eastAsia="Arial" w:hAnsi="Arial"/>
                <w:sz w:val="17"/>
                <w:szCs w:val="17"/>
                <w:color w:val="auto"/>
                <w:w w:val="90"/>
              </w:rPr>
              <w:t>0.13</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1760" w:type="dxa"/>
            <w:vAlign w:val="bottom"/>
            <w:gridSpan w:val="2"/>
          </w:tcPr>
          <w:p>
            <w:pPr>
              <w:jc w:val="center"/>
              <w:ind w:left="113"/>
              <w:spacing w:after="0"/>
              <w:rPr>
                <w:sz w:val="20"/>
                <w:szCs w:val="20"/>
                <w:color w:val="auto"/>
              </w:rPr>
            </w:pPr>
            <w:r>
              <w:rPr>
                <w:rFonts w:ascii="Arial" w:cs="Arial" w:eastAsia="Arial" w:hAnsi="Arial"/>
                <w:sz w:val="17"/>
                <w:szCs w:val="17"/>
                <w:color w:val="auto"/>
                <w:w w:val="97"/>
              </w:rPr>
              <w:t>Non-flammable liquid</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3"/>
        </w:trPr>
        <w:tc>
          <w:tcPr>
            <w:tcW w:w="4260" w:type="dxa"/>
            <w:vAlign w:val="bottom"/>
            <w:gridSpan w:val="2"/>
          </w:tcPr>
          <w:p>
            <w:pPr>
              <w:spacing w:after="0"/>
              <w:rPr>
                <w:sz w:val="20"/>
                <w:szCs w:val="20"/>
                <w:color w:val="auto"/>
              </w:rPr>
            </w:pPr>
            <w:r>
              <w:rPr>
                <w:rFonts w:ascii="Arial" w:cs="Arial" w:eastAsia="Arial" w:hAnsi="Arial"/>
                <w:sz w:val="17"/>
                <w:szCs w:val="17"/>
                <w:color w:val="auto"/>
              </w:rPr>
              <w:t>Xylenes</w:t>
            </w:r>
          </w:p>
        </w:tc>
        <w:tc>
          <w:tcPr>
            <w:tcW w:w="3300" w:type="dxa"/>
            <w:vAlign w:val="bottom"/>
            <w:gridSpan w:val="2"/>
          </w:tcPr>
          <w:p>
            <w:pPr>
              <w:jc w:val="center"/>
              <w:ind w:left="2676"/>
              <w:spacing w:after="0"/>
              <w:rPr>
                <w:sz w:val="20"/>
                <w:szCs w:val="20"/>
                <w:color w:val="auto"/>
              </w:rPr>
            </w:pPr>
            <w:r>
              <w:rPr>
                <w:rFonts w:ascii="Arial" w:cs="Arial" w:eastAsia="Arial" w:hAnsi="Arial"/>
                <w:sz w:val="17"/>
                <w:szCs w:val="17"/>
                <w:color w:val="auto"/>
              </w:rPr>
              <w:t>1</w:t>
            </w:r>
          </w:p>
        </w:tc>
        <w:tc>
          <w:tcPr>
            <w:tcW w:w="720" w:type="dxa"/>
            <w:vAlign w:val="bottom"/>
            <w:gridSpan w:val="2"/>
          </w:tcPr>
          <w:p>
            <w:pPr>
              <w:jc w:val="center"/>
              <w:ind w:left="113"/>
              <w:spacing w:after="0"/>
              <w:rPr>
                <w:sz w:val="20"/>
                <w:szCs w:val="20"/>
                <w:color w:val="auto"/>
              </w:rPr>
            </w:pPr>
            <w:r>
              <w:rPr>
                <w:rFonts w:ascii="Arial" w:cs="Arial" w:eastAsia="Arial" w:hAnsi="Arial"/>
                <w:sz w:val="17"/>
                <w:szCs w:val="17"/>
                <w:color w:val="auto"/>
                <w:w w:val="96"/>
              </w:rPr>
              <w:t>gallons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6"/>
              </w:rPr>
              <w:t>Flammable liquid</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91"/>
              </w:rPr>
              <w:t>1C</w:t>
            </w:r>
          </w:p>
        </w:tc>
      </w:tr>
      <w:tr>
        <w:trPr>
          <w:trHeight w:val="352"/>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00" w:type="dxa"/>
            <w:vAlign w:val="bottom"/>
            <w:gridSpan w:val="2"/>
          </w:tcPr>
          <w:p>
            <w:pPr>
              <w:ind w:left="920"/>
              <w:spacing w:after="0"/>
              <w:rPr>
                <w:sz w:val="20"/>
                <w:szCs w:val="20"/>
                <w:color w:val="auto"/>
              </w:rPr>
            </w:pPr>
            <w:r>
              <w:rPr>
                <w:rFonts w:ascii="Arial" w:cs="Arial" w:eastAsia="Arial" w:hAnsi="Arial"/>
                <w:sz w:val="17"/>
                <w:szCs w:val="17"/>
                <w:color w:val="auto"/>
              </w:rPr>
              <w:t>G-4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660"/>
          </w:cols>
          <w:pgMar w:left="620" w:top="260" w:right="619" w:bottom="1440" w:gutter="0" w:footer="0" w:header="0"/>
        </w:sectPr>
      </w:pPr>
    </w:p>
    <w:bookmarkStart w:id="481" w:name="page482"/>
    <w:bookmarkEnd w:id="481"/>
    <w:p>
      <w:pPr>
        <w:jc w:val="center"/>
        <w:ind w:right="-25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H</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7"/>
          <w:szCs w:val="17"/>
          <w:u w:val="single" w:color="auto"/>
          <w:color w:val="auto"/>
        </w:rPr>
        <w:t>Form of Term Commencement Date Agreement</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COMMENCEMENT DATE AGREEMENT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______________________________ (“Tenant”) hereby certifies that it has entered into a lease with 128 Spring Street Lexington, LLC</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(“Landlord”) dated as of ____________ ____ 20__ and verifies the following information as of the _________ day of ________________________,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20___:</w:t>
      </w:r>
    </w:p>
    <w:p>
      <w:pPr>
        <w:spacing w:after="0" w:line="236" w:lineRule="exact"/>
        <w:rPr>
          <w:sz w:val="20"/>
          <w:szCs w:val="20"/>
          <w:color w:val="auto"/>
        </w:rPr>
      </w:pPr>
    </w:p>
    <w:p>
      <w:pPr>
        <w:ind w:left="440"/>
        <w:spacing w:after="0"/>
        <w:tabs>
          <w:tab w:leader="none" w:pos="4460" w:val="left"/>
        </w:tabs>
        <w:rPr>
          <w:sz w:val="20"/>
          <w:szCs w:val="20"/>
          <w:color w:val="auto"/>
        </w:rPr>
      </w:pPr>
      <w:r>
        <w:rPr>
          <w:rFonts w:ascii="Arial" w:cs="Arial" w:eastAsia="Arial" w:hAnsi="Arial"/>
          <w:sz w:val="17"/>
          <w:szCs w:val="17"/>
          <w:color w:val="auto"/>
        </w:rPr>
        <w:t>Address of Building:</w:t>
      </w:r>
      <w:r>
        <w:rPr>
          <w:sz w:val="20"/>
          <w:szCs w:val="20"/>
          <w:color w:val="auto"/>
        </w:rPr>
        <w:tab/>
      </w:r>
      <w:r>
        <w:rPr>
          <w:rFonts w:ascii="Arial" w:cs="Arial" w:eastAsia="Arial" w:hAnsi="Arial"/>
          <w:sz w:val="15"/>
          <w:szCs w:val="15"/>
          <w:color w:val="auto"/>
        </w:rPr>
        <w:t>99 Hayden Avenue/128 Spring Street, Lexington, Massachusetts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Number of Rentable Square Feet in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Rent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Lease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Tenant’s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Billing Address for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02" w:lineRule="exact"/>
        <w:rPr>
          <w:sz w:val="20"/>
          <w:szCs w:val="20"/>
          <w:color w:val="auto"/>
        </w:rPr>
      </w:pPr>
    </w:p>
    <w:p>
      <w:pPr>
        <w:ind w:left="440"/>
        <w:spacing w:after="0"/>
        <w:tabs>
          <w:tab w:leader="none" w:pos="4460" w:val="left"/>
        </w:tabs>
        <w:rPr>
          <w:sz w:val="20"/>
          <w:szCs w:val="20"/>
          <w:color w:val="auto"/>
        </w:rPr>
      </w:pPr>
      <w:r>
        <w:rPr>
          <w:rFonts w:ascii="Arial" w:cs="Arial" w:eastAsia="Arial" w:hAnsi="Arial"/>
          <w:sz w:val="17"/>
          <w:szCs w:val="17"/>
          <w:color w:val="auto"/>
        </w:rPr>
        <w:t>Telephone Number:</w:t>
      </w:r>
      <w:r>
        <w:rPr>
          <w:sz w:val="20"/>
          <w:szCs w:val="20"/>
          <w:color w:val="auto"/>
        </w:rPr>
        <w:tab/>
      </w:r>
      <w:r>
        <w:rPr>
          <w:rFonts w:ascii="Arial" w:cs="Arial" w:eastAsia="Arial" w:hAnsi="Arial"/>
          <w:sz w:val="15"/>
          <w:szCs w:val="15"/>
          <w:color w:val="auto"/>
        </w:rPr>
        <w:t>(_____) _______________</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Federal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16510</wp:posOffset>
            </wp:positionV>
            <wp:extent cx="358076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580765" cy="8255"/>
                    </a:xfrm>
                    <a:prstGeom prst="rect">
                      <a:avLst/>
                    </a:prstGeom>
                    <a:noFill/>
                  </pic:spPr>
                </pic:pic>
              </a:graphicData>
            </a:graphic>
          </wp:anchor>
        </w:drawing>
      </w:r>
    </w:p>
    <w:p>
      <w:pPr>
        <w:spacing w:after="0" w:line="215" w:lineRule="exact"/>
        <w:rPr>
          <w:sz w:val="20"/>
          <w:szCs w:val="20"/>
          <w:color w:val="auto"/>
        </w:rPr>
      </w:pPr>
    </w:p>
    <w:p>
      <w:pPr>
        <w:jc w:val="both"/>
        <w:ind w:right="20" w:firstLine="426"/>
        <w:spacing w:after="0" w:line="272" w:lineRule="auto"/>
        <w:rPr>
          <w:sz w:val="20"/>
          <w:szCs w:val="20"/>
          <w:color w:val="auto"/>
        </w:rPr>
      </w:pPr>
      <w:r>
        <w:rPr>
          <w:rFonts w:ascii="Arial" w:cs="Arial" w:eastAsia="Arial" w:hAnsi="Arial"/>
          <w:sz w:val="17"/>
          <w:szCs w:val="17"/>
          <w:color w:val="auto"/>
        </w:rPr>
        <w:t>Tenant acknowledges and agrees that all improvements Landlord is obligated to make to the Premises, if any, have been completed to Tenant’s satisfaction, that Tenant has accepted possession of the Premises, and that as of the date hereof, there exist no offsets or defenses to the obligations of Tenant under the Lease.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405765</wp:posOffset>
            </wp:positionV>
            <wp:extent cx="36734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673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353504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535045" cy="8255"/>
                    </a:xfrm>
                    <a:prstGeom prst="rect">
                      <a:avLst/>
                    </a:prstGeom>
                    <a:noFill/>
                  </pic:spPr>
                </pic:pic>
              </a:graphicData>
            </a:graphic>
          </wp:anchor>
        </w:drawing>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339725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-7620</wp:posOffset>
            </wp:positionV>
            <wp:extent cx="34524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Hereunto duly authorized</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H-1</w:t>
      </w:r>
    </w:p>
    <w:p>
      <w:pPr>
        <w:sectPr>
          <w:pgSz w:w="11900" w:h="16838" w:orient="portrait"/>
          <w:cols w:equalWidth="0" w:num="1">
            <w:col w:w="10400"/>
          </w:cols>
          <w:pgMar w:left="620" w:top="270" w:right="879" w:bottom="1440" w:gutter="0" w:footer="0" w:header="0"/>
        </w:sectPr>
      </w:pPr>
    </w:p>
    <w:bookmarkStart w:id="482" w:name="page483"/>
    <w:bookmarkEnd w:id="482"/>
    <w:p>
      <w:pPr>
        <w:ind w:lef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LANDLORD:</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128 Spring Street Lexington, LLC</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-123190</wp:posOffset>
            </wp:positionV>
            <wp:extent cx="195643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24765</wp:posOffset>
            </wp:positionV>
            <wp:extent cx="19564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956435"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-115570</wp:posOffset>
            </wp:positionV>
            <wp:extent cx="19564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Hereunto duly authorized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H-2</w:t>
      </w:r>
    </w:p>
    <w:p>
      <w:pPr>
        <w:sectPr>
          <w:pgSz w:w="11900" w:h="16838" w:orient="portrait"/>
          <w:cols w:equalWidth="0" w:num="1">
            <w:col w:w="9019"/>
          </w:cols>
          <w:pgMar w:left="1440" w:top="270" w:right="1440" w:bottom="1440" w:gutter="0" w:footer="0" w:header="0"/>
        </w:sectPr>
      </w:pPr>
    </w:p>
    <w:bookmarkStart w:id="483" w:name="page484"/>
    <w:bookmarkEnd w:id="483"/>
    <w:p>
      <w:pPr>
        <w:jc w:val="center"/>
        <w:ind w:right="-81"/>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I</w:t>
      </w:r>
    </w:p>
    <w:p>
      <w:pPr>
        <w:spacing w:after="0" w:line="222" w:lineRule="exact"/>
        <w:rPr>
          <w:sz w:val="20"/>
          <w:szCs w:val="20"/>
          <w:color w:val="auto"/>
        </w:rPr>
      </w:pPr>
    </w:p>
    <w:p>
      <w:pPr>
        <w:jc w:val="center"/>
        <w:ind w:right="-81"/>
        <w:spacing w:after="0"/>
        <w:rPr>
          <w:sz w:val="20"/>
          <w:szCs w:val="20"/>
          <w:color w:val="auto"/>
        </w:rPr>
      </w:pPr>
      <w:r>
        <w:rPr>
          <w:rFonts w:ascii="Arial" w:cs="Arial" w:eastAsia="Arial" w:hAnsi="Arial"/>
          <w:sz w:val="17"/>
          <w:szCs w:val="17"/>
          <w:u w:val="single" w:color="auto"/>
          <w:color w:val="auto"/>
        </w:rPr>
        <w:t>Form of Letter of Credit</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IRREVOCABLE STANDBY LETTER OF CREDIT NO.</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DATE:</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BENEFICIARY:</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128 SPRING STREET LEXINGTON, LLC</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7"/>
          <w:szCs w:val="17"/>
          <w:color w:val="auto"/>
        </w:rPr>
        <w:t>c/o Related Beal, LLC</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7"/>
          <w:szCs w:val="17"/>
          <w:color w:val="auto"/>
        </w:rPr>
        <w:t>177 Milk Street</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7"/>
          <w:szCs w:val="17"/>
          <w:color w:val="auto"/>
        </w:rPr>
        <w:t>Boston, Massachusetts 02109</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7"/>
          <w:szCs w:val="17"/>
          <w:color w:val="auto"/>
        </w:rPr>
        <w:t>AS “LANDLORD”</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APPLICANT: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762635</wp:posOffset>
            </wp:positionV>
            <wp:extent cx="20307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0307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563245</wp:posOffset>
            </wp:positionV>
            <wp:extent cx="203073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0307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364490</wp:posOffset>
            </wp:positionV>
            <wp:extent cx="203073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030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
        <w:spacing w:after="0"/>
        <w:rPr>
          <w:sz w:val="20"/>
          <w:szCs w:val="20"/>
          <w:color w:val="auto"/>
        </w:rPr>
      </w:pPr>
      <w:r>
        <w:rPr>
          <w:rFonts w:ascii="Arial" w:cs="Arial" w:eastAsia="Arial" w:hAnsi="Arial"/>
          <w:sz w:val="17"/>
          <w:szCs w:val="17"/>
          <w:color w:val="auto"/>
        </w:rPr>
        <w:t>AS “TENANT”</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AMOUNT: US $___________________ (______________________________________ AND 00/100 U.S. DOLLARS)</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EXPIRATION DATE:___________________</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7"/>
          <w:szCs w:val="17"/>
          <w:color w:val="auto"/>
        </w:rPr>
        <w:t>LOCATION: AT OUR COUNTERS IN BOSTON, MASSACHUSETTS</w:t>
      </w:r>
    </w:p>
    <w:p>
      <w:pPr>
        <w:spacing w:after="0" w:line="327" w:lineRule="exact"/>
        <w:rPr>
          <w:sz w:val="20"/>
          <w:szCs w:val="20"/>
          <w:color w:val="auto"/>
        </w:rPr>
      </w:pPr>
    </w:p>
    <w:p>
      <w:pPr>
        <w:ind w:left="2"/>
        <w:spacing w:after="0"/>
        <w:rPr>
          <w:sz w:val="20"/>
          <w:szCs w:val="20"/>
          <w:color w:val="auto"/>
        </w:rPr>
      </w:pPr>
      <w:r>
        <w:rPr>
          <w:rFonts w:ascii="Arial" w:cs="Arial" w:eastAsia="Arial" w:hAnsi="Arial"/>
          <w:sz w:val="17"/>
          <w:szCs w:val="17"/>
          <w:color w:val="auto"/>
        </w:rPr>
        <w:t>DEAR SIR/MADAM:</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7"/>
          <w:szCs w:val="17"/>
          <w:color w:val="auto"/>
        </w:rPr>
        <w:t>WE HEREBY ESTABLISH OUR IRREVOCABLE STANDBY LETTER OF CREDIT NO. ____________ IN YOUR FAVOR AVAILABLE BY</w:t>
      </w:r>
    </w:p>
    <w:p>
      <w:pPr>
        <w:spacing w:after="0" w:line="26" w:lineRule="exact"/>
        <w:rPr>
          <w:sz w:val="20"/>
          <w:szCs w:val="20"/>
          <w:color w:val="auto"/>
        </w:rPr>
      </w:pPr>
    </w:p>
    <w:p>
      <w:pPr>
        <w:ind w:left="2" w:right="520"/>
        <w:spacing w:after="0" w:line="272" w:lineRule="auto"/>
        <w:rPr>
          <w:sz w:val="20"/>
          <w:szCs w:val="20"/>
          <w:color w:val="auto"/>
        </w:rPr>
      </w:pPr>
      <w:r>
        <w:rPr>
          <w:rFonts w:ascii="Arial" w:cs="Arial" w:eastAsia="Arial" w:hAnsi="Arial"/>
          <w:sz w:val="17"/>
          <w:szCs w:val="17"/>
          <w:color w:val="auto"/>
        </w:rPr>
        <w:t xml:space="preserve">YOUR DRAFT DRAWN ON US AT SIGHT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AND ACCOMPANIED BY THE FOLLOWING DOCUMENTS:</w:t>
      </w:r>
    </w:p>
    <w:p>
      <w:pPr>
        <w:spacing w:after="0" w:line="171" w:lineRule="exact"/>
        <w:rPr>
          <w:sz w:val="20"/>
          <w:szCs w:val="20"/>
          <w:color w:val="auto"/>
        </w:rPr>
      </w:pPr>
    </w:p>
    <w:p>
      <w:pPr>
        <w:ind w:left="182" w:hanging="182"/>
        <w:spacing w:after="0"/>
        <w:tabs>
          <w:tab w:leader="none" w:pos="182"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ORIGINAL OF THIS LETTER OF CREDIT AND ALL AMENDMENT(S), IF ANY.</w:t>
      </w:r>
    </w:p>
    <w:p>
      <w:pPr>
        <w:spacing w:after="0" w:line="222" w:lineRule="exact"/>
        <w:rPr>
          <w:rFonts w:ascii="Arial" w:cs="Arial" w:eastAsia="Arial" w:hAnsi="Arial"/>
          <w:sz w:val="17"/>
          <w:szCs w:val="17"/>
          <w:color w:val="auto"/>
        </w:rPr>
      </w:pPr>
    </w:p>
    <w:p>
      <w:pPr>
        <w:ind w:left="2" w:right="500" w:hanging="2"/>
        <w:spacing w:after="0" w:line="287" w:lineRule="auto"/>
        <w:tabs>
          <w:tab w:leader="none" w:pos="176" w:val="left"/>
        </w:tabs>
        <w:numPr>
          <w:ilvl w:val="0"/>
          <w:numId w:val="436"/>
        </w:numPr>
        <w:rPr>
          <w:rFonts w:ascii="Arial" w:cs="Arial" w:eastAsia="Arial" w:hAnsi="Arial"/>
          <w:sz w:val="17"/>
          <w:szCs w:val="17"/>
          <w:color w:val="auto"/>
        </w:rPr>
      </w:pPr>
      <w:r>
        <w:rPr>
          <w:rFonts w:ascii="Arial" w:cs="Arial" w:eastAsia="Arial" w:hAnsi="Arial"/>
          <w:sz w:val="17"/>
          <w:szCs w:val="17"/>
          <w:color w:val="auto"/>
        </w:rPr>
        <w:t>A DATED CERTIFICATION FROM THE BENEFICIARY SIGNED BY AN AUTHORIZED OFFICER OR AGENT, FOLLOWED BY ITS DESIGNATED TITLE, STATING THE FOLLOWING:</w:t>
      </w:r>
    </w:p>
    <w:p>
      <w:pPr>
        <w:spacing w:after="0" w:line="54" w:lineRule="exact"/>
        <w:rPr>
          <w:rFonts w:ascii="Arial" w:cs="Arial" w:eastAsia="Arial" w:hAnsi="Arial"/>
          <w:sz w:val="17"/>
          <w:szCs w:val="17"/>
          <w:color w:val="auto"/>
        </w:rPr>
      </w:pPr>
    </w:p>
    <w:p>
      <w:pPr>
        <w:ind w:left="422" w:firstLine="4"/>
        <w:spacing w:after="0" w:line="287" w:lineRule="auto"/>
        <w:tabs>
          <w:tab w:leader="none" w:pos="707"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“THE AMOUNT REPRESENTS FUNDS DUE AND OWING TO US FROM APPLICANT PURSUANT TO THAT CERTAIN LEASE BY AND BETWEEN BENEFICIARY, AS LANDLORD, AND APPLICANT, AS TENANT.”</w:t>
      </w:r>
    </w:p>
    <w:p>
      <w:pPr>
        <w:spacing w:after="0" w:line="94" w:lineRule="exact"/>
        <w:rPr>
          <w:sz w:val="20"/>
          <w:szCs w:val="20"/>
          <w:color w:val="auto"/>
        </w:rPr>
      </w:pPr>
    </w:p>
    <w:p>
      <w:pPr>
        <w:jc w:val="center"/>
        <w:ind w:right="-81"/>
        <w:spacing w:after="0"/>
        <w:rPr>
          <w:sz w:val="20"/>
          <w:szCs w:val="20"/>
          <w:color w:val="auto"/>
        </w:rPr>
      </w:pPr>
      <w:r>
        <w:rPr>
          <w:rFonts w:ascii="Arial" w:cs="Arial" w:eastAsia="Arial" w:hAnsi="Arial"/>
          <w:sz w:val="17"/>
          <w:szCs w:val="17"/>
          <w:color w:val="auto"/>
        </w:rPr>
        <w:t>I-1</w:t>
      </w:r>
    </w:p>
    <w:p>
      <w:pPr>
        <w:sectPr>
          <w:pgSz w:w="11900" w:h="16838" w:orient="portrait"/>
          <w:cols w:equalWidth="0" w:num="1">
            <w:col w:w="10562"/>
          </w:cols>
          <w:pgMar w:left="618" w:top="270" w:right="719" w:bottom="1440" w:gutter="0" w:footer="0" w:header="0"/>
        </w:sectPr>
      </w:pPr>
    </w:p>
    <w:bookmarkStart w:id="484" w:name="page485"/>
    <w:bookmarkEnd w:id="48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OR</w:t>
      </w:r>
    </w:p>
    <w:p>
      <w:pPr>
        <w:spacing w:after="0" w:line="222" w:lineRule="exact"/>
        <w:rPr>
          <w:sz w:val="20"/>
          <w:szCs w:val="20"/>
          <w:color w:val="auto"/>
        </w:rPr>
      </w:pPr>
    </w:p>
    <w:p>
      <w:pPr>
        <w:ind w:right="80" w:firstLine="424"/>
        <w:spacing w:after="0" w:line="266" w:lineRule="auto"/>
        <w:tabs>
          <w:tab w:leader="none" w:pos="701" w:val="left"/>
        </w:tabs>
        <w:numPr>
          <w:ilvl w:val="0"/>
          <w:numId w:val="437"/>
        </w:numPr>
        <w:rPr>
          <w:rFonts w:ascii="Arial" w:cs="Arial" w:eastAsia="Arial" w:hAnsi="Arial"/>
          <w:sz w:val="17"/>
          <w:szCs w:val="17"/>
          <w:color w:val="auto"/>
        </w:rPr>
      </w:pPr>
      <w:r>
        <w:rPr>
          <w:rFonts w:ascii="Arial" w:cs="Arial" w:eastAsia="Arial" w:hAnsi="Arial"/>
          <w:sz w:val="17"/>
          <w:szCs w:val="17"/>
          <w:color w:val="auto"/>
        </w:rPr>
        <w:t>“WE HEREBY CERTIFY THAT WE HAVE RECEIVED NOTICE FROM __________________ BANK THAT LETTER OF CREDIT NO._______________ WILL NOT BE RENEWED, AND THAT WE HAVE NOT RECEIVED A REPLACEMENT OF THIS LETTER OF CREDIT FROM APPLICANT SATISFACTORY TO US AT LEAST THIRTY (30) DAYS PRIOR TO THE EXPIRATION DATE OF THIS LETTER OF CREDIT.”</w:t>
      </w:r>
    </w:p>
    <w:p>
      <w:pPr>
        <w:spacing w:after="0" w:line="17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THE LEASE AGREEMENT MENTIONED ABOVE IS FOR IDENTIFICATION PURPOSES ONLY AND IT IS NOT INTENDED THAT SAID LEASE AGREEMENT BE INCORPORATED HEREIN OR FORM PART OF THIS LETTER OF CREDIT.</w:t>
      </w:r>
    </w:p>
    <w:p>
      <w:pPr>
        <w:spacing w:after="0" w:line="15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OBLIGATION UNDER THIS CREDIT SHALL NOT BE AFFECTED BY ANY CIRCUMSTANCES, CLAIM OR DEFENSE, REAL OR PERSONAL, OF ANY PARTY AS TO THE ENFORCEABILITY OF THE LEASE BETWEEN YOU AND TENANT, IT BEING UNDERSTOOD THAT OUR OBLIGATION SHALL BE THAT OF A PRIMARY OBLIGOR AND NOT THAT OF A SURETY, GUARANTOR OR ACCOMMODATION MAKER. IF YOU DELIVER THE WRITTEN CERTIFICATE REFERENCED ABOVE TO US, (I) WE SHALL HAVE NO OBLIGATION TO DETERMINE WHETHER ANY OF THE STATEMENTS THEREIN ARE TRUE, (II) OUR OBLIGATIONS HEREUNDER SHALL NOT BE AFFECTED IN ANY MANNER WHATSOEVER IF THE STATEMENTS MADE IN SUCH CERTIFICATE ARE UNTRUE IN WHOLE OR IN PART, AND (III) OUR OBLIGATIONS HEREUNDER SHALL NOT BE AFFECTED IN ANY MANNER WHATSOEVER IF TENANT DELIVERS INSTRUCTIONS OR CORRESPONDENCE TO WHICH EITHER (A) DENIES THE TRUTH OF THE STATEMENT SET FORTH IN THE CERTIFICATE REFERRED TO ABOVE, OR (B) INSTRUCTS US NOT TO PAY BENEFICIARY ON THIS CREDIT FOR ANY REASON WHATSOEVER.</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PARTIAL AND MULTIPLE DRAWS ARE ALLOWED. EXCEPT AS EXPRESSLY SET FORTH HEREIN, THIS LETTER OF CREDIT MUST ACCOMPANY ANY DRAWINGS HEREUNDER FOR ENDORSEMENT OF THE DRAWING AMOUNT AND WILL BE RETURNED TO THE BENEFICIARY UNLESS IT IS FULLY UTILIZED.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DRAFT(S) AND DOCUMENTS MUST INDICATE THE NUMBER AND DATE OF THIS LETTER OF CREDIT.</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THIS LETTER OF CREDIT SHALL BE AUTOMATICALLY EXTENDED FOR AN ADDITIONAL PERIOD OF ONE YEAR, WITHOUT AMENDMENT, FROM THE PRESENT OR EACH FUTURE EXPIRATION DATE UNLESS AT LEAST SIXTY (60) DAYS PRIOR TO THE THEN CURRENT EXPIRATION DATE WE NOTIFY YOU BY REGISTERED MAIL/OVERNIGHT COURIER SERVICE AT THE ABOVE ADDRESSES THAT THIS LETTER OF CREDIT WILL NOT BE EXTENDED BEYOND THE CURRENT EXPIRATION DATE. IN NO EVENT SHALL THIS LETTER OF CREDIT BE AUTOMATICALLY EXTENDED BEYOND NINETY (90) DAYS BEYOND LEASE EXPIRATION.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I-2</w:t>
      </w:r>
    </w:p>
    <w:p>
      <w:pPr>
        <w:sectPr>
          <w:pgSz w:w="11900" w:h="16838" w:orient="portrait"/>
          <w:cols w:equalWidth="0" w:num="1">
            <w:col w:w="10600"/>
          </w:cols>
          <w:pgMar w:left="620" w:top="270" w:right="679" w:bottom="1440" w:gutter="0" w:footer="0" w:header="0"/>
        </w:sectPr>
      </w:pPr>
    </w:p>
    <w:bookmarkStart w:id="485" w:name="page486"/>
    <w:bookmarkEnd w:id="485"/>
    <w:p>
      <w:pPr>
        <w:ind w:right="2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THIS LETTER OF CREDIT MAY BE TRANSFERRED WITHOUT COST TO THE BENEFICIARY, ONE OR MORE TIMES BUT IN EACH INSTANCE TO A SINGLE BENEFICIARY WHO BECOMES THE SUCCESSOR LANDLORD UNDER THE LEASE REFERENCED ABOVE AND ONLY IN THE FULL AMOUNT AVAILABLE TO BE DRAWN UNDER THE LETTER OF CREDIT AT THE TIME OF THE TRANSFER AND ONLY BY THE ISSUING BANK UPON OUR RECEIPT OF THE ATTACHED “EXHIBIT A” DULY COMPLETED AND EXECUTED BY THE BENEFICIARY AND ACCOMPANIED BY THE ORIGINAL LETTER OF CREDIT AND ALL AMENDMENTS, IF ANY.</w:t>
      </w:r>
    </w:p>
    <w:p>
      <w:pPr>
        <w:spacing w:after="0" w:line="17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ALL DEMANDS FOR PAYMENT SHALL BE MADE BY PRESENTATION OF THE ORIGINAL APPROPRIATE DOCUMENTS PRIOR TO 10:00 A.M. E.S.T. TIME, ON A BUSINESS DAY AT OUR OFFICE (THE “BANK’S OFFICE”) AT: 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_________________________ OR BY FACSIMILE TRANSMISSION AT: (617) ____-______; AND SIMULTANEOUSLY UNDER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TELEPHONE ADVICE TO: (617) ____-______, ATTENTION: ___________________ WITH ORIGINALS TO FOLLOW BY OVERNIGHT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COURIER SERVICE.</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PAYMENT AGAINST CONFORMING PRESENTATIONS HEREUNDER SHALL BE MADE BY BANK DURING NORMAL BUSINESS HOURS OF THE BANK’S OFFICE WITHIN ONE (1) BUSINESS DAY AFTER PRESENTATION.</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HEREBY AGREE WITH THE DRAWERS, ENDORSERS AND BONAFIDE HOLDERS THAT THE DRAFTS DRAWN UNDER AND IN ACCORDANCE WITH THE TERMS AND CONDITIONS OF THIS LETTER OF CREDIT SHALL BE DULY HONORED UPON PRESENTATION TO THE DRAWEE, IF NEGOTIATED ON OR BEFORE THE EXPIRATION DATE OF THIS CREDIT.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THIS LETTER OF CREDIT IS SUBJECT TO THE UNIFORM CUSTOMS AND PRACTICE FOR DOCUMENTARY CREDITS (2007 REVISION), INTERNATIONAL CHAMBER OF COMMERCE, PUBLICATION NO.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241300</wp:posOffset>
            </wp:positionV>
            <wp:extent cx="31750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1750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wp:posOffset>
            </wp:positionV>
            <wp:extent cx="3183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AUTHORIZED SIGNATURE</w:t>
      </w:r>
      <w:r>
        <w:rPr>
          <w:sz w:val="20"/>
          <w:szCs w:val="20"/>
          <w:color w:val="auto"/>
        </w:rPr>
        <w:tab/>
      </w:r>
      <w:r>
        <w:rPr>
          <w:rFonts w:ascii="Arial" w:cs="Arial" w:eastAsia="Arial" w:hAnsi="Arial"/>
          <w:sz w:val="16"/>
          <w:szCs w:val="16"/>
          <w:color w:val="auto"/>
        </w:rPr>
        <w:t>AUTHORIZED SIGNATURE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I-3</w:t>
      </w:r>
    </w:p>
    <w:p>
      <w:pPr>
        <w:sectPr>
          <w:pgSz w:w="11900" w:h="16838" w:orient="portrait"/>
          <w:cols w:equalWidth="0" w:num="1">
            <w:col w:w="10640"/>
          </w:cols>
          <w:pgMar w:left="620" w:top="270" w:right="639"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2540" w:type="dxa"/>
            <w:vAlign w:val="bottom"/>
            <w:gridSpan w:val="2"/>
          </w:tcPr>
          <w:p>
            <w:pPr>
              <w:ind w:left="1520"/>
              <w:spacing w:after="0"/>
              <w:rPr>
                <w:sz w:val="20"/>
                <w:szCs w:val="20"/>
                <w:color w:val="auto"/>
              </w:rPr>
            </w:pPr>
            <w:r>
              <w:rPr>
                <w:rFonts w:ascii="Arial" w:cs="Arial" w:eastAsia="Arial" w:hAnsi="Arial"/>
                <w:sz w:val="17"/>
                <w:szCs w:val="17"/>
                <w:color w:val="auto"/>
              </w:rPr>
              <w:t>EXHIBIT “A”</w:t>
            </w:r>
          </w:p>
        </w:tc>
      </w:tr>
      <w:tr>
        <w:trPr>
          <w:trHeight w:val="437"/>
        </w:trPr>
        <w:tc>
          <w:tcPr>
            <w:tcW w:w="3300" w:type="dxa"/>
            <w:vAlign w:val="bottom"/>
          </w:tcPr>
          <w:p>
            <w:pPr>
              <w:spacing w:after="0"/>
              <w:rPr>
                <w:sz w:val="20"/>
                <w:szCs w:val="20"/>
                <w:color w:val="auto"/>
              </w:rPr>
            </w:pPr>
            <w:r>
              <w:rPr>
                <w:rFonts w:ascii="Arial" w:cs="Arial" w:eastAsia="Arial" w:hAnsi="Arial"/>
                <w:sz w:val="17"/>
                <w:szCs w:val="17"/>
                <w:color w:val="auto"/>
              </w:rPr>
              <w:t>DATE:</w:t>
            </w:r>
          </w:p>
        </w:tc>
        <w:tc>
          <w:tcPr>
            <w:tcW w:w="15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7"/>
                <w:szCs w:val="17"/>
                <w:color w:val="auto"/>
              </w:rPr>
              <w:t>TO:</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7"/>
                <w:szCs w:val="17"/>
                <w:color w:val="auto"/>
              </w:rPr>
              <w:t>RE: STANDBY LETTER OF CREDIT</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4"/>
        </w:trPr>
        <w:tc>
          <w:tcPr>
            <w:tcW w:w="3300" w:type="dxa"/>
            <w:vAlign w:val="bottom"/>
          </w:tcPr>
          <w:p>
            <w:pPr>
              <w:spacing w:after="0"/>
              <w:rPr>
                <w:sz w:val="20"/>
                <w:szCs w:val="20"/>
                <w:color w:val="auto"/>
              </w:rPr>
            </w:pPr>
            <w:r>
              <w:rPr>
                <w:rFonts w:ascii="Arial" w:cs="Arial" w:eastAsia="Arial" w:hAnsi="Arial"/>
                <w:sz w:val="17"/>
                <w:szCs w:val="17"/>
                <w:color w:val="auto"/>
              </w:rPr>
              <w:t>NO.</w:t>
            </w:r>
          </w:p>
        </w:tc>
        <w:tc>
          <w:tcPr>
            <w:tcW w:w="2540" w:type="dxa"/>
            <w:vAlign w:val="bottom"/>
            <w:gridSpan w:val="2"/>
          </w:tcPr>
          <w:p>
            <w:pPr>
              <w:ind w:left="540"/>
              <w:spacing w:after="0"/>
              <w:rPr>
                <w:sz w:val="20"/>
                <w:szCs w:val="20"/>
                <w:color w:val="auto"/>
              </w:rPr>
            </w:pPr>
            <w:r>
              <w:rPr>
                <w:rFonts w:ascii="Arial" w:cs="Arial" w:eastAsia="Arial" w:hAnsi="Arial"/>
                <w:sz w:val="17"/>
                <w:szCs w:val="17"/>
                <w:color w:val="auto"/>
              </w:rPr>
              <w:t>ISSUED BY</w:t>
            </w:r>
          </w:p>
        </w:tc>
      </w:tr>
      <w:tr>
        <w:trPr>
          <w:trHeight w:val="418"/>
        </w:trPr>
        <w:tc>
          <w:tcPr>
            <w:tcW w:w="3300" w:type="dxa"/>
            <w:vAlign w:val="bottom"/>
          </w:tcPr>
          <w:p>
            <w:pPr>
              <w:spacing w:after="0"/>
              <w:rPr>
                <w:sz w:val="20"/>
                <w:szCs w:val="20"/>
                <w:color w:val="auto"/>
              </w:rPr>
            </w:pPr>
            <w:r>
              <w:rPr>
                <w:rFonts w:ascii="Arial" w:cs="Arial" w:eastAsia="Arial" w:hAnsi="Arial"/>
                <w:sz w:val="17"/>
                <w:szCs w:val="17"/>
                <w:color w:val="auto"/>
              </w:rPr>
              <w:t>ATTN:</w:t>
            </w:r>
          </w:p>
        </w:tc>
        <w:tc>
          <w:tcPr>
            <w:tcW w:w="2540" w:type="dxa"/>
            <w:vAlign w:val="bottom"/>
            <w:gridSpan w:val="2"/>
          </w:tcPr>
          <w:p>
            <w:pPr>
              <w:ind w:left="540"/>
              <w:spacing w:after="0"/>
              <w:rPr>
                <w:sz w:val="20"/>
                <w:szCs w:val="20"/>
                <w:color w:val="auto"/>
              </w:rPr>
            </w:pPr>
            <w:r>
              <w:rPr>
                <w:rFonts w:ascii="Arial" w:cs="Arial" w:eastAsia="Arial" w:hAnsi="Arial"/>
                <w:sz w:val="17"/>
                <w:szCs w:val="17"/>
                <w:color w:val="auto"/>
              </w:rPr>
              <w:t>L/C AMOUNT:</w:t>
            </w:r>
          </w:p>
        </w:tc>
      </w:tr>
      <w:tr>
        <w:trPr>
          <w:trHeight w:val="418"/>
        </w:trPr>
        <w:tc>
          <w:tcPr>
            <w:tcW w:w="3300" w:type="dxa"/>
            <w:vAlign w:val="bottom"/>
          </w:tcPr>
          <w:p>
            <w:pPr>
              <w:spacing w:after="0"/>
              <w:rPr>
                <w:sz w:val="20"/>
                <w:szCs w:val="20"/>
                <w:color w:val="auto"/>
              </w:rPr>
            </w:pPr>
            <w:r>
              <w:rPr>
                <w:rFonts w:ascii="Arial" w:cs="Arial" w:eastAsia="Arial" w:hAnsi="Arial"/>
                <w:sz w:val="17"/>
                <w:szCs w:val="17"/>
                <w:color w:val="auto"/>
              </w:rPr>
              <w:t>LADIES AND GENTLEMEN:</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 VALUE RECEIVED, THE UNDERSIGNED BENEFICIARY HEREBY IRREVOCABLY TRANSFERS TO:</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 OF TRANSFEREE)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22"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ALL RIGHTS OF THE UNDERSIGNED BENEFICIARY TO DRAW UNDER THE ABOVE LETTER OF CREDIT UP TO ITS AVAILABLE AMOUNT AS SHOWN ABOVE AS OF THE DATE OF THIS TRANSFER.</w:t>
      </w:r>
    </w:p>
    <w:p>
      <w:pPr>
        <w:spacing w:after="0" w:line="15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78" w:lineRule="exact"/>
        <w:rPr>
          <w:sz w:val="20"/>
          <w:szCs w:val="20"/>
          <w:color w:val="auto"/>
        </w:rPr>
      </w:pPr>
    </w:p>
    <w:p>
      <w:pPr>
        <w:ind w:right="120"/>
        <w:spacing w:after="0" w:line="320" w:lineRule="auto"/>
        <w:rPr>
          <w:sz w:val="20"/>
          <w:szCs w:val="20"/>
          <w:color w:val="auto"/>
        </w:rPr>
      </w:pPr>
      <w:r>
        <w:rPr>
          <w:rFonts w:ascii="Arial" w:cs="Arial" w:eastAsia="Arial" w:hAnsi="Arial"/>
          <w:sz w:val="16"/>
          <w:szCs w:val="16"/>
          <w:color w:val="auto"/>
        </w:rPr>
        <w:t>THE ORIGINAL OF SUCH LETTER OF CREDIT IS RETURNED HEREWITH, AND WE ASK YOU TO ENDORSE THE TRANSFER ON THE REVERSE THEREOF, AND FORWARD IT DIRECTLY TO THE TRANSFEREE WITH YOUR CUSTOMARY NOTICE OF TRANSFER.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27019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67640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7640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SIGNATURE OF BENEFICIARY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67640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76402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676402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7640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I-4</w:t>
      </w:r>
    </w:p>
    <w:p>
      <w:pPr>
        <w:sectPr>
          <w:pgSz w:w="11900" w:h="16838" w:orient="portrait"/>
          <w:cols w:equalWidth="0" w:num="1">
            <w:col w:w="10560"/>
          </w:cols>
          <w:pgMar w:left="620" w:top="257" w:right="71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EXHIBIT “B”</w:t>
            </w:r>
          </w:p>
        </w:tc>
      </w:tr>
      <w:tr>
        <w:trPr>
          <w:trHeight w:val="463"/>
        </w:trPr>
        <w:tc>
          <w:tcPr>
            <w:tcW w:w="4340" w:type="dxa"/>
            <w:vAlign w:val="bottom"/>
            <w:gridSpan w:val="3"/>
          </w:tcPr>
          <w:p>
            <w:pPr>
              <w:spacing w:after="0"/>
              <w:rPr>
                <w:sz w:val="20"/>
                <w:szCs w:val="20"/>
                <w:color w:val="auto"/>
              </w:rPr>
            </w:pPr>
            <w:r>
              <w:rPr>
                <w:rFonts w:ascii="Arial" w:cs="Arial" w:eastAsia="Arial" w:hAnsi="Arial"/>
                <w:sz w:val="17"/>
                <w:szCs w:val="17"/>
                <w:color w:val="auto"/>
              </w:rPr>
              <w:t>DATE: _______________</w:t>
            </w:r>
          </w:p>
        </w:tc>
        <w:tc>
          <w:tcPr>
            <w:tcW w:w="4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40" w:type="dxa"/>
            <w:vAlign w:val="bottom"/>
            <w:gridSpan w:val="2"/>
          </w:tcPr>
          <w:p>
            <w:pPr>
              <w:ind w:left="2800"/>
              <w:spacing w:after="0"/>
              <w:rPr>
                <w:sz w:val="20"/>
                <w:szCs w:val="20"/>
                <w:color w:val="auto"/>
              </w:rPr>
            </w:pPr>
            <w:r>
              <w:rPr>
                <w:rFonts w:ascii="Arial" w:cs="Arial" w:eastAsia="Arial" w:hAnsi="Arial"/>
                <w:sz w:val="17"/>
                <w:szCs w:val="17"/>
                <w:color w:val="auto"/>
                <w:w w:val="91"/>
              </w:rPr>
              <w:t>REF. NO. _______________</w:t>
            </w:r>
          </w:p>
        </w:tc>
      </w:tr>
      <w:tr>
        <w:trPr>
          <w:trHeight w:val="418"/>
        </w:trPr>
        <w:tc>
          <w:tcPr>
            <w:tcW w:w="4340" w:type="dxa"/>
            <w:vAlign w:val="bottom"/>
            <w:gridSpan w:val="3"/>
          </w:tcPr>
          <w:p>
            <w:pPr>
              <w:spacing w:after="0"/>
              <w:rPr>
                <w:sz w:val="20"/>
                <w:szCs w:val="20"/>
                <w:color w:val="auto"/>
              </w:rPr>
            </w:pPr>
            <w:r>
              <w:rPr>
                <w:rFonts w:ascii="Arial" w:cs="Arial" w:eastAsia="Arial" w:hAnsi="Arial"/>
                <w:sz w:val="17"/>
                <w:szCs w:val="17"/>
                <w:color w:val="auto"/>
              </w:rPr>
              <w:t>AT SIGHT OF THIS DRAFT</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4340" w:type="dxa"/>
            <w:vAlign w:val="bottom"/>
            <w:gridSpan w:val="3"/>
          </w:tcPr>
          <w:p>
            <w:pPr>
              <w:spacing w:after="0"/>
              <w:rPr>
                <w:sz w:val="20"/>
                <w:szCs w:val="20"/>
                <w:color w:val="auto"/>
              </w:rPr>
            </w:pPr>
            <w:r>
              <w:rPr>
                <w:rFonts w:ascii="Arial" w:cs="Arial" w:eastAsia="Arial" w:hAnsi="Arial"/>
                <w:sz w:val="17"/>
                <w:szCs w:val="17"/>
                <w:color w:val="auto"/>
                <w:w w:val="94"/>
              </w:rPr>
              <w:t>PAY TO THE ORDER OF ___________________________</w:t>
            </w:r>
          </w:p>
        </w:tc>
        <w:tc>
          <w:tcPr>
            <w:tcW w:w="6320" w:type="dxa"/>
            <w:vAlign w:val="bottom"/>
            <w:gridSpan w:val="4"/>
          </w:tcPr>
          <w:p>
            <w:pPr>
              <w:ind w:left="100"/>
              <w:spacing w:after="0"/>
              <w:rPr>
                <w:sz w:val="20"/>
                <w:szCs w:val="20"/>
                <w:color w:val="auto"/>
              </w:rPr>
            </w:pPr>
            <w:r>
              <w:rPr>
                <w:rFonts w:ascii="Arial" w:cs="Arial" w:eastAsia="Arial" w:hAnsi="Arial"/>
                <w:sz w:val="17"/>
                <w:szCs w:val="17"/>
                <w:color w:val="auto"/>
              </w:rPr>
              <w:t>US$_______________________</w:t>
            </w:r>
          </w:p>
        </w:tc>
      </w:tr>
      <w:tr>
        <w:trPr>
          <w:trHeight w:val="379"/>
        </w:trPr>
        <w:tc>
          <w:tcPr>
            <w:tcW w:w="4340" w:type="dxa"/>
            <w:vAlign w:val="bottom"/>
            <w:gridSpan w:val="3"/>
          </w:tcPr>
          <w:p>
            <w:pPr>
              <w:spacing w:after="0"/>
              <w:rPr>
                <w:sz w:val="20"/>
                <w:szCs w:val="20"/>
                <w:color w:val="auto"/>
              </w:rPr>
            </w:pPr>
            <w:r>
              <w:rPr>
                <w:rFonts w:ascii="Arial" w:cs="Arial" w:eastAsia="Arial" w:hAnsi="Arial"/>
                <w:sz w:val="17"/>
                <w:szCs w:val="17"/>
                <w:color w:val="auto"/>
              </w:rPr>
              <w:t>USDOLLARS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10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67"/>
        </w:trPr>
        <w:tc>
          <w:tcPr>
            <w:tcW w:w="10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DRAWN UNDER _____________________ BANK, ___________________, ______________________, STANDBY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LETTER OF CREDIT NUMBER NO. _________________ DATED __________________________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__________________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298450</wp:posOffset>
            </wp:positionV>
            <wp:extent cx="290131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273050</wp:posOffset>
            </wp:positionV>
            <wp:extent cx="11322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780"/>
        <w:spacing w:after="0"/>
        <w:tabs>
          <w:tab w:leader="none" w:pos="6060" w:val="left"/>
        </w:tabs>
        <w:rPr>
          <w:sz w:val="20"/>
          <w:szCs w:val="20"/>
          <w:color w:val="auto"/>
        </w:rPr>
      </w:pPr>
      <w:r>
        <w:rPr>
          <w:rFonts w:ascii="Arial" w:cs="Arial" w:eastAsia="Arial" w:hAnsi="Arial"/>
          <w:sz w:val="17"/>
          <w:szCs w:val="17"/>
          <w:color w:val="auto"/>
        </w:rPr>
        <w:t>, MA</w:t>
      </w:r>
      <w:r>
        <w:rPr>
          <w:sz w:val="20"/>
          <w:szCs w:val="20"/>
          <w:color w:val="auto"/>
        </w:rPr>
        <w:tab/>
      </w:r>
      <w:r>
        <w:rPr>
          <w:rFonts w:ascii="Arial" w:cs="Arial" w:eastAsia="Arial" w:hAnsi="Arial"/>
          <w:sz w:val="17"/>
          <w:szCs w:val="17"/>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414020</wp:posOffset>
            </wp:positionV>
            <wp:extent cx="290131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113220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Authorized Signature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I-5</w:t>
      </w:r>
    </w:p>
    <w:p>
      <w:pPr>
        <w:sectPr>
          <w:pgSz w:w="11900" w:h="16838" w:orient="portrait"/>
          <w:cols w:equalWidth="0" w:num="1">
            <w:col w:w="10660"/>
          </w:cols>
          <w:pgMar w:left="620" w:top="257" w:right="619" w:bottom="1440" w:gutter="0" w:footer="0" w:header="0"/>
        </w:sectPr>
      </w:pPr>
    </w:p>
    <w:bookmarkStart w:id="488" w:name="page489"/>
    <w:bookmarkEnd w:id="48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FIRST AMENDMENT TO LEASE</w:t>
      </w:r>
    </w:p>
    <w:p>
      <w:pPr>
        <w:spacing w:after="0" w:line="222" w:lineRule="exact"/>
        <w:rPr>
          <w:sz w:val="20"/>
          <w:szCs w:val="20"/>
          <w:color w:val="auto"/>
        </w:rPr>
      </w:pPr>
    </w:p>
    <w:p>
      <w:pPr>
        <w:ind w:right="160" w:firstLine="426"/>
        <w:spacing w:after="0" w:line="295" w:lineRule="auto"/>
        <w:rPr>
          <w:sz w:val="20"/>
          <w:szCs w:val="20"/>
          <w:color w:val="auto"/>
        </w:rPr>
      </w:pPr>
      <w:r>
        <w:rPr>
          <w:rFonts w:ascii="Arial" w:cs="Arial" w:eastAsia="Arial" w:hAnsi="Arial"/>
          <w:sz w:val="17"/>
          <w:szCs w:val="17"/>
          <w:color w:val="auto"/>
        </w:rPr>
        <w:t>This First Amendment to Lease (“</w:t>
      </w:r>
      <w:r>
        <w:rPr>
          <w:rFonts w:ascii="Arial" w:cs="Arial" w:eastAsia="Arial" w:hAnsi="Arial"/>
          <w:sz w:val="17"/>
          <w:szCs w:val="17"/>
          <w:u w:val="single" w:color="auto"/>
          <w:color w:val="auto"/>
        </w:rPr>
        <w:t>First Amendment</w:t>
      </w:r>
      <w:r>
        <w:rPr>
          <w:rFonts w:ascii="Arial" w:cs="Arial" w:eastAsia="Arial" w:hAnsi="Arial"/>
          <w:sz w:val="17"/>
          <w:szCs w:val="17"/>
          <w:color w:val="auto"/>
        </w:rPr>
        <w:t>”) is executed as of the 1</w:t>
      </w:r>
      <w:r>
        <w:rPr>
          <w:rFonts w:ascii="Arial" w:cs="Arial" w:eastAsia="Arial" w:hAnsi="Arial"/>
          <w:sz w:val="14"/>
          <w:szCs w:val="14"/>
          <w:color w:val="auto"/>
        </w:rPr>
        <w:t>st</w:t>
      </w:r>
      <w:r>
        <w:rPr>
          <w:rFonts w:ascii="Arial" w:cs="Arial" w:eastAsia="Arial" w:hAnsi="Arial"/>
          <w:sz w:val="17"/>
          <w:szCs w:val="17"/>
          <w:color w:val="auto"/>
        </w:rPr>
        <w:t xml:space="preserve"> day of July, 2019, by and between </w:t>
      </w:r>
      <w:r>
        <w:rPr>
          <w:rFonts w:ascii="Arial" w:cs="Arial" w:eastAsia="Arial" w:hAnsi="Arial"/>
          <w:sz w:val="17"/>
          <w:szCs w:val="17"/>
          <w:b w:val="1"/>
          <w:bCs w:val="1"/>
          <w:color w:val="auto"/>
        </w:rPr>
        <w:t>128 Spring Street Lexington,</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as landlord (“</w:t>
      </w:r>
      <w:r>
        <w:rPr>
          <w:rFonts w:ascii="Arial" w:cs="Arial" w:eastAsia="Arial" w:hAnsi="Arial"/>
          <w:sz w:val="17"/>
          <w:szCs w:val="17"/>
          <w:u w:val="single" w:color="auto"/>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Keros Therapeutics, Inc.</w:t>
      </w:r>
      <w:r>
        <w:rPr>
          <w:rFonts w:ascii="Arial" w:cs="Arial" w:eastAsia="Arial" w:hAnsi="Arial"/>
          <w:sz w:val="17"/>
          <w:szCs w:val="17"/>
          <w:color w:val="auto"/>
        </w:rPr>
        <w:t>, as tenant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B A C K G R O U N D</w:t>
      </w:r>
      <w:r>
        <w:rPr>
          <w:rFonts w:ascii="Arial" w:cs="Arial" w:eastAsia="Arial" w:hAnsi="Arial"/>
          <w:sz w:val="17"/>
          <w:szCs w:val="17"/>
          <w:color w:val="auto"/>
        </w:rPr>
        <w:t>:</w:t>
      </w:r>
    </w:p>
    <w:p>
      <w:pPr>
        <w:spacing w:after="0" w:line="222" w:lineRule="exact"/>
        <w:rPr>
          <w:sz w:val="20"/>
          <w:szCs w:val="20"/>
          <w:color w:val="auto"/>
        </w:rPr>
      </w:pPr>
    </w:p>
    <w:p>
      <w:pPr>
        <w:ind w:right="80" w:firstLine="426"/>
        <w:spacing w:after="0" w:line="324" w:lineRule="auto"/>
        <w:rPr>
          <w:sz w:val="20"/>
          <w:szCs w:val="20"/>
          <w:color w:val="auto"/>
        </w:rPr>
      </w:pPr>
      <w:r>
        <w:rPr>
          <w:rFonts w:ascii="Arial" w:cs="Arial" w:eastAsia="Arial" w:hAnsi="Arial"/>
          <w:sz w:val="15"/>
          <w:szCs w:val="15"/>
          <w:color w:val="auto"/>
        </w:rPr>
        <w:t>A. Reference is made to a certain Lease between, Landlord and Tenant dated March 20, 2017 (the “</w:t>
      </w:r>
      <w:r>
        <w:rPr>
          <w:rFonts w:ascii="Arial" w:cs="Arial" w:eastAsia="Arial" w:hAnsi="Arial"/>
          <w:sz w:val="15"/>
          <w:szCs w:val="15"/>
          <w:u w:val="single" w:color="auto"/>
          <w:color w:val="auto"/>
        </w:rPr>
        <w:t>Lease</w:t>
      </w:r>
      <w:r>
        <w:rPr>
          <w:rFonts w:ascii="Arial" w:cs="Arial" w:eastAsia="Arial" w:hAnsi="Arial"/>
          <w:sz w:val="15"/>
          <w:szCs w:val="15"/>
          <w:color w:val="auto"/>
        </w:rPr>
        <w:t>”) pursuant to which Tenant is currently leasing from Landlord approximately 5,420 rentable square feet of space (the “</w:t>
      </w:r>
      <w:r>
        <w:rPr>
          <w:rFonts w:ascii="Arial" w:cs="Arial" w:eastAsia="Arial" w:hAnsi="Arial"/>
          <w:sz w:val="15"/>
          <w:szCs w:val="15"/>
          <w:u w:val="single" w:color="auto"/>
          <w:color w:val="auto"/>
        </w:rPr>
        <w:t>Premises</w:t>
      </w:r>
      <w:r>
        <w:rPr>
          <w:rFonts w:ascii="Arial" w:cs="Arial" w:eastAsia="Arial" w:hAnsi="Arial"/>
          <w:sz w:val="15"/>
          <w:szCs w:val="15"/>
          <w:color w:val="auto"/>
        </w:rPr>
        <w:t>”) on portions of the 100 level of Building E located at 99 Hayden Avenue, Lexington, Massachusetts. Capitalized terms not otherwise defined herein shall have the meaning ascribed to them in the Lease.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 Landlord and Tenant are the current holders, respectively, of the lessor’s and lessee’s interests in the Lease.</w:t>
      </w:r>
    </w:p>
    <w:p>
      <w:pPr>
        <w:spacing w:after="0" w:line="222" w:lineRule="exact"/>
        <w:rPr>
          <w:sz w:val="20"/>
          <w:szCs w:val="20"/>
          <w:color w:val="auto"/>
        </w:rPr>
      </w:pPr>
    </w:p>
    <w:p>
      <w:pPr>
        <w:jc w:val="center"/>
        <w:ind w:right="120"/>
        <w:spacing w:after="0" w:line="320" w:lineRule="auto"/>
        <w:rPr>
          <w:sz w:val="20"/>
          <w:szCs w:val="20"/>
          <w:color w:val="auto"/>
        </w:rPr>
      </w:pPr>
      <w:r>
        <w:rPr>
          <w:rFonts w:ascii="Arial" w:cs="Arial" w:eastAsia="Arial" w:hAnsi="Arial"/>
          <w:sz w:val="16"/>
          <w:szCs w:val="16"/>
          <w:color w:val="auto"/>
        </w:rPr>
        <w:t>C. Pursuant to Section 11.09 of the Lease, Tenant agreed to pay $196,864.00 towards the cost of the vivarium portion of the Initial Tenant Improvements (the “</w:t>
      </w:r>
      <w:r>
        <w:rPr>
          <w:rFonts w:ascii="Arial" w:cs="Arial" w:eastAsia="Arial" w:hAnsi="Arial"/>
          <w:sz w:val="16"/>
          <w:szCs w:val="16"/>
          <w:u w:val="single" w:color="auto"/>
          <w:color w:val="auto"/>
        </w:rPr>
        <w:t>Vivarium Contribution</w:t>
      </w:r>
      <w:r>
        <w:rPr>
          <w:rFonts w:ascii="Arial" w:cs="Arial" w:eastAsia="Arial" w:hAnsi="Arial"/>
          <w:sz w:val="16"/>
          <w:szCs w:val="16"/>
          <w:color w:val="auto"/>
        </w:rPr>
        <w:t>”) and had the option to amortize such payment over the Initial Term, as more particularly set forth therein.</w:t>
      </w:r>
    </w:p>
    <w:p>
      <w:pPr>
        <w:spacing w:after="0" w:line="136" w:lineRule="exact"/>
        <w:rPr>
          <w:sz w:val="20"/>
          <w:szCs w:val="20"/>
          <w:color w:val="auto"/>
        </w:rPr>
      </w:pPr>
    </w:p>
    <w:p>
      <w:pPr>
        <w:ind w:right="100" w:firstLine="426"/>
        <w:spacing w:after="0" w:line="287" w:lineRule="auto"/>
        <w:rPr>
          <w:sz w:val="20"/>
          <w:szCs w:val="20"/>
          <w:color w:val="auto"/>
        </w:rPr>
      </w:pPr>
      <w:r>
        <w:rPr>
          <w:rFonts w:ascii="Arial" w:cs="Arial" w:eastAsia="Arial" w:hAnsi="Arial"/>
          <w:sz w:val="17"/>
          <w:szCs w:val="17"/>
          <w:color w:val="auto"/>
        </w:rPr>
        <w:t>D. Landlord and Tenant desire to amend the Lease in certain respects as provided herein to establish a new method for Tenant to pay to Landlord the Vivarium Contribution.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A G R E E M E N T S</w:t>
      </w:r>
      <w:r>
        <w:rPr>
          <w:rFonts w:ascii="Arial" w:cs="Arial" w:eastAsia="Arial" w:hAnsi="Arial"/>
          <w:sz w:val="17"/>
          <w:szCs w:val="17"/>
          <w:color w:val="auto"/>
        </w:rPr>
        <w:t>:</w:t>
      </w:r>
    </w:p>
    <w:p>
      <w:pPr>
        <w:spacing w:after="0" w:line="222" w:lineRule="exact"/>
        <w:rPr>
          <w:sz w:val="20"/>
          <w:szCs w:val="20"/>
          <w:color w:val="auto"/>
        </w:rPr>
      </w:pPr>
    </w:p>
    <w:p>
      <w:pPr>
        <w:ind w:firstLine="426"/>
        <w:spacing w:after="0" w:line="287" w:lineRule="auto"/>
        <w:rPr>
          <w:sz w:val="20"/>
          <w:szCs w:val="20"/>
          <w:color w:val="auto"/>
        </w:rPr>
      </w:pPr>
      <w:r>
        <w:rPr>
          <w:rFonts w:ascii="Arial" w:cs="Arial" w:eastAsia="Arial" w:hAnsi="Arial"/>
          <w:sz w:val="17"/>
          <w:szCs w:val="17"/>
          <w:color w:val="auto"/>
        </w:rPr>
        <w:t>NOW, THEREFORE, in consideration of the agreements set forth herein and other good and valuable consideration, the receipt and sufficiency of which are hereby acknowledged, Landlord and Tenant hereby agree, and amend the Lease, as follows:</w:t>
      </w:r>
    </w:p>
    <w:p>
      <w:pPr>
        <w:spacing w:after="0" w:line="55" w:lineRule="exact"/>
        <w:rPr>
          <w:sz w:val="20"/>
          <w:szCs w:val="20"/>
          <w:color w:val="auto"/>
        </w:rPr>
      </w:pPr>
    </w:p>
    <w:p>
      <w:pPr>
        <w:ind w:right="180" w:firstLine="424"/>
        <w:spacing w:after="0" w:line="296" w:lineRule="auto"/>
        <w:tabs>
          <w:tab w:leader="none" w:pos="600"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Payment of the Vivarium Contribution</w:t>
      </w:r>
      <w:r>
        <w:rPr>
          <w:rFonts w:ascii="Arial" w:cs="Arial" w:eastAsia="Arial" w:hAnsi="Arial"/>
          <w:sz w:val="16"/>
          <w:szCs w:val="16"/>
          <w:color w:val="auto"/>
        </w:rPr>
        <w:t>. Notwithstanding any provision to the contrary in Section 11.09 of the Lease, Tenant shall pay the Vivarium Contribution to Landlord in the amount of $5,389.54 on the first (1</w:t>
      </w:r>
      <w:r>
        <w:rPr>
          <w:rFonts w:ascii="Arial" w:cs="Arial" w:eastAsia="Arial" w:hAnsi="Arial"/>
          <w:sz w:val="13"/>
          <w:szCs w:val="13"/>
          <w:color w:val="auto"/>
        </w:rPr>
        <w:t>st</w:t>
      </w:r>
      <w:r>
        <w:rPr>
          <w:rFonts w:ascii="Arial" w:cs="Arial" w:eastAsia="Arial" w:hAnsi="Arial"/>
          <w:sz w:val="16"/>
          <w:szCs w:val="16"/>
          <w:color w:val="auto"/>
        </w:rPr>
        <w:t>) day of every calendar month from and including July 1, 2019 through December 1, 2022, in accordance with the payment schedule set forth in Exhibit A, attached hereto and incorporated herein.</w:t>
      </w:r>
    </w:p>
    <w:p>
      <w:pPr>
        <w:spacing w:after="0" w:line="154" w:lineRule="exact"/>
        <w:rPr>
          <w:rFonts w:ascii="Arial" w:cs="Arial" w:eastAsia="Arial" w:hAnsi="Arial"/>
          <w:sz w:val="16"/>
          <w:szCs w:val="16"/>
          <w:color w:val="auto"/>
        </w:rPr>
      </w:pPr>
    </w:p>
    <w:p>
      <w:pPr>
        <w:ind w:right="120" w:firstLine="424"/>
        <w:spacing w:after="0" w:line="287" w:lineRule="auto"/>
        <w:tabs>
          <w:tab w:leader="none" w:pos="600"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Conflicts</w:t>
      </w:r>
      <w:r>
        <w:rPr>
          <w:rFonts w:ascii="Arial" w:cs="Arial" w:eastAsia="Arial" w:hAnsi="Arial"/>
          <w:sz w:val="17"/>
          <w:szCs w:val="17"/>
          <w:color w:val="auto"/>
        </w:rPr>
        <w:t>. To the extent the terms and conditions of the Lease expressly conflict with or are expressly inconsistent with this First Amendment, the terms and conditions of this First Amendment shall control.</w:t>
      </w:r>
    </w:p>
    <w:p>
      <w:pPr>
        <w:spacing w:after="0" w:line="159" w:lineRule="exact"/>
        <w:rPr>
          <w:rFonts w:ascii="Arial" w:cs="Arial" w:eastAsia="Arial" w:hAnsi="Arial"/>
          <w:sz w:val="17"/>
          <w:szCs w:val="17"/>
          <w:color w:val="auto"/>
        </w:rPr>
      </w:pPr>
    </w:p>
    <w:p>
      <w:pPr>
        <w:ind w:right="40" w:firstLine="424"/>
        <w:spacing w:after="0" w:line="324" w:lineRule="auto"/>
        <w:tabs>
          <w:tab w:leader="none" w:pos="600" w:val="left"/>
        </w:tabs>
        <w:numPr>
          <w:ilvl w:val="0"/>
          <w:numId w:val="43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expressly modified herein, the Lease shall remain unmodified and in full force and effect. The provisions of this First Amendment shall be binding upon and shall inure to the benefit of Landlord and Tenant and their respective legal representatives, successors and assigns. Any signature delivered by a party by facsimile or electronic transmission shall be deemed to be an original signature to this First Amendment.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Follow]</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00"/>
          </w:cols>
          <w:pgMar w:left="620" w:top="264" w:right="679" w:bottom="1440" w:gutter="0" w:footer="0" w:header="0"/>
        </w:sectPr>
      </w:pPr>
    </w:p>
    <w:bookmarkStart w:id="489" w:name="page490"/>
    <w:bookmarkEnd w:id="489"/>
    <w:p>
      <w:pPr>
        <w:ind w:right="220" w:firstLine="426"/>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parties hereto have executed this Fifth Amendment to Lease in multiple copies, each to be considered an original hereof, as a sealed instrument on the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gridSpan w:val="2"/>
          </w:tcPr>
          <w:p>
            <w:pPr>
              <w:spacing w:after="0"/>
              <w:rPr>
                <w:sz w:val="20"/>
                <w:szCs w:val="20"/>
                <w:color w:val="auto"/>
              </w:rPr>
            </w:pPr>
            <w:r>
              <w:rPr>
                <w:rFonts w:ascii="Arial" w:cs="Arial" w:eastAsia="Arial" w:hAnsi="Arial"/>
                <w:sz w:val="17"/>
                <w:szCs w:val="17"/>
                <w:color w:val="auto"/>
              </w:rPr>
              <w:t>LANDLORD:</w:t>
            </w: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TENANT:</w:t>
            </w:r>
          </w:p>
        </w:tc>
      </w:tr>
      <w:tr>
        <w:trPr>
          <w:trHeight w:val="418"/>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128 Spring Street Lexington, LLC</w:t>
            </w:r>
          </w:p>
        </w:tc>
        <w:tc>
          <w:tcPr>
            <w:tcW w:w="5660" w:type="dxa"/>
            <w:vAlign w:val="bottom"/>
            <w:gridSpan w:val="2"/>
          </w:tcPr>
          <w:p>
            <w:pPr>
              <w:ind w:left="660"/>
              <w:spacing w:after="0"/>
              <w:rPr>
                <w:sz w:val="20"/>
                <w:szCs w:val="20"/>
                <w:color w:val="auto"/>
              </w:rPr>
            </w:pPr>
            <w:r>
              <w:rPr>
                <w:rFonts w:ascii="Arial" w:cs="Arial" w:eastAsia="Arial" w:hAnsi="Arial"/>
                <w:sz w:val="17"/>
                <w:szCs w:val="17"/>
                <w:b w:val="1"/>
                <w:bCs w:val="1"/>
                <w:color w:val="auto"/>
              </w:rPr>
              <w:t>Keros Therapeutics, Inc.</w:t>
            </w:r>
          </w:p>
        </w:tc>
      </w:tr>
      <w:tr>
        <w:trPr>
          <w:trHeight w:val="418"/>
        </w:trPr>
        <w:tc>
          <w:tcPr>
            <w:tcW w:w="5000" w:type="dxa"/>
            <w:vAlign w:val="bottom"/>
            <w:gridSpan w:val="2"/>
          </w:tcPr>
          <w:p>
            <w:pPr>
              <w:spacing w:after="0"/>
              <w:rPr>
                <w:sz w:val="20"/>
                <w:szCs w:val="20"/>
                <w:color w:val="auto"/>
              </w:rPr>
            </w:pPr>
            <w:r>
              <w:rPr>
                <w:rFonts w:ascii="Arial" w:cs="Arial" w:eastAsia="Arial" w:hAnsi="Arial"/>
                <w:sz w:val="17"/>
                <w:szCs w:val="17"/>
                <w:color w:val="auto"/>
              </w:rPr>
              <w:t>By:  /s/ Stephen N. Faber</w:t>
            </w: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By:  /s/ Jasbir S. Seemru</w:t>
            </w:r>
          </w:p>
        </w:tc>
      </w:tr>
      <w:tr>
        <w:trPr>
          <w:trHeight w:val="20"/>
        </w:trPr>
        <w:tc>
          <w:tcPr>
            <w:tcW w:w="3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r>
        <w:trPr>
          <w:trHeight w:val="177"/>
        </w:trPr>
        <w:tc>
          <w:tcPr>
            <w:tcW w:w="5000" w:type="dxa"/>
            <w:vAlign w:val="bottom"/>
            <w:gridSpan w:val="2"/>
          </w:tcPr>
          <w:p>
            <w:pPr>
              <w:spacing w:after="0" w:line="176" w:lineRule="exact"/>
              <w:rPr>
                <w:sz w:val="20"/>
                <w:szCs w:val="20"/>
                <w:color w:val="auto"/>
              </w:rPr>
            </w:pPr>
            <w:r>
              <w:rPr>
                <w:rFonts w:ascii="Arial" w:cs="Arial" w:eastAsia="Arial" w:hAnsi="Arial"/>
                <w:sz w:val="17"/>
                <w:szCs w:val="17"/>
                <w:color w:val="auto"/>
              </w:rPr>
              <w:t>Name: Stephen n. Faber</w:t>
            </w:r>
          </w:p>
        </w:tc>
        <w:tc>
          <w:tcPr>
            <w:tcW w:w="5660" w:type="dxa"/>
            <w:vAlign w:val="bottom"/>
            <w:gridSpan w:val="2"/>
          </w:tcPr>
          <w:p>
            <w:pPr>
              <w:ind w:left="660"/>
              <w:spacing w:after="0" w:line="176" w:lineRule="exact"/>
              <w:rPr>
                <w:sz w:val="20"/>
                <w:szCs w:val="20"/>
                <w:color w:val="auto"/>
              </w:rPr>
            </w:pPr>
            <w:r>
              <w:rPr>
                <w:rFonts w:ascii="Arial" w:cs="Arial" w:eastAsia="Arial" w:hAnsi="Arial"/>
                <w:sz w:val="17"/>
                <w:szCs w:val="17"/>
                <w:color w:val="auto"/>
              </w:rPr>
              <w:t>Name: Jasbir S. Seemru</w:t>
            </w:r>
          </w:p>
        </w:tc>
      </w:tr>
      <w:tr>
        <w:trPr>
          <w:trHeight w:val="209"/>
        </w:trPr>
        <w:tc>
          <w:tcPr>
            <w:tcW w:w="5000" w:type="dxa"/>
            <w:vAlign w:val="bottom"/>
            <w:gridSpan w:val="2"/>
          </w:tcPr>
          <w:p>
            <w:pPr>
              <w:spacing w:after="0"/>
              <w:rPr>
                <w:sz w:val="20"/>
                <w:szCs w:val="20"/>
                <w:color w:val="auto"/>
              </w:rPr>
            </w:pPr>
            <w:r>
              <w:rPr>
                <w:rFonts w:ascii="Arial" w:cs="Arial" w:eastAsia="Arial" w:hAnsi="Arial"/>
                <w:sz w:val="17"/>
                <w:szCs w:val="17"/>
                <w:color w:val="auto"/>
              </w:rPr>
              <w:t>Title: Its Authorized Signatory</w:t>
            </w: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Title: President &amp; CEO</w:t>
            </w:r>
          </w:p>
        </w:tc>
      </w:tr>
      <w:tr>
        <w:trPr>
          <w:trHeight w:val="221"/>
        </w:trPr>
        <w:tc>
          <w:tcPr>
            <w:tcW w:w="3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Hereunto Duly Authorized</w:t>
            </w:r>
          </w:p>
        </w:tc>
      </w:tr>
      <w:tr>
        <w:trPr>
          <w:trHeight w:val="352"/>
        </w:trPr>
        <w:tc>
          <w:tcPr>
            <w:tcW w:w="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7"/>
                <w:szCs w:val="17"/>
                <w:color w:val="auto"/>
              </w:rPr>
              <w:t>2</w:t>
            </w:r>
          </w:p>
        </w:tc>
        <w:tc>
          <w:tcPr>
            <w:tcW w:w="4680" w:type="dxa"/>
            <w:vAlign w:val="bottom"/>
          </w:tcPr>
          <w:p>
            <w:pPr>
              <w:spacing w:after="0"/>
              <w:rPr>
                <w:sz w:val="24"/>
                <w:szCs w:val="24"/>
                <w:color w:val="auto"/>
              </w:rPr>
            </w:pPr>
          </w:p>
        </w:tc>
      </w:tr>
    </w:tbl>
    <w:p>
      <w:pPr>
        <w:sectPr>
          <w:pgSz w:w="11900" w:h="16838" w:orient="portrait"/>
          <w:cols w:equalWidth="0" w:num="1">
            <w:col w:w="10660"/>
          </w:cols>
          <w:pgMar w:left="620" w:top="270" w:right="619" w:bottom="1440" w:gutter="0" w:footer="0" w:header="0"/>
        </w:sectPr>
      </w:pPr>
    </w:p>
    <w:bookmarkStart w:id="490" w:name="page491"/>
    <w:bookmarkEnd w:id="49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A</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PAYMENT SCHEDULE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 schedule]</w:t>
      </w:r>
    </w:p>
    <w:p>
      <w:pPr>
        <w:sectPr>
          <w:pgSz w:w="11900" w:h="16838" w:orient="portrait"/>
          <w:cols w:equalWidth="0" w:num="1">
            <w:col w:w="9019"/>
          </w:cols>
          <w:pgMar w:left="1440" w:top="270" w:right="1440" w:bottom="144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227"/>
        </w:trPr>
        <w:tc>
          <w:tcPr>
            <w:tcW w:w="3600" w:type="dxa"/>
            <w:vAlign w:val="bottom"/>
            <w:gridSpan w:val="10"/>
          </w:tcPr>
          <w:p>
            <w:pPr>
              <w:spacing w:after="0"/>
              <w:rPr>
                <w:sz w:val="20"/>
                <w:szCs w:val="20"/>
                <w:color w:val="auto"/>
              </w:rPr>
            </w:pPr>
            <w:r>
              <w:rPr>
                <w:rFonts w:ascii="Arial" w:cs="Arial" w:eastAsia="Arial" w:hAnsi="Arial"/>
                <w:sz w:val="17"/>
                <w:szCs w:val="17"/>
                <w:b w:val="1"/>
                <w:bCs w:val="1"/>
                <w:color w:val="auto"/>
              </w:rPr>
              <w:t>LOAN AMORTIZATION SCHEDULE</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1500" w:type="dxa"/>
            <w:vAlign w:val="bottom"/>
            <w:gridSpan w:val="4"/>
          </w:tcPr>
          <w:p>
            <w:pPr>
              <w:spacing w:after="0"/>
              <w:rPr>
                <w:sz w:val="20"/>
                <w:szCs w:val="20"/>
                <w:color w:val="auto"/>
              </w:rPr>
            </w:pPr>
            <w:r>
              <w:rPr>
                <w:rFonts w:ascii="Arial" w:cs="Arial" w:eastAsia="Arial" w:hAnsi="Arial"/>
                <w:sz w:val="17"/>
                <w:szCs w:val="17"/>
                <w:color w:val="auto"/>
              </w:rPr>
              <w:t>ENTER VALUES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ind w:left="100"/>
              <w:spacing w:after="0"/>
              <w:rPr>
                <w:sz w:val="20"/>
                <w:szCs w:val="20"/>
                <w:color w:val="auto"/>
              </w:rPr>
            </w:pPr>
            <w:r>
              <w:rPr>
                <w:rFonts w:ascii="Arial" w:cs="Arial" w:eastAsia="Arial" w:hAnsi="Arial"/>
                <w:sz w:val="17"/>
                <w:szCs w:val="17"/>
                <w:color w:val="auto"/>
              </w:rPr>
              <w:t>LOAN SUMMARY</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spacing w:after="0"/>
              <w:rPr>
                <w:sz w:val="20"/>
                <w:szCs w:val="20"/>
                <w:color w:val="auto"/>
              </w:rPr>
            </w:pPr>
            <w:r>
              <w:rPr>
                <w:rFonts w:ascii="Arial" w:cs="Arial" w:eastAsia="Arial" w:hAnsi="Arial"/>
                <w:sz w:val="17"/>
                <w:szCs w:val="17"/>
                <w:i w:val="1"/>
                <w:iCs w:val="1"/>
                <w:color w:val="auto"/>
              </w:rPr>
              <w:t>Loan amount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5"/>
              <w:spacing w:after="0"/>
              <w:rPr>
                <w:sz w:val="20"/>
                <w:szCs w:val="20"/>
                <w:color w:val="auto"/>
              </w:rPr>
            </w:pPr>
            <w:r>
              <w:rPr>
                <w:rFonts w:ascii="Arial" w:cs="Arial" w:eastAsia="Arial" w:hAnsi="Arial"/>
                <w:sz w:val="17"/>
                <w:szCs w:val="17"/>
                <w:color w:val="auto"/>
              </w:rPr>
              <w:t>$196,864,00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shd w:val="clear" w:color="auto" w:fill="CCEEFF"/>
          </w:tcPr>
          <w:p>
            <w:pPr>
              <w:ind w:left="100"/>
              <w:spacing w:after="0"/>
              <w:rPr>
                <w:sz w:val="20"/>
                <w:szCs w:val="20"/>
                <w:color w:val="auto"/>
              </w:rPr>
            </w:pPr>
            <w:r>
              <w:rPr>
                <w:rFonts w:ascii="Arial" w:cs="Arial" w:eastAsia="Arial" w:hAnsi="Arial"/>
                <w:sz w:val="17"/>
                <w:szCs w:val="17"/>
                <w:i w:val="1"/>
                <w:iCs w:val="1"/>
                <w:color w:val="auto"/>
                <w:w w:val="95"/>
              </w:rPr>
              <w:t>Scheduled payment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4"/>
          </w:tcPr>
          <w:p>
            <w:pPr>
              <w:spacing w:after="0"/>
              <w:rPr>
                <w:sz w:val="20"/>
                <w:szCs w:val="20"/>
                <w:color w:val="auto"/>
              </w:rPr>
            </w:pPr>
            <w:r>
              <w:rPr>
                <w:rFonts w:ascii="Arial" w:cs="Arial" w:eastAsia="Arial" w:hAnsi="Arial"/>
                <w:sz w:val="17"/>
                <w:szCs w:val="17"/>
                <w:i w:val="1"/>
                <w:iCs w:val="1"/>
                <w:color w:val="auto"/>
              </w:rPr>
              <w:t>Annual interest rate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8"/>
          </w:tcPr>
          <w:p>
            <w:pPr>
              <w:ind w:left="100"/>
              <w:spacing w:after="0"/>
              <w:rPr>
                <w:sz w:val="20"/>
                <w:szCs w:val="20"/>
                <w:color w:val="auto"/>
              </w:rPr>
            </w:pPr>
            <w:r>
              <w:rPr>
                <w:rFonts w:ascii="Arial" w:cs="Arial" w:eastAsia="Arial" w:hAnsi="Arial"/>
                <w:sz w:val="17"/>
                <w:szCs w:val="17"/>
                <w:i w:val="1"/>
                <w:iCs w:val="1"/>
                <w:color w:val="auto"/>
                <w:w w:val="95"/>
              </w:rPr>
              <w:t>Scheduled number of payments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spacing w:after="0"/>
              <w:rPr>
                <w:sz w:val="20"/>
                <w:szCs w:val="20"/>
                <w:color w:val="auto"/>
              </w:rPr>
            </w:pPr>
            <w:r>
              <w:rPr>
                <w:rFonts w:ascii="Arial" w:cs="Arial" w:eastAsia="Arial" w:hAnsi="Arial"/>
                <w:sz w:val="17"/>
                <w:szCs w:val="17"/>
                <w:i w:val="1"/>
                <w:iCs w:val="1"/>
                <w:color w:val="auto"/>
                <w:w w:val="96"/>
              </w:rPr>
              <w:t>Loan period in years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3.50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8"/>
            <w:shd w:val="clear" w:color="auto" w:fill="CCEEFF"/>
          </w:tcPr>
          <w:p>
            <w:pPr>
              <w:ind w:left="100"/>
              <w:spacing w:after="0"/>
              <w:rPr>
                <w:sz w:val="20"/>
                <w:szCs w:val="20"/>
                <w:color w:val="auto"/>
              </w:rPr>
            </w:pPr>
            <w:r>
              <w:rPr>
                <w:rFonts w:ascii="Arial" w:cs="Arial" w:eastAsia="Arial" w:hAnsi="Arial"/>
                <w:sz w:val="17"/>
                <w:szCs w:val="17"/>
                <w:i w:val="1"/>
                <w:iCs w:val="1"/>
                <w:color w:val="auto"/>
              </w:rPr>
              <w:t>Actual number of payments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gridSpan w:val="7"/>
          </w:tcPr>
          <w:p>
            <w:pPr>
              <w:spacing w:after="0"/>
              <w:rPr>
                <w:sz w:val="20"/>
                <w:szCs w:val="20"/>
                <w:color w:val="auto"/>
              </w:rPr>
            </w:pPr>
            <w:r>
              <w:rPr>
                <w:rFonts w:ascii="Arial" w:cs="Arial" w:eastAsia="Arial" w:hAnsi="Arial"/>
                <w:sz w:val="17"/>
                <w:szCs w:val="17"/>
                <w:i w:val="1"/>
                <w:iCs w:val="1"/>
                <w:color w:val="auto"/>
              </w:rPr>
              <w:t>Number of payments per year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125"/>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tcPr>
          <w:p>
            <w:pPr>
              <w:ind w:left="100"/>
              <w:spacing w:after="0"/>
              <w:rPr>
                <w:sz w:val="20"/>
                <w:szCs w:val="20"/>
                <w:color w:val="auto"/>
              </w:rPr>
            </w:pPr>
            <w:r>
              <w:rPr>
                <w:rFonts w:ascii="Arial" w:cs="Arial" w:eastAsia="Arial" w:hAnsi="Arial"/>
                <w:sz w:val="17"/>
                <w:szCs w:val="17"/>
                <w:i w:val="1"/>
                <w:iCs w:val="1"/>
                <w:color w:val="auto"/>
                <w:w w:val="91"/>
              </w:rPr>
              <w:t>Total early payments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spacing w:after="0"/>
              <w:rPr>
                <w:sz w:val="20"/>
                <w:szCs w:val="20"/>
                <w:color w:val="auto"/>
              </w:rPr>
            </w:pPr>
            <w:r>
              <w:rPr>
                <w:rFonts w:ascii="Arial" w:cs="Arial" w:eastAsia="Arial" w:hAnsi="Arial"/>
                <w:sz w:val="17"/>
                <w:szCs w:val="17"/>
                <w:i w:val="1"/>
                <w:iCs w:val="1"/>
                <w:color w:val="auto"/>
              </w:rPr>
              <w:t>Start date of loan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5"/>
              <w:spacing w:after="0"/>
              <w:rPr>
                <w:sz w:val="20"/>
                <w:szCs w:val="20"/>
                <w:color w:val="auto"/>
              </w:rPr>
            </w:pPr>
            <w:r>
              <w:rPr>
                <w:rFonts w:ascii="Arial" w:cs="Arial" w:eastAsia="Arial" w:hAnsi="Arial"/>
                <w:sz w:val="17"/>
                <w:szCs w:val="17"/>
                <w:color w:val="auto"/>
              </w:rPr>
              <w:t>7/1/2019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shd w:val="clear" w:color="auto" w:fill="CCEEFF"/>
          </w:tcPr>
          <w:p>
            <w:pPr>
              <w:ind w:left="100"/>
              <w:spacing w:after="0"/>
              <w:rPr>
                <w:sz w:val="20"/>
                <w:szCs w:val="20"/>
                <w:color w:val="auto"/>
              </w:rPr>
            </w:pPr>
            <w:r>
              <w:rPr>
                <w:rFonts w:ascii="Arial" w:cs="Arial" w:eastAsia="Arial" w:hAnsi="Arial"/>
                <w:sz w:val="17"/>
                <w:szCs w:val="17"/>
                <w:i w:val="1"/>
                <w:iCs w:val="1"/>
                <w:color w:val="auto"/>
              </w:rPr>
              <w:t>Total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$29,496.70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gridSpan w:val="7"/>
          </w:tcPr>
          <w:p>
            <w:pPr>
              <w:spacing w:after="0"/>
              <w:rPr>
                <w:sz w:val="20"/>
                <w:szCs w:val="20"/>
                <w:color w:val="auto"/>
              </w:rPr>
            </w:pPr>
            <w:r>
              <w:rPr>
                <w:rFonts w:ascii="Arial" w:cs="Arial" w:eastAsia="Arial" w:hAnsi="Arial"/>
                <w:sz w:val="17"/>
                <w:szCs w:val="17"/>
                <w:i w:val="1"/>
                <w:iCs w:val="1"/>
                <w:color w:val="auto"/>
              </w:rPr>
              <w:t>Optional extra payments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90"/>
              </w:rPr>
              <w:t>0.00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4"/>
          </w:tcPr>
          <w:p>
            <w:pPr>
              <w:ind w:left="100"/>
              <w:spacing w:after="0"/>
              <w:rPr>
                <w:sz w:val="20"/>
                <w:szCs w:val="20"/>
                <w:color w:val="auto"/>
              </w:rPr>
            </w:pPr>
            <w:r>
              <w:rPr>
                <w:rFonts w:ascii="Arial" w:cs="Arial" w:eastAsia="Arial" w:hAnsi="Arial"/>
                <w:sz w:val="17"/>
                <w:szCs w:val="17"/>
                <w:b w:val="1"/>
                <w:bCs w:val="1"/>
                <w:color w:val="auto"/>
              </w:rPr>
              <w:t>LENDER NAME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160"/>
              <w:spacing w:after="0"/>
              <w:rPr>
                <w:sz w:val="20"/>
                <w:szCs w:val="20"/>
                <w:color w:val="auto"/>
              </w:rPr>
            </w:pPr>
            <w:r>
              <w:rPr>
                <w:rFonts w:ascii="Arial" w:cs="Arial" w:eastAsia="Arial" w:hAnsi="Arial"/>
                <w:sz w:val="17"/>
                <w:szCs w:val="17"/>
                <w:color w:val="auto"/>
              </w:rPr>
              <w:t>Keros Vivarium Amortization</w:t>
            </w:r>
          </w:p>
        </w:tc>
        <w:tc>
          <w:tcPr>
            <w:tcW w:w="0" w:type="dxa"/>
            <w:vAlign w:val="bottom"/>
          </w:tcPr>
          <w:p>
            <w:pPr>
              <w:spacing w:after="0"/>
              <w:rPr>
                <w:sz w:val="1"/>
                <w:szCs w:val="1"/>
                <w:color w:val="auto"/>
              </w:rPr>
            </w:pPr>
          </w:p>
        </w:tc>
      </w:tr>
      <w:tr>
        <w:trPr>
          <w:trHeight w:val="347"/>
        </w:trPr>
        <w:tc>
          <w:tcPr>
            <w:tcW w:w="340" w:type="dxa"/>
            <w:vAlign w:val="bottom"/>
          </w:tcPr>
          <w:p>
            <w:pPr>
              <w:spacing w:after="0"/>
              <w:rPr>
                <w:sz w:val="20"/>
                <w:szCs w:val="20"/>
                <w:color w:val="auto"/>
              </w:rPr>
            </w:pPr>
            <w:r>
              <w:rPr>
                <w:rFonts w:ascii="Arial" w:cs="Arial" w:eastAsia="Arial" w:hAnsi="Arial"/>
                <w:sz w:val="14"/>
                <w:szCs w:val="14"/>
                <w:b w:val="1"/>
                <w:bCs w:val="1"/>
                <w:color w:val="auto"/>
                <w:w w:val="95"/>
              </w:rPr>
              <w:t>PMT.</w:t>
            </w:r>
          </w:p>
        </w:tc>
        <w:tc>
          <w:tcPr>
            <w:tcW w:w="22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PAYMENT</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8"/>
              </w:rPr>
              <w:t>SCHEDULED</w:t>
            </w:r>
          </w:p>
        </w:tc>
        <w:tc>
          <w:tcPr>
            <w:tcW w:w="260" w:type="dxa"/>
            <w:vAlign w:val="bottom"/>
          </w:tcPr>
          <w:p>
            <w:pPr>
              <w:spacing w:after="0"/>
              <w:rPr>
                <w:sz w:val="24"/>
                <w:szCs w:val="24"/>
                <w:color w:val="auto"/>
              </w:rPr>
            </w:pPr>
          </w:p>
        </w:tc>
        <w:tc>
          <w:tcPr>
            <w:tcW w:w="7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EXTRA</w:t>
            </w:r>
          </w:p>
        </w:tc>
        <w:tc>
          <w:tcPr>
            <w:tcW w:w="16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4"/>
                <w:szCs w:val="2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24"/>
                <w:szCs w:val="2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ENDING</w:t>
            </w:r>
          </w:p>
        </w:tc>
        <w:tc>
          <w:tcPr>
            <w:tcW w:w="40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7"/>
        </w:trPr>
        <w:tc>
          <w:tcPr>
            <w:tcW w:w="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5"/>
                <w:szCs w:val="15"/>
                <w:color w:val="auto"/>
              </w:rPr>
            </w:pPr>
          </w:p>
        </w:tc>
        <w:tc>
          <w:tcPr>
            <w:tcW w:w="9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DATE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33"/>
              <w:spacing w:after="0" w:line="157" w:lineRule="exact"/>
              <w:rPr>
                <w:sz w:val="20"/>
                <w:szCs w:val="20"/>
                <w:color w:val="auto"/>
              </w:rPr>
            </w:pPr>
            <w:r>
              <w:rPr>
                <w:rFonts w:ascii="Arial" w:cs="Arial" w:eastAsia="Arial" w:hAnsi="Arial"/>
                <w:sz w:val="14"/>
                <w:szCs w:val="14"/>
                <w:b w:val="1"/>
                <w:bCs w:val="1"/>
                <w:color w:val="auto"/>
                <w:w w:val="96"/>
              </w:rPr>
              <w:t>BALANCE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3"/>
              <w:spacing w:after="0" w:line="157" w:lineRule="exact"/>
              <w:rPr>
                <w:sz w:val="20"/>
                <w:szCs w:val="20"/>
                <w:color w:val="auto"/>
              </w:rPr>
            </w:pPr>
            <w:r>
              <w:rPr>
                <w:rFonts w:ascii="Arial" w:cs="Arial" w:eastAsia="Arial" w:hAnsi="Arial"/>
                <w:sz w:val="14"/>
                <w:szCs w:val="14"/>
                <w:b w:val="1"/>
                <w:bCs w:val="1"/>
                <w:color w:val="auto"/>
                <w:w w:val="99"/>
              </w:rPr>
              <w:t>PAYMENT</w:t>
            </w:r>
          </w:p>
        </w:tc>
        <w:tc>
          <w:tcPr>
            <w:tcW w:w="260" w:type="dxa"/>
            <w:vAlign w:val="bottom"/>
          </w:tcPr>
          <w:p>
            <w:pPr>
              <w:spacing w:after="0"/>
              <w:rPr>
                <w:sz w:val="15"/>
                <w:szCs w:val="15"/>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PAYMENT</w:t>
            </w:r>
          </w:p>
        </w:tc>
        <w:tc>
          <w:tcPr>
            <w:tcW w:w="160" w:type="dxa"/>
            <w:vAlign w:val="bottom"/>
          </w:tcPr>
          <w:p>
            <w:pPr>
              <w:spacing w:after="0"/>
              <w:rPr>
                <w:sz w:val="15"/>
                <w:szCs w:val="15"/>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PAYMENT</w:t>
            </w:r>
          </w:p>
        </w:tc>
        <w:tc>
          <w:tcPr>
            <w:tcW w:w="2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4"/>
              <w:spacing w:after="0" w:line="157" w:lineRule="exact"/>
              <w:rPr>
                <w:sz w:val="20"/>
                <w:szCs w:val="20"/>
                <w:color w:val="auto"/>
              </w:rPr>
            </w:pPr>
            <w:r>
              <w:rPr>
                <w:rFonts w:ascii="Arial" w:cs="Arial" w:eastAsia="Arial" w:hAnsi="Arial"/>
                <w:sz w:val="14"/>
                <w:szCs w:val="14"/>
                <w:b w:val="1"/>
                <w:bCs w:val="1"/>
                <w:color w:val="auto"/>
                <w:w w:val="99"/>
              </w:rPr>
              <w:t>BALANCE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w w:val="87"/>
              </w:rPr>
              <w:t>7/1/2019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196,864.00</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2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right="245"/>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$ 5,389.54</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4,077.11</w:t>
            </w:r>
          </w:p>
        </w:tc>
        <w:tc>
          <w:tcPr>
            <w:tcW w:w="4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1,312.43</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192,786.89</w:t>
            </w: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1,312.43</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8/1/2019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192,786.89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4,104.29</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1,285.25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188,682.59</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2,597.67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9/1/2019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188,682.59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4,131.66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1,257.88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184,550.94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3,855.56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4</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w w:val="93"/>
              </w:rPr>
              <w:t>10/11/2019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184,550.94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4,159.20</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1,230.34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180,391.73</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5,085.90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11/1/2019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180,391.73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4,186.93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1,202.61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176,204.81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6,288.51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6</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12/1/2019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176,204.81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4,214.84</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1,174.70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171,989.96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7,463.21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171,989.96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4,242.94</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1,146.60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167,747.02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8,609.81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8</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2/1/2020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167,747.02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4,271.23</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1,118.31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163,475.80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9,728.12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3/1/2020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163,475.80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4,299.70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1,089.84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159,176.09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10,817.96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10</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4/1/2020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159,176.09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4,328.37</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1,061.17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154,847.73</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11,879.13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5/1/2020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154,847.73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4,357.22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1,032.32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150,490.51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12</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6/1/2020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150,490.51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4,386.27</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1,003.27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146,104.24</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13,914.72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146,104.24</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4,415.51</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974.03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141,688.72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14,888.75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14</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8/1/2020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141,688.72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4,444.95</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944.59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137,243.77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15,833.34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9/1/2020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137,243.77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4,474.58</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914.96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132,769.19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16,748.30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16</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10/1/2020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132,769.19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4,504.41</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885.13</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128,264.78</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17,633.43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11/1/2020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128,264.78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4,534.44</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855.10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123,730.34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18,488.53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18</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12/1/2020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123,730.34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4,564.67</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824.87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119,165.67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19,313.39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119,165.67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4,595.10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794.44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114,570.56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20,107.83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20</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2/1/2021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114,570.56</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4,625.74</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763.80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109,944.83</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20,871.64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3/1/2021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109,944.83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4,656.57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732.97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105,288.25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21,604.60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22</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4/1/2021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105,288.25</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4,687.62</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701.92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100,600.63</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22,306.52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5/1/2021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100,600.63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4,718.87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95,881.77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22,977.19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24</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6/1/2021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95,881.77</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4,750.33</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639.21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91,131.44</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23,616.41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91,131.44</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4,782.00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607.54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86,349.44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24,223.95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26</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8/1/2021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86,349.44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4,813.88</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575.66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81,535.56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24,799.61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27</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9/1/2021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81,535.56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4,845.97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76,689.59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25,343.18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28</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10/1/2021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76,689.59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4,878.28</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511.26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71,811.32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25,854.45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29</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11/1/2021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71,811.32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4,910.80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478.74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66,900.52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26,333.19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30</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12/1/2021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66,900.52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4,943.54</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446.00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61,956.98</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26,779.19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1/1/2022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61,956.98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4,976.49</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56,980.49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32</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2/1/2022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56,980.49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5,009.67</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379.87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51,970.82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27,572.11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33</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3/1/2022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51,970.82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5,043.07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46,927.75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27,918.58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34</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4/1/2022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46,927.75</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5,076.69</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312.85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41,851.06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28,231.43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35</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5/1/2022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41,851.06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5,110.53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36,740.53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36</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rPr>
              <w:t>6/1/2022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36,740.53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6"/>
              </w:rPr>
              <w:t>5,144.60</w:t>
            </w:r>
          </w:p>
        </w:tc>
        <w:tc>
          <w:tcPr>
            <w:tcW w:w="4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244.94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31,595.92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28,755.38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37</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7/1/2022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31,595.92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5,178.90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26,417.02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28,966.01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60"/>
          </w:cols>
          <w:pgMar w:left="620" w:top="264" w:right="61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92" w:name="page493"/>
    <w:bookmarkEnd w:id="492"/>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95"/>
              </w:rPr>
              <w:t>PMT.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PAYMENT</w:t>
            </w: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SCHEDULED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rPr>
              <w:t>EXTRA</w:t>
            </w:r>
          </w:p>
        </w:tc>
        <w:tc>
          <w:tcPr>
            <w:tcW w:w="16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42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INTEREST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rPr>
              <w:t>ENDING</w:t>
            </w:r>
          </w:p>
        </w:tc>
        <w:tc>
          <w:tcPr>
            <w:tcW w:w="42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7"/>
        </w:trPr>
        <w:tc>
          <w:tcPr>
            <w:tcW w:w="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5"/>
                <w:szCs w:val="15"/>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DATE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6"/>
              <w:spacing w:after="0" w:line="157" w:lineRule="exact"/>
              <w:rPr>
                <w:sz w:val="20"/>
                <w:szCs w:val="20"/>
                <w:color w:val="auto"/>
              </w:rPr>
            </w:pPr>
            <w:r>
              <w:rPr>
                <w:rFonts w:ascii="Arial" w:cs="Arial" w:eastAsia="Arial" w:hAnsi="Arial"/>
                <w:sz w:val="14"/>
                <w:szCs w:val="14"/>
                <w:b w:val="1"/>
                <w:bCs w:val="1"/>
                <w:color w:val="auto"/>
                <w:w w:val="96"/>
              </w:rPr>
              <w:t>BALANCE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6"/>
              <w:spacing w:after="0" w:line="157" w:lineRule="exact"/>
              <w:rPr>
                <w:sz w:val="20"/>
                <w:szCs w:val="20"/>
                <w:color w:val="auto"/>
              </w:rPr>
            </w:pPr>
            <w:r>
              <w:rPr>
                <w:rFonts w:ascii="Arial" w:cs="Arial" w:eastAsia="Arial" w:hAnsi="Arial"/>
                <w:sz w:val="14"/>
                <w:szCs w:val="14"/>
                <w:b w:val="1"/>
                <w:bCs w:val="1"/>
                <w:color w:val="auto"/>
                <w:w w:val="99"/>
              </w:rPr>
              <w:t>PAYMENT</w:t>
            </w:r>
          </w:p>
        </w:tc>
        <w:tc>
          <w:tcPr>
            <w:tcW w:w="260" w:type="dxa"/>
            <w:vAlign w:val="bottom"/>
          </w:tcPr>
          <w:p>
            <w:pPr>
              <w:spacing w:after="0"/>
              <w:rPr>
                <w:sz w:val="15"/>
                <w:szCs w:val="15"/>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6"/>
              </w:rPr>
              <w:t>PAYMENT</w:t>
            </w:r>
          </w:p>
        </w:tc>
        <w:tc>
          <w:tcPr>
            <w:tcW w:w="160" w:type="dxa"/>
            <w:vAlign w:val="bottom"/>
          </w:tcPr>
          <w:p>
            <w:pPr>
              <w:spacing w:after="0"/>
              <w:rPr>
                <w:sz w:val="15"/>
                <w:szCs w:val="15"/>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9"/>
              </w:rPr>
              <w:t>PAYMENT</w:t>
            </w:r>
          </w:p>
        </w:tc>
        <w:tc>
          <w:tcPr>
            <w:tcW w:w="3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BALANCE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38</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8/1/2022</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26,417.02</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$ 5,389.54</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5,213.43</w:t>
            </w: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176.11</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21,203.59</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29,142.13</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39</w:t>
            </w:r>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9/1/2022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21,203.59</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5,389.54</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0.00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4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9"/>
              </w:rPr>
              <w:t>5,248.18</w:t>
            </w:r>
          </w:p>
        </w:tc>
        <w:tc>
          <w:tcPr>
            <w:tcW w:w="5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141.36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15,955.41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29,283.49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40</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7"/>
              </w:rPr>
              <w:t>10/1/2022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15,955.41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$ 5,389.54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5,283.17</w:t>
            </w: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10,672.24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29,389.86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7"/>
                <w:szCs w:val="17"/>
                <w:color w:val="auto"/>
              </w:rPr>
              <w:t>41</w:t>
            </w:r>
          </w:p>
        </w:tc>
        <w:tc>
          <w:tcPr>
            <w:tcW w:w="980" w:type="dxa"/>
            <w:vAlign w:val="bottom"/>
            <w:gridSpan w:val="2"/>
          </w:tcPr>
          <w:p>
            <w:pPr>
              <w:ind w:left="220"/>
              <w:spacing w:after="0"/>
              <w:rPr>
                <w:sz w:val="20"/>
                <w:szCs w:val="20"/>
                <w:color w:val="auto"/>
              </w:rPr>
            </w:pPr>
            <w:r>
              <w:rPr>
                <w:rFonts w:ascii="Arial" w:cs="Arial" w:eastAsia="Arial" w:hAnsi="Arial"/>
                <w:sz w:val="17"/>
                <w:szCs w:val="17"/>
                <w:color w:val="auto"/>
                <w:w w:val="97"/>
              </w:rPr>
              <w:t>11/1/2022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10,672.24</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5,389.54</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0.00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$ 5,389.54</w:t>
            </w:r>
          </w:p>
        </w:tc>
        <w:tc>
          <w:tcPr>
            <w:tcW w:w="4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9"/>
              </w:rPr>
              <w:t>5,318.39</w:t>
            </w:r>
          </w:p>
        </w:tc>
        <w:tc>
          <w:tcPr>
            <w:tcW w:w="5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71.15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5,353.85</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29,461.00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7"/>
              </w:rPr>
              <w:t>12/1/2022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5,353.85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$ 5,353.85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5,318.16</w:t>
            </w: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29,496.70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60"/>
          </w:cols>
          <w:pgMar w:left="620" w:top="252" w:right="61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93" w:name="page494"/>
    <w:bookmarkEnd w:id="49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SECOND AMENDMENT TO LEASE</w:t>
      </w:r>
    </w:p>
    <w:p>
      <w:pPr>
        <w:spacing w:after="0" w:line="222" w:lineRule="exact"/>
        <w:rPr>
          <w:sz w:val="20"/>
          <w:szCs w:val="20"/>
          <w:color w:val="auto"/>
        </w:rPr>
      </w:pPr>
    </w:p>
    <w:p>
      <w:pPr>
        <w:ind w:right="400" w:firstLine="426"/>
        <w:spacing w:after="0" w:line="295" w:lineRule="auto"/>
        <w:rPr>
          <w:sz w:val="20"/>
          <w:szCs w:val="20"/>
          <w:color w:val="auto"/>
        </w:rPr>
      </w:pPr>
      <w:r>
        <w:rPr>
          <w:rFonts w:ascii="Arial" w:cs="Arial" w:eastAsia="Arial" w:hAnsi="Arial"/>
          <w:sz w:val="17"/>
          <w:szCs w:val="17"/>
          <w:color w:val="auto"/>
        </w:rPr>
        <w:t>This Second Amendment to Lease (“</w:t>
      </w:r>
      <w:r>
        <w:rPr>
          <w:rFonts w:ascii="Arial" w:cs="Arial" w:eastAsia="Arial" w:hAnsi="Arial"/>
          <w:sz w:val="17"/>
          <w:szCs w:val="17"/>
          <w:u w:val="single" w:color="auto"/>
          <w:color w:val="auto"/>
        </w:rPr>
        <w:t>Second Amendment</w:t>
      </w:r>
      <w:r>
        <w:rPr>
          <w:rFonts w:ascii="Arial" w:cs="Arial" w:eastAsia="Arial" w:hAnsi="Arial"/>
          <w:sz w:val="17"/>
          <w:szCs w:val="17"/>
          <w:color w:val="auto"/>
        </w:rPr>
        <w:t>”) is executed as of the 8</w:t>
      </w:r>
      <w:r>
        <w:rPr>
          <w:rFonts w:ascii="Arial" w:cs="Arial" w:eastAsia="Arial" w:hAnsi="Arial"/>
          <w:sz w:val="14"/>
          <w:szCs w:val="14"/>
          <w:color w:val="auto"/>
        </w:rPr>
        <w:t>th</w:t>
      </w:r>
      <w:r>
        <w:rPr>
          <w:rFonts w:ascii="Arial" w:cs="Arial" w:eastAsia="Arial" w:hAnsi="Arial"/>
          <w:sz w:val="17"/>
          <w:szCs w:val="17"/>
          <w:color w:val="auto"/>
        </w:rPr>
        <w:t xml:space="preserve"> day of August, 2019, by and between </w:t>
      </w:r>
      <w:r>
        <w:rPr>
          <w:rFonts w:ascii="Arial" w:cs="Arial" w:eastAsia="Arial" w:hAnsi="Arial"/>
          <w:sz w:val="17"/>
          <w:szCs w:val="17"/>
          <w:b w:val="1"/>
          <w:bCs w:val="1"/>
          <w:color w:val="auto"/>
        </w:rPr>
        <w:t>128 Spring Street</w:t>
      </w:r>
      <w:r>
        <w:rPr>
          <w:rFonts w:ascii="Arial" w:cs="Arial" w:eastAsia="Arial" w:hAnsi="Arial"/>
          <w:sz w:val="17"/>
          <w:szCs w:val="17"/>
          <w:color w:val="auto"/>
        </w:rPr>
        <w:t xml:space="preserve"> </w:t>
      </w:r>
      <w:r>
        <w:rPr>
          <w:rFonts w:ascii="Arial" w:cs="Arial" w:eastAsia="Arial" w:hAnsi="Arial"/>
          <w:sz w:val="17"/>
          <w:szCs w:val="17"/>
          <w:b w:val="1"/>
          <w:bCs w:val="1"/>
          <w:color w:val="auto"/>
        </w:rPr>
        <w:t>Lexington, LLC</w:t>
      </w:r>
      <w:r>
        <w:rPr>
          <w:rFonts w:ascii="Arial" w:cs="Arial" w:eastAsia="Arial" w:hAnsi="Arial"/>
          <w:sz w:val="17"/>
          <w:szCs w:val="17"/>
          <w:color w:val="auto"/>
        </w:rPr>
        <w:t>, as landlord (“</w:t>
      </w:r>
      <w:r>
        <w:rPr>
          <w:rFonts w:ascii="Arial" w:cs="Arial" w:eastAsia="Arial" w:hAnsi="Arial"/>
          <w:sz w:val="17"/>
          <w:szCs w:val="17"/>
          <w:u w:val="single" w:color="auto"/>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Keros Therapeutics, Inc.</w:t>
      </w:r>
      <w:r>
        <w:rPr>
          <w:rFonts w:ascii="Arial" w:cs="Arial" w:eastAsia="Arial" w:hAnsi="Arial"/>
          <w:sz w:val="17"/>
          <w:szCs w:val="17"/>
          <w:color w:val="auto"/>
        </w:rPr>
        <w:t>, as tenant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BACKGROUND</w:t>
      </w:r>
      <w:r>
        <w:rPr>
          <w:rFonts w:ascii="Arial" w:cs="Arial" w:eastAsia="Arial" w:hAnsi="Arial"/>
          <w:sz w:val="17"/>
          <w:szCs w:val="17"/>
          <w:color w:val="auto"/>
        </w:rPr>
        <w:t>:</w:t>
      </w:r>
    </w:p>
    <w:p>
      <w:pPr>
        <w:spacing w:after="0" w:line="222" w:lineRule="exact"/>
        <w:rPr>
          <w:sz w:val="20"/>
          <w:szCs w:val="20"/>
          <w:color w:val="auto"/>
        </w:rPr>
      </w:pPr>
    </w:p>
    <w:p>
      <w:pPr>
        <w:ind w:right="100" w:firstLine="426"/>
        <w:spacing w:after="0" w:line="288" w:lineRule="auto"/>
        <w:rPr>
          <w:sz w:val="20"/>
          <w:szCs w:val="20"/>
          <w:color w:val="auto"/>
        </w:rPr>
      </w:pPr>
      <w:r>
        <w:rPr>
          <w:rFonts w:ascii="Arial" w:cs="Arial" w:eastAsia="Arial" w:hAnsi="Arial"/>
          <w:sz w:val="16"/>
          <w:szCs w:val="16"/>
          <w:color w:val="auto"/>
        </w:rPr>
        <w:t>A. Reference is made to a certain Lease between, Landlord and Tenant dated March 20, 2017, as amended by that certain First Amendment to Lease dated as of July 1, 2019 (collectively, the “</w:t>
      </w:r>
      <w:r>
        <w:rPr>
          <w:rFonts w:ascii="Arial" w:cs="Arial" w:eastAsia="Arial" w:hAnsi="Arial"/>
          <w:sz w:val="16"/>
          <w:szCs w:val="16"/>
          <w:u w:val="single" w:color="auto"/>
          <w:color w:val="auto"/>
        </w:rPr>
        <w:t>Lease</w:t>
      </w:r>
      <w:r>
        <w:rPr>
          <w:rFonts w:ascii="Arial" w:cs="Arial" w:eastAsia="Arial" w:hAnsi="Arial"/>
          <w:sz w:val="16"/>
          <w:szCs w:val="16"/>
          <w:color w:val="auto"/>
        </w:rPr>
        <w:t>”) pursuant to which Tenant is currently leasing from Landlord approximately 5,420 rentable square feet of space (the “</w:t>
      </w:r>
      <w:r>
        <w:rPr>
          <w:rFonts w:ascii="Arial" w:cs="Arial" w:eastAsia="Arial" w:hAnsi="Arial"/>
          <w:sz w:val="16"/>
          <w:szCs w:val="16"/>
          <w:u w:val="single" w:color="auto"/>
          <w:color w:val="auto"/>
        </w:rPr>
        <w:t>Premises</w:t>
      </w:r>
      <w:r>
        <w:rPr>
          <w:rFonts w:ascii="Arial" w:cs="Arial" w:eastAsia="Arial" w:hAnsi="Arial"/>
          <w:sz w:val="16"/>
          <w:szCs w:val="16"/>
          <w:color w:val="auto"/>
        </w:rPr>
        <w:t>” and the “</w:t>
      </w:r>
      <w:r>
        <w:rPr>
          <w:rFonts w:ascii="Arial" w:cs="Arial" w:eastAsia="Arial" w:hAnsi="Arial"/>
          <w:sz w:val="16"/>
          <w:szCs w:val="16"/>
          <w:u w:val="single" w:color="auto"/>
          <w:color w:val="auto"/>
        </w:rPr>
        <w:t>Original Premises</w:t>
      </w:r>
      <w:r>
        <w:rPr>
          <w:rFonts w:ascii="Arial" w:cs="Arial" w:eastAsia="Arial" w:hAnsi="Arial"/>
          <w:sz w:val="16"/>
          <w:szCs w:val="16"/>
          <w:color w:val="auto"/>
        </w:rPr>
        <w:t>”) on portions of the 100 Level of Building E located at 99 Hayden Avenue, Lexington, Massachusetts. Capitalized terms not otherwise defined herein shall have the meaning ascribed to them in the Lease.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 Landlord and Tenant are the current holders, respectively, of the lessor’s and lessee’s interests in the Lease.</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 Landlord and Tenant desire to amend the Lease in certain respects as provided herein.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AGREEMENTS</w:t>
      </w:r>
      <w:r>
        <w:rPr>
          <w:rFonts w:ascii="Arial" w:cs="Arial" w:eastAsia="Arial" w:hAnsi="Arial"/>
          <w:sz w:val="17"/>
          <w:szCs w:val="17"/>
          <w:color w:val="auto"/>
        </w:rPr>
        <w:t>:</w:t>
      </w:r>
    </w:p>
    <w:p>
      <w:pPr>
        <w:spacing w:after="0" w:line="222" w:lineRule="exact"/>
        <w:rPr>
          <w:sz w:val="20"/>
          <w:szCs w:val="20"/>
          <w:color w:val="auto"/>
        </w:rPr>
      </w:pPr>
    </w:p>
    <w:p>
      <w:pPr>
        <w:ind w:right="20" w:firstLine="426"/>
        <w:spacing w:after="0" w:line="287" w:lineRule="auto"/>
        <w:rPr>
          <w:sz w:val="20"/>
          <w:szCs w:val="20"/>
          <w:color w:val="auto"/>
        </w:rPr>
      </w:pPr>
      <w:r>
        <w:rPr>
          <w:rFonts w:ascii="Arial" w:cs="Arial" w:eastAsia="Arial" w:hAnsi="Arial"/>
          <w:sz w:val="17"/>
          <w:szCs w:val="17"/>
          <w:color w:val="auto"/>
        </w:rPr>
        <w:t>NOW, THEREFORE, in consideration of the agreements set forth herein and other good and valuable consideration, the receipt and sufficiency of which are hereby acknowledged, Landlord and Tenant hereby agree, and amend the Lease, as follows:</w:t>
      </w:r>
    </w:p>
    <w:p>
      <w:pPr>
        <w:spacing w:after="0" w:line="55" w:lineRule="exact"/>
        <w:rPr>
          <w:sz w:val="20"/>
          <w:szCs w:val="20"/>
          <w:color w:val="auto"/>
        </w:rPr>
      </w:pPr>
    </w:p>
    <w:p>
      <w:pPr>
        <w:ind w:firstLine="424"/>
        <w:spacing w:after="0" w:line="264" w:lineRule="auto"/>
        <w:tabs>
          <w:tab w:leader="none" w:pos="600"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Premises</w:t>
      </w:r>
      <w:r>
        <w:rPr>
          <w:rFonts w:ascii="Arial" w:cs="Arial" w:eastAsia="Arial" w:hAnsi="Arial"/>
          <w:sz w:val="17"/>
          <w:szCs w:val="17"/>
          <w:color w:val="auto"/>
        </w:rPr>
        <w:t>. Notwithstanding any provision in the Lease to the contrary, the Original Premises is located on the 100 Level of Building E. As of September 1, 2019 (the “</w:t>
      </w:r>
      <w:r>
        <w:rPr>
          <w:rFonts w:ascii="Arial" w:cs="Arial" w:eastAsia="Arial" w:hAnsi="Arial"/>
          <w:sz w:val="17"/>
          <w:szCs w:val="17"/>
          <w:u w:val="single" w:color="auto"/>
          <w:color w:val="auto"/>
        </w:rPr>
        <w:t>Expansion Commencement Date</w:t>
      </w:r>
      <w:r>
        <w:rPr>
          <w:rFonts w:ascii="Arial" w:cs="Arial" w:eastAsia="Arial" w:hAnsi="Arial"/>
          <w:sz w:val="17"/>
          <w:szCs w:val="17"/>
          <w:color w:val="auto"/>
        </w:rPr>
        <w:t>”), (i) approximately 4,997 rentable square feet on the 400 Level of Building C (the “</w:t>
      </w:r>
      <w:r>
        <w:rPr>
          <w:rFonts w:ascii="Arial" w:cs="Arial" w:eastAsia="Arial" w:hAnsi="Arial"/>
          <w:sz w:val="17"/>
          <w:szCs w:val="17"/>
          <w:u w:val="single" w:color="auto"/>
          <w:color w:val="auto"/>
        </w:rPr>
        <w:t>Expansion Premises</w:t>
      </w:r>
      <w:r>
        <w:rPr>
          <w:rFonts w:ascii="Arial" w:cs="Arial" w:eastAsia="Arial" w:hAnsi="Arial"/>
          <w:sz w:val="17"/>
          <w:szCs w:val="17"/>
          <w:color w:val="auto"/>
        </w:rPr>
        <w:t xml:space="preserve">”), as more particularly shown on the attached Exhibit A, shall be added to the Premises (ii) the Premises shall consist of a total of approximately 10,417 rentable square feet, and (iii) Tenant’s Pro Rata Share shall be increased to 5.55% (subject to Section 4.06 of the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87" w:lineRule="exact"/>
        <w:rPr>
          <w:sz w:val="20"/>
          <w:szCs w:val="20"/>
          <w:color w:val="auto"/>
        </w:rPr>
      </w:pPr>
    </w:p>
    <w:p>
      <w:pPr>
        <w:ind w:left="940" w:right="300" w:hanging="524"/>
        <w:spacing w:after="0" w:line="320" w:lineRule="auto"/>
        <w:tabs>
          <w:tab w:leader="none" w:pos="94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Permitted Uses with respect to the Expansion Premises shall be limited to general office and laboratory use (including research and development, but not as a vivarium or for the testing of animals) to the extent permitted by applicable zoning ordinances; and</w:t>
      </w:r>
    </w:p>
    <w:p>
      <w:pPr>
        <w:spacing w:after="0" w:line="44" w:lineRule="exact"/>
        <w:rPr>
          <w:rFonts w:ascii="Arial" w:cs="Arial" w:eastAsia="Arial" w:hAnsi="Arial"/>
          <w:sz w:val="16"/>
          <w:szCs w:val="16"/>
          <w:color w:val="auto"/>
        </w:rPr>
      </w:pPr>
    </w:p>
    <w:p>
      <w:pPr>
        <w:ind w:left="940" w:hanging="524"/>
        <w:spacing w:after="0" w:line="301" w:lineRule="auto"/>
        <w:tabs>
          <w:tab w:leader="none" w:pos="94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 xml:space="preserve">Tenant shall continue to have the appurtenant rights to use Building E as set forth in 2.01(b) of the Lease;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use of the Generator, Shared Generator, and pH System shall not be appurtenant to the Expansion Premises. Tenant shall have the non-exclusive right, as appurtenant to and for the benefit of the Expansion Premises only, to use (i) up to 12.5 kw of capacity from the emergency generator that serves the Expansion Premises in common with other tenants in Building C (the “</w:t>
      </w:r>
      <w:r>
        <w:rPr>
          <w:rFonts w:ascii="Arial" w:cs="Arial" w:eastAsia="Arial" w:hAnsi="Arial"/>
          <w:sz w:val="15"/>
          <w:szCs w:val="15"/>
          <w:u w:val="single" w:color="auto"/>
          <w:color w:val="auto"/>
        </w:rPr>
        <w:t>Expansion Shared Generator</w:t>
      </w:r>
      <w:r>
        <w:rPr>
          <w:rFonts w:ascii="Arial" w:cs="Arial" w:eastAsia="Arial" w:hAnsi="Arial"/>
          <w:sz w:val="15"/>
          <w:szCs w:val="15"/>
          <w:color w:val="auto"/>
        </w:rPr>
        <w:t>”) and (ii) the shared pH neutralization system in Building C (the “</w:t>
      </w:r>
      <w:r>
        <w:rPr>
          <w:rFonts w:ascii="Arial" w:cs="Arial" w:eastAsia="Arial" w:hAnsi="Arial"/>
          <w:sz w:val="15"/>
          <w:szCs w:val="15"/>
          <w:u w:val="single" w:color="auto"/>
          <w:color w:val="auto"/>
        </w:rPr>
        <w:t>Expansion pH System</w:t>
      </w:r>
      <w:r>
        <w:rPr>
          <w:rFonts w:ascii="Arial" w:cs="Arial" w:eastAsia="Arial" w:hAnsi="Arial"/>
          <w:sz w:val="15"/>
          <w:szCs w:val="15"/>
          <w:color w:val="auto"/>
        </w:rPr>
        <w:t>”); and shall pay to Landlord, as additional rent, its pro rata share of the maintenance, repair, replacement and operating costs for the Expansion Shared Generator and Expansion pH System as billed by Landlord in common with other tenants having shared use of the Expansion Shared Generator and Expansion pH System.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620" w:top="264" w:right="659" w:bottom="1440" w:gutter="0" w:footer="0" w:header="0"/>
        </w:sectPr>
      </w:pPr>
    </w:p>
    <w:bookmarkStart w:id="494" w:name="page495"/>
    <w:bookmarkEnd w:id="494"/>
    <w:p>
      <w:pPr>
        <w:ind w:left="2" w:right="6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Except as specifically set forth in this Second Amendment, the Expansion Premises shall be deemed part of the Premises for all purposes, including, but not limited to, the Term set forth in Section 3.01 of the Lease and the Right to Extend set forth in Section 3.03 of the Lease.</w:t>
      </w:r>
    </w:p>
    <w:p>
      <w:pPr>
        <w:spacing w:after="0" w:line="159" w:lineRule="exact"/>
        <w:rPr>
          <w:sz w:val="20"/>
          <w:szCs w:val="20"/>
          <w:color w:val="auto"/>
        </w:rPr>
      </w:pPr>
    </w:p>
    <w:p>
      <w:pPr>
        <w:ind w:left="2" w:right="160" w:firstLine="424"/>
        <w:spacing w:after="0" w:line="262" w:lineRule="auto"/>
        <w:tabs>
          <w:tab w:leader="none" w:pos="602"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Tenant shall accept the Expansion Premises in their condition as of the Expansion Commencement Date “as is”. Landlord shall deliver the Expansion Premises with the roof and all Core Building Systems (i) in good working condition and (ii) suitable for laboratory use. Tenant acknowledges that except as expressly set forth herein, neither Landlord nor any person acting under Landlord has made any representation as to the condition of the Property or the suitability of the Property for Tenant’s intended use. By occupying the Expansion Premises, Tenant shall be deemed to have accepted the Expansion Premises in their condition as of the date of such occupancy and Landlord shall be deemed to have completed all of its obligations under this Section 2.</w:t>
      </w:r>
    </w:p>
    <w:p>
      <w:pPr>
        <w:spacing w:after="0" w:line="181" w:lineRule="exact"/>
        <w:rPr>
          <w:rFonts w:ascii="Arial" w:cs="Arial" w:eastAsia="Arial" w:hAnsi="Arial"/>
          <w:sz w:val="17"/>
          <w:szCs w:val="17"/>
          <w:color w:val="auto"/>
        </w:rPr>
      </w:pPr>
    </w:p>
    <w:p>
      <w:pPr>
        <w:jc w:val="both"/>
        <w:ind w:left="2" w:right="200" w:firstLine="424"/>
        <w:spacing w:after="0" w:line="272" w:lineRule="auto"/>
        <w:tabs>
          <w:tab w:leader="none" w:pos="602"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Base Rent</w:t>
      </w:r>
      <w:r>
        <w:rPr>
          <w:rFonts w:ascii="Arial" w:cs="Arial" w:eastAsia="Arial" w:hAnsi="Arial"/>
          <w:sz w:val="17"/>
          <w:szCs w:val="17"/>
          <w:color w:val="auto"/>
        </w:rPr>
        <w:t>. Tenant shall continue to pay Base Rent for the Premises to Landlord in the manner and at the times set forth in Section 4.01 of the Lease, in advance, without demand, notice, deduction or set off, (i) with respect to the Original Premises at the rates set forth in Article 1 of the Lease and (ii) with respect to the Expansion Premises, at the following rates:</w:t>
      </w:r>
    </w:p>
    <w:p>
      <w:pPr>
        <w:spacing w:after="0" w:line="173" w:lineRule="exact"/>
        <w:rPr>
          <w:sz w:val="20"/>
          <w:szCs w:val="20"/>
          <w:color w:val="auto"/>
        </w:rPr>
      </w:pPr>
    </w:p>
    <w:tbl>
      <w:tblPr>
        <w:tblLayout w:type="fixed"/>
        <w:tblInd w:w="1282" w:type="dxa"/>
        <w:tblCellMar>
          <w:top w:w="0" w:type="dxa"/>
          <w:left w:w="0" w:type="dxa"/>
          <w:bottom w:w="0" w:type="dxa"/>
          <w:right w:w="0" w:type="dxa"/>
        </w:tblCellMar>
      </w:tblPr>
      <w:tr>
        <w:trPr>
          <w:trHeight w:val="161"/>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ind w:right="5"/>
              <w:spacing w:after="0"/>
              <w:rPr>
                <w:sz w:val="20"/>
                <w:szCs w:val="20"/>
                <w:color w:val="auto"/>
              </w:rPr>
            </w:pPr>
            <w:r>
              <w:rPr>
                <w:rFonts w:ascii="Arial" w:cs="Arial" w:eastAsia="Arial" w:hAnsi="Arial"/>
                <w:sz w:val="14"/>
                <w:szCs w:val="14"/>
                <w:color w:val="auto"/>
                <w:w w:val="95"/>
              </w:rPr>
              <w:t>Annual Base</w:t>
            </w:r>
          </w:p>
        </w:tc>
        <w:tc>
          <w:tcPr>
            <w:tcW w:w="3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Monthly</w:t>
            </w: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jc w:val="right"/>
              <w:ind w:right="225"/>
              <w:spacing w:after="0" w:line="149" w:lineRule="exact"/>
              <w:rPr>
                <w:sz w:val="20"/>
                <w:szCs w:val="20"/>
                <w:color w:val="auto"/>
              </w:rPr>
            </w:pPr>
            <w:r>
              <w:rPr>
                <w:rFonts w:ascii="Arial" w:cs="Arial" w:eastAsia="Arial" w:hAnsi="Arial"/>
                <w:sz w:val="14"/>
                <w:szCs w:val="14"/>
                <w:color w:val="auto"/>
              </w:rPr>
              <w:t>Rent</w:t>
            </w: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Installment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September 1, 2019 — September 30, 2020 (inclusive)</w:t>
            </w: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$242,354.50</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$20,196.21*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7"/>
                <w:szCs w:val="17"/>
                <w:color w:val="auto"/>
                <w:w w:val="91"/>
              </w:rPr>
              <w:t>October 1, 2020</w:t>
            </w:r>
          </w:p>
        </w:tc>
        <w:tc>
          <w:tcPr>
            <w:tcW w:w="3700" w:type="dxa"/>
            <w:vAlign w:val="bottom"/>
          </w:tcPr>
          <w:p>
            <w:pPr>
              <w:ind w:left="20"/>
              <w:spacing w:after="0"/>
              <w:rPr>
                <w:sz w:val="20"/>
                <w:szCs w:val="20"/>
                <w:color w:val="auto"/>
              </w:rPr>
            </w:pPr>
            <w:r>
              <w:rPr>
                <w:rFonts w:ascii="Arial" w:cs="Arial" w:eastAsia="Arial" w:hAnsi="Arial"/>
                <w:sz w:val="17"/>
                <w:szCs w:val="17"/>
                <w:color w:val="auto"/>
              </w:rPr>
              <w:t>— September 30, 2021 (inclusive)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$249,625.14</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$20,802.10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October 1, 2021</w:t>
            </w:r>
          </w:p>
        </w:tc>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September 30, 2022 (inclusive)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$257,113.89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$21,426.16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gridSpan w:val="2"/>
          </w:tcPr>
          <w:p>
            <w:pPr>
              <w:spacing w:after="0"/>
              <w:rPr>
                <w:sz w:val="20"/>
                <w:szCs w:val="20"/>
                <w:color w:val="auto"/>
              </w:rPr>
            </w:pPr>
            <w:r>
              <w:rPr>
                <w:rFonts w:ascii="Arial" w:cs="Arial" w:eastAsia="Arial" w:hAnsi="Arial"/>
                <w:sz w:val="17"/>
                <w:szCs w:val="17"/>
                <w:color w:val="auto"/>
                <w:w w:val="91"/>
              </w:rPr>
              <w:t>October 1, 2022</w:t>
            </w:r>
          </w:p>
        </w:tc>
        <w:tc>
          <w:tcPr>
            <w:tcW w:w="3700" w:type="dxa"/>
            <w:vAlign w:val="bottom"/>
          </w:tcPr>
          <w:p>
            <w:pPr>
              <w:ind w:left="20"/>
              <w:spacing w:after="0"/>
              <w:rPr>
                <w:sz w:val="20"/>
                <w:szCs w:val="20"/>
                <w:color w:val="auto"/>
              </w:rPr>
            </w:pPr>
            <w:r>
              <w:rPr>
                <w:rFonts w:ascii="Arial" w:cs="Arial" w:eastAsia="Arial" w:hAnsi="Arial"/>
                <w:sz w:val="17"/>
                <w:szCs w:val="17"/>
                <w:color w:val="auto"/>
              </w:rPr>
              <w:t>— December 31, 2022 (inclusive)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$264,827.31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$22,068.94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 w:hanging="202"/>
        <w:spacing w:after="0" w:line="272" w:lineRule="auto"/>
        <w:tabs>
          <w:tab w:leader="none" w:pos="202" w:val="left"/>
        </w:tabs>
        <w:numPr>
          <w:ilvl w:val="0"/>
          <w:numId w:val="442"/>
        </w:numPr>
        <w:rPr>
          <w:rFonts w:ascii="Arial" w:cs="Arial" w:eastAsia="Arial" w:hAnsi="Arial"/>
          <w:sz w:val="17"/>
          <w:szCs w:val="17"/>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so long as Tenant is not then in default of any of its obligations under the Lease, the monthly installment of Base Rent (but</w:t>
      </w:r>
      <w:r>
        <w:rPr>
          <w:rFonts w:ascii="Arial" w:cs="Arial" w:eastAsia="Arial" w:hAnsi="Arial"/>
          <w:sz w:val="17"/>
          <w:szCs w:val="17"/>
          <w:i w:val="1"/>
          <w:iCs w:val="1"/>
          <w:color w:val="auto"/>
        </w:rPr>
        <w:t xml:space="preserve"> </w:t>
      </w:r>
      <w:r>
        <w:rPr>
          <w:rFonts w:ascii="Arial" w:cs="Arial" w:eastAsia="Arial" w:hAnsi="Arial"/>
          <w:sz w:val="17"/>
          <w:szCs w:val="17"/>
          <w:color w:val="auto"/>
        </w:rPr>
        <w:t>not Additional Rent), with respect to the Expansion Premises only, for the period from and including September 1, 2019 through September 30, 2019, shall be abated.</w:t>
      </w:r>
    </w:p>
    <w:p>
      <w:pPr>
        <w:spacing w:after="0" w:line="170" w:lineRule="exact"/>
        <w:rPr>
          <w:rFonts w:ascii="Arial" w:cs="Arial" w:eastAsia="Arial" w:hAnsi="Arial"/>
          <w:sz w:val="17"/>
          <w:szCs w:val="17"/>
          <w:color w:val="auto"/>
        </w:rPr>
      </w:pPr>
    </w:p>
    <w:p>
      <w:pPr>
        <w:ind w:left="2" w:right="340" w:firstLine="424"/>
        <w:spacing w:after="0" w:line="272" w:lineRule="auto"/>
        <w:tabs>
          <w:tab w:leader="none" w:pos="602" w:val="left"/>
        </w:tabs>
        <w:numPr>
          <w:ilvl w:val="1"/>
          <w:numId w:val="442"/>
        </w:numPr>
        <w:rPr>
          <w:rFonts w:ascii="Arial" w:cs="Arial" w:eastAsia="Arial" w:hAnsi="Arial"/>
          <w:sz w:val="17"/>
          <w:szCs w:val="17"/>
          <w:color w:val="auto"/>
        </w:rPr>
      </w:pPr>
      <w:r>
        <w:rPr>
          <w:rFonts w:ascii="Arial" w:cs="Arial" w:eastAsia="Arial" w:hAnsi="Arial"/>
          <w:sz w:val="17"/>
          <w:szCs w:val="17"/>
          <w:u w:val="single" w:color="auto"/>
          <w:color w:val="auto"/>
        </w:rPr>
        <w:t>Additional Rent</w:t>
      </w:r>
      <w:r>
        <w:rPr>
          <w:rFonts w:ascii="Arial" w:cs="Arial" w:eastAsia="Arial" w:hAnsi="Arial"/>
          <w:sz w:val="17"/>
          <w:szCs w:val="17"/>
          <w:color w:val="auto"/>
        </w:rPr>
        <w:t xml:space="preserve">. Tenant shall continue to pay Additional Rent, including, without limitation, Tenant’s Pro Rata Share of Taxes, Utilities, Insurance premiums, and Operating Expenses;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from and after the Expansion Commencement Date, Tenant’s Pro Rata Share shall be as set forth in Section 1, above.</w:t>
      </w:r>
    </w:p>
    <w:p>
      <w:pPr>
        <w:spacing w:after="0" w:line="170" w:lineRule="exact"/>
        <w:rPr>
          <w:rFonts w:ascii="Arial" w:cs="Arial" w:eastAsia="Arial" w:hAnsi="Arial"/>
          <w:sz w:val="17"/>
          <w:szCs w:val="17"/>
          <w:color w:val="auto"/>
        </w:rPr>
      </w:pPr>
    </w:p>
    <w:p>
      <w:pPr>
        <w:ind w:left="602" w:hanging="176"/>
        <w:spacing w:after="0"/>
        <w:tabs>
          <w:tab w:leader="none" w:pos="602"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On or before the Expansion Commencement Date, Tenant shall decrease the Letter of Credit Amount from $130,930.94 to</w:t>
      </w:r>
    </w:p>
    <w:p>
      <w:pPr>
        <w:spacing w:after="0" w:line="37" w:lineRule="exact"/>
        <w:rPr>
          <w:sz w:val="20"/>
          <w:szCs w:val="20"/>
          <w:color w:val="auto"/>
        </w:rPr>
      </w:pPr>
    </w:p>
    <w:p>
      <w:pPr>
        <w:ind w:left="2" w:right="60"/>
        <w:spacing w:after="0" w:line="259" w:lineRule="auto"/>
        <w:rPr>
          <w:sz w:val="20"/>
          <w:szCs w:val="20"/>
          <w:color w:val="auto"/>
        </w:rPr>
      </w:pPr>
      <w:r>
        <w:rPr>
          <w:rFonts w:ascii="Arial" w:cs="Arial" w:eastAsia="Arial" w:hAnsi="Arial"/>
          <w:sz w:val="17"/>
          <w:szCs w:val="17"/>
          <w:color w:val="auto"/>
        </w:rPr>
        <w:t>$115,017.00 by providing Landlord with either (i) a substitute letter of credit in the decreased amount in exchange for the existing letter(s) of credit which Landlord is then holding or (ii) an amendment to the existing letter(s) of credit then held by Landlord, in either case in form and substance reasonably acceptable to Landlord and which is accepted by Landlord in writing. Except as expressly set forth in this Second Amendment, such letter(s) of credit shall be subject to Article 15 of the Lease. Notwithstanding any provision to the contrary in said Article 15, the Letter of Credit Amount shall not be subject to any automatic reductions, but Landlord agrees to discuss future reductions with Tenant, in good faith, following Tenant securing material additional funding.</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2"/>
          </w:cols>
          <w:pgMar w:left="618" w:top="270" w:right="639" w:bottom="1440" w:gutter="0" w:footer="0" w:header="0"/>
        </w:sectPr>
      </w:pPr>
    </w:p>
    <w:bookmarkStart w:id="495" w:name="page496"/>
    <w:bookmarkEnd w:id="495"/>
    <w:p>
      <w:pPr>
        <w:ind w:left="2" w:right="400" w:firstLine="424"/>
        <w:spacing w:after="0" w:line="320" w:lineRule="auto"/>
        <w:tabs>
          <w:tab w:leader="none" w:pos="602"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Signage</w:t>
      </w:r>
      <w:r>
        <w:rPr>
          <w:rFonts w:ascii="Arial" w:cs="Arial" w:eastAsia="Arial" w:hAnsi="Arial"/>
          <w:sz w:val="16"/>
          <w:szCs w:val="16"/>
          <w:color w:val="auto"/>
        </w:rPr>
        <w:t>. Landlord shall provide Tenant with identification on existing multi-tenant signs or directories in Building C and on other existing common area signage, as appropriate. Such signs will be consistent with standard Building signage and will conform to local regulations.</w:t>
      </w:r>
    </w:p>
    <w:p>
      <w:pPr>
        <w:spacing w:after="0" w:line="135" w:lineRule="exact"/>
        <w:rPr>
          <w:rFonts w:ascii="Arial" w:cs="Arial" w:eastAsia="Arial" w:hAnsi="Arial"/>
          <w:sz w:val="16"/>
          <w:szCs w:val="16"/>
          <w:color w:val="auto"/>
        </w:rPr>
      </w:pPr>
    </w:p>
    <w:p>
      <w:pPr>
        <w:ind w:left="602" w:hanging="176"/>
        <w:spacing w:after="0"/>
        <w:tabs>
          <w:tab w:leader="none" w:pos="602" w:val="left"/>
        </w:tabs>
        <w:numPr>
          <w:ilvl w:val="1"/>
          <w:numId w:val="443"/>
        </w:numPr>
        <w:rPr>
          <w:rFonts w:ascii="Arial" w:cs="Arial" w:eastAsia="Arial" w:hAnsi="Arial"/>
          <w:sz w:val="15"/>
          <w:szCs w:val="15"/>
          <w:color w:val="auto"/>
        </w:rPr>
      </w:pPr>
      <w:r>
        <w:rPr>
          <w:rFonts w:ascii="Arial" w:cs="Arial" w:eastAsia="Arial" w:hAnsi="Arial"/>
          <w:sz w:val="15"/>
          <w:szCs w:val="15"/>
          <w:u w:val="single" w:color="auto"/>
          <w:color w:val="auto"/>
        </w:rPr>
        <w:t>Parking</w:t>
      </w:r>
      <w:r>
        <w:rPr>
          <w:rFonts w:ascii="Arial" w:cs="Arial" w:eastAsia="Arial" w:hAnsi="Arial"/>
          <w:sz w:val="15"/>
          <w:szCs w:val="15"/>
          <w:color w:val="auto"/>
        </w:rPr>
        <w:t>. Tenant’s appurtenant right to use unreserved parking spaces pursuant to Section 2.01(d) of the Lease, shall be increased from thirteen</w:t>
      </w:r>
    </w:p>
    <w:p>
      <w:pPr>
        <w:spacing w:after="0" w:line="48" w:lineRule="exact"/>
        <w:rPr>
          <w:rFonts w:ascii="Arial" w:cs="Arial" w:eastAsia="Arial" w:hAnsi="Arial"/>
          <w:sz w:val="15"/>
          <w:szCs w:val="15"/>
          <w:color w:val="auto"/>
        </w:rPr>
      </w:pPr>
    </w:p>
    <w:p>
      <w:pPr>
        <w:ind w:left="342" w:hanging="342"/>
        <w:spacing w:after="0"/>
        <w:tabs>
          <w:tab w:leader="none" w:pos="342" w:val="left"/>
        </w:tabs>
        <w:numPr>
          <w:ilvl w:val="0"/>
          <w:numId w:val="444"/>
        </w:numPr>
        <w:rPr>
          <w:rFonts w:ascii="Arial" w:cs="Arial" w:eastAsia="Arial" w:hAnsi="Arial"/>
          <w:sz w:val="17"/>
          <w:szCs w:val="17"/>
          <w:color w:val="auto"/>
        </w:rPr>
      </w:pPr>
      <w:r>
        <w:rPr>
          <w:rFonts w:ascii="Arial" w:cs="Arial" w:eastAsia="Arial" w:hAnsi="Arial"/>
          <w:sz w:val="17"/>
          <w:szCs w:val="17"/>
          <w:color w:val="auto"/>
        </w:rPr>
        <w:t>unreserved parking spaces to twenty-five (25) unreserved parking spaces.</w:t>
      </w:r>
    </w:p>
    <w:p>
      <w:pPr>
        <w:spacing w:after="0" w:line="210" w:lineRule="exact"/>
        <w:rPr>
          <w:rFonts w:ascii="Arial" w:cs="Arial" w:eastAsia="Arial" w:hAnsi="Arial"/>
          <w:sz w:val="17"/>
          <w:szCs w:val="17"/>
          <w:color w:val="auto"/>
        </w:rPr>
      </w:pPr>
    </w:p>
    <w:p>
      <w:pPr>
        <w:ind w:left="2" w:right="60" w:firstLine="424"/>
        <w:spacing w:after="0" w:line="287" w:lineRule="auto"/>
        <w:tabs>
          <w:tab w:leader="none" w:pos="602"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t>Roof Rights</w:t>
      </w:r>
      <w:r>
        <w:rPr>
          <w:rFonts w:ascii="Arial" w:cs="Arial" w:eastAsia="Arial" w:hAnsi="Arial"/>
          <w:sz w:val="17"/>
          <w:szCs w:val="17"/>
          <w:color w:val="auto"/>
        </w:rPr>
        <w:t>. Tenant shall have the same license and rights and obligations with respect to the roof of Building C as are set forth in Section 2.02 of the Lease.</w:t>
      </w:r>
    </w:p>
    <w:p>
      <w:pPr>
        <w:spacing w:after="0" w:line="159" w:lineRule="exact"/>
        <w:rPr>
          <w:rFonts w:ascii="Arial" w:cs="Arial" w:eastAsia="Arial" w:hAnsi="Arial"/>
          <w:sz w:val="17"/>
          <w:szCs w:val="17"/>
          <w:color w:val="auto"/>
        </w:rPr>
      </w:pPr>
    </w:p>
    <w:p>
      <w:pPr>
        <w:ind w:left="2" w:right="120" w:firstLine="424"/>
        <w:spacing w:after="0" w:line="272" w:lineRule="auto"/>
        <w:tabs>
          <w:tab w:leader="none" w:pos="602"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t>Successors; Conflicts</w:t>
      </w:r>
      <w:r>
        <w:rPr>
          <w:rFonts w:ascii="Arial" w:cs="Arial" w:eastAsia="Arial" w:hAnsi="Arial"/>
          <w:sz w:val="17"/>
          <w:szCs w:val="17"/>
          <w:color w:val="auto"/>
        </w:rPr>
        <w:t>. This Second Amendment shall be binding upon the parties and their respective successors and assigns. To the extent the terms and conditions of the Lease expressly conflict with or are expressly inconsistent with this Second Amendment, the terms and conditions of this Second Amendment shall control.</w:t>
      </w:r>
    </w:p>
    <w:p>
      <w:pPr>
        <w:spacing w:after="0" w:line="170" w:lineRule="exact"/>
        <w:rPr>
          <w:rFonts w:ascii="Arial" w:cs="Arial" w:eastAsia="Arial" w:hAnsi="Arial"/>
          <w:sz w:val="17"/>
          <w:szCs w:val="17"/>
          <w:color w:val="auto"/>
        </w:rPr>
      </w:pPr>
    </w:p>
    <w:p>
      <w:pPr>
        <w:ind w:left="2" w:firstLine="424"/>
        <w:spacing w:after="0" w:line="307" w:lineRule="auto"/>
        <w:tabs>
          <w:tab w:leader="none" w:pos="688" w:val="left"/>
        </w:tabs>
        <w:numPr>
          <w:ilvl w:val="1"/>
          <w:numId w:val="444"/>
        </w:numPr>
        <w:rPr>
          <w:rFonts w:ascii="Arial" w:cs="Arial" w:eastAsia="Arial" w:hAnsi="Arial"/>
          <w:sz w:val="15"/>
          <w:szCs w:val="15"/>
          <w:color w:val="auto"/>
        </w:rPr>
      </w:pPr>
      <w:r>
        <w:rPr>
          <w:rFonts w:ascii="Arial" w:cs="Arial" w:eastAsia="Arial" w:hAnsi="Arial"/>
          <w:sz w:val="15"/>
          <w:szCs w:val="15"/>
          <w:u w:val="single" w:color="auto"/>
          <w:color w:val="auto"/>
        </w:rPr>
        <w:t>Brokers</w:t>
      </w:r>
      <w:r>
        <w:rPr>
          <w:rFonts w:ascii="Arial" w:cs="Arial" w:eastAsia="Arial" w:hAnsi="Arial"/>
          <w:sz w:val="15"/>
          <w:szCs w:val="15"/>
          <w:color w:val="auto"/>
        </w:rPr>
        <w:t>. Tenant represents and warrants to Landlord that it has not directly or indirectly dealt, with respect to this Second Amendment, with any broker or had its attention called to the Expansion Premises or other space to let at the Property, etc. by anyone other than CBRE and JLL. Tenant agrees to defend, exonerate and save harmless and indemnify Landlord and anyone claiming by, through or under Landlord against any claims for a commission arising out of the execution and delivery of this Second Amendment or out of negotiations between Landlord and Tenant with respect to the leasing of other space at the Property. Landlord is responsible for paying all commissions to CBRE and JLL pursuant to separate agreement(s) therewith.</w:t>
      </w:r>
    </w:p>
    <w:p>
      <w:pPr>
        <w:spacing w:after="0" w:line="149" w:lineRule="exact"/>
        <w:rPr>
          <w:rFonts w:ascii="Arial" w:cs="Arial" w:eastAsia="Arial" w:hAnsi="Arial"/>
          <w:sz w:val="15"/>
          <w:szCs w:val="15"/>
          <w:color w:val="auto"/>
        </w:rPr>
      </w:pPr>
    </w:p>
    <w:p>
      <w:pPr>
        <w:ind w:left="2" w:right="280" w:firstLine="424"/>
        <w:spacing w:after="0" w:line="266" w:lineRule="auto"/>
        <w:tabs>
          <w:tab w:leader="none" w:pos="682"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as expressly modified herein, the Lease shall remain unmodified and in full force and effect. The provisions of this Second Amendment shall be binding upon and shall inure to the benefit of Landlord and Tenant and their respective legal representatives, successors and assigns. Any signature delivered by a party by facsimile or electronic transmission shall be deemed to be an original signature to this Second Amendment.</w:t>
      </w:r>
    </w:p>
    <w:p>
      <w:pPr>
        <w:spacing w:after="0" w:line="178"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[Signature Page to Follow]</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2"/>
          </w:cols>
          <w:pgMar w:left="618" w:top="269" w:right="639" w:bottom="1440" w:gutter="0" w:footer="0" w:header="0"/>
        </w:sectPr>
      </w:pPr>
    </w:p>
    <w:bookmarkStart w:id="496" w:name="page497"/>
    <w:bookmarkEnd w:id="496"/>
    <w:p>
      <w:pPr>
        <w:ind w:right="40" w:firstLine="426"/>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 the parties hereto have executed this Second Amendment to Lease in multiple copies, each to be considered an original hereof, as a sealed instrument on the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gridSpan w:val="2"/>
          </w:tcPr>
          <w:p>
            <w:pPr>
              <w:spacing w:after="0"/>
              <w:rPr>
                <w:sz w:val="20"/>
                <w:szCs w:val="20"/>
                <w:color w:val="auto"/>
              </w:rPr>
            </w:pPr>
            <w:r>
              <w:rPr>
                <w:rFonts w:ascii="Arial" w:cs="Arial" w:eastAsia="Arial" w:hAnsi="Arial"/>
                <w:sz w:val="17"/>
                <w:szCs w:val="17"/>
                <w:color w:val="auto"/>
              </w:rPr>
              <w:t>LANDLORD:</w:t>
            </w: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TENANT:</w:t>
            </w:r>
          </w:p>
        </w:tc>
      </w:tr>
      <w:tr>
        <w:trPr>
          <w:trHeight w:val="418"/>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128 Spring Street Lexington, LLC</w:t>
            </w:r>
          </w:p>
        </w:tc>
        <w:tc>
          <w:tcPr>
            <w:tcW w:w="5660" w:type="dxa"/>
            <w:vAlign w:val="bottom"/>
            <w:gridSpan w:val="2"/>
          </w:tcPr>
          <w:p>
            <w:pPr>
              <w:ind w:left="660"/>
              <w:spacing w:after="0"/>
              <w:rPr>
                <w:sz w:val="20"/>
                <w:szCs w:val="20"/>
                <w:color w:val="auto"/>
              </w:rPr>
            </w:pPr>
            <w:r>
              <w:rPr>
                <w:rFonts w:ascii="Arial" w:cs="Arial" w:eastAsia="Arial" w:hAnsi="Arial"/>
                <w:sz w:val="17"/>
                <w:szCs w:val="17"/>
                <w:b w:val="1"/>
                <w:bCs w:val="1"/>
                <w:color w:val="auto"/>
              </w:rPr>
              <w:t>Keros Therapeutics, Inc.</w:t>
            </w:r>
          </w:p>
        </w:tc>
      </w:tr>
      <w:tr>
        <w:trPr>
          <w:trHeight w:val="418"/>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Stephen Faber</w:t>
            </w:r>
          </w:p>
        </w:tc>
        <w:tc>
          <w:tcPr>
            <w:tcW w:w="1200" w:type="dxa"/>
            <w:vAlign w:val="bottom"/>
          </w:tcPr>
          <w:p>
            <w:pPr>
              <w:ind w:left="660"/>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Jasbir S. Seehra</w:t>
            </w:r>
          </w:p>
        </w:tc>
      </w:tr>
      <w:tr>
        <w:trPr>
          <w:trHeight w:val="190"/>
        </w:trPr>
        <w:tc>
          <w:tcPr>
            <w:tcW w:w="520" w:type="dxa"/>
            <w:vAlign w:val="bottom"/>
          </w:tcPr>
          <w:p>
            <w:pPr>
              <w:spacing w:after="0" w:line="189" w:lineRule="exact"/>
              <w:rPr>
                <w:sz w:val="20"/>
                <w:szCs w:val="20"/>
                <w:color w:val="auto"/>
              </w:rPr>
            </w:pPr>
            <w:r>
              <w:rPr>
                <w:rFonts w:ascii="Arial" w:cs="Arial" w:eastAsia="Arial" w:hAnsi="Arial"/>
                <w:sz w:val="17"/>
                <w:szCs w:val="17"/>
                <w:color w:val="auto"/>
                <w:w w:val="99"/>
              </w:rPr>
              <w:t>Name:</w:t>
            </w:r>
          </w:p>
        </w:tc>
        <w:tc>
          <w:tcPr>
            <w:tcW w:w="4480" w:type="dxa"/>
            <w:vAlign w:val="bottom"/>
          </w:tcPr>
          <w:p>
            <w:pPr>
              <w:ind w:left="100"/>
              <w:spacing w:after="0" w:line="189" w:lineRule="exact"/>
              <w:rPr>
                <w:sz w:val="20"/>
                <w:szCs w:val="20"/>
                <w:color w:val="auto"/>
              </w:rPr>
            </w:pPr>
            <w:r>
              <w:rPr>
                <w:rFonts w:ascii="Arial" w:cs="Arial" w:eastAsia="Arial" w:hAnsi="Arial"/>
                <w:sz w:val="17"/>
                <w:szCs w:val="17"/>
                <w:color w:val="auto"/>
              </w:rPr>
              <w:t>Stephen Faber</w:t>
            </w:r>
          </w:p>
        </w:tc>
        <w:tc>
          <w:tcPr>
            <w:tcW w:w="1200" w:type="dxa"/>
            <w:vAlign w:val="bottom"/>
          </w:tcPr>
          <w:p>
            <w:pPr>
              <w:ind w:left="660"/>
              <w:spacing w:after="0" w:line="189" w:lineRule="exact"/>
              <w:rPr>
                <w:sz w:val="20"/>
                <w:szCs w:val="20"/>
                <w:color w:val="auto"/>
              </w:rPr>
            </w:pPr>
            <w:r>
              <w:rPr>
                <w:rFonts w:ascii="Arial" w:cs="Arial" w:eastAsia="Arial" w:hAnsi="Arial"/>
                <w:sz w:val="17"/>
                <w:szCs w:val="17"/>
                <w:color w:val="auto"/>
              </w:rPr>
              <w:t>Name:</w:t>
            </w:r>
          </w:p>
        </w:tc>
        <w:tc>
          <w:tcPr>
            <w:tcW w:w="4460" w:type="dxa"/>
            <w:vAlign w:val="bottom"/>
          </w:tcPr>
          <w:p>
            <w:pPr>
              <w:ind w:left="100"/>
              <w:spacing w:after="0" w:line="189" w:lineRule="exact"/>
              <w:rPr>
                <w:sz w:val="20"/>
                <w:szCs w:val="20"/>
                <w:color w:val="auto"/>
              </w:rPr>
            </w:pPr>
            <w:r>
              <w:rPr>
                <w:rFonts w:ascii="Arial" w:cs="Arial" w:eastAsia="Arial" w:hAnsi="Arial"/>
                <w:sz w:val="17"/>
                <w:szCs w:val="17"/>
                <w:color w:val="auto"/>
              </w:rPr>
              <w:t>Jasbir S. Seehra, Ph.D.</w:t>
            </w:r>
          </w:p>
        </w:tc>
      </w:tr>
      <w:tr>
        <w:trPr>
          <w:trHeight w:val="209"/>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4480" w:type="dxa"/>
            <w:vAlign w:val="bottom"/>
          </w:tcPr>
          <w:p>
            <w:pPr>
              <w:ind w:left="100"/>
              <w:spacing w:after="0"/>
              <w:rPr>
                <w:sz w:val="20"/>
                <w:szCs w:val="20"/>
                <w:color w:val="auto"/>
              </w:rPr>
            </w:pPr>
            <w:r>
              <w:rPr>
                <w:rFonts w:ascii="Arial" w:cs="Arial" w:eastAsia="Arial" w:hAnsi="Arial"/>
                <w:sz w:val="17"/>
                <w:szCs w:val="17"/>
                <w:color w:val="auto"/>
              </w:rPr>
              <w:t>Its Authorized Signatory</w:t>
            </w:r>
          </w:p>
        </w:tc>
        <w:tc>
          <w:tcPr>
            <w:tcW w:w="1200" w:type="dxa"/>
            <w:vAlign w:val="bottom"/>
          </w:tcPr>
          <w:p>
            <w:pPr>
              <w:ind w:left="660"/>
              <w:spacing w:after="0"/>
              <w:rPr>
                <w:sz w:val="20"/>
                <w:szCs w:val="20"/>
                <w:color w:val="auto"/>
              </w:rPr>
            </w:pPr>
            <w:r>
              <w:rPr>
                <w:rFonts w:ascii="Arial" w:cs="Arial" w:eastAsia="Arial" w:hAnsi="Arial"/>
                <w:sz w:val="17"/>
                <w:szCs w:val="17"/>
                <w:color w:val="auto"/>
              </w:rPr>
              <w:t>Title:</w:t>
            </w:r>
          </w:p>
        </w:tc>
        <w:tc>
          <w:tcPr>
            <w:tcW w:w="4460" w:type="dxa"/>
            <w:vAlign w:val="bottom"/>
          </w:tcPr>
          <w:p>
            <w:pPr>
              <w:ind w:left="100"/>
              <w:spacing w:after="0"/>
              <w:rPr>
                <w:sz w:val="20"/>
                <w:szCs w:val="20"/>
                <w:color w:val="auto"/>
              </w:rPr>
            </w:pPr>
            <w:r>
              <w:rPr>
                <w:rFonts w:ascii="Arial" w:cs="Arial" w:eastAsia="Arial" w:hAnsi="Arial"/>
                <w:sz w:val="17"/>
                <w:szCs w:val="17"/>
                <w:color w:val="auto"/>
              </w:rPr>
              <w:t>President and CEO</w:t>
            </w:r>
          </w:p>
        </w:tc>
      </w:tr>
      <w:tr>
        <w:trPr>
          <w:trHeight w:val="221"/>
        </w:trPr>
        <w:tc>
          <w:tcPr>
            <w:tcW w:w="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60" w:type="dxa"/>
            <w:vAlign w:val="bottom"/>
            <w:gridSpan w:val="2"/>
          </w:tcPr>
          <w:p>
            <w:pPr>
              <w:ind w:left="660"/>
              <w:spacing w:after="0"/>
              <w:rPr>
                <w:sz w:val="20"/>
                <w:szCs w:val="20"/>
                <w:color w:val="auto"/>
              </w:rPr>
            </w:pPr>
            <w:r>
              <w:rPr>
                <w:rFonts w:ascii="Arial" w:cs="Arial" w:eastAsia="Arial" w:hAnsi="Arial"/>
                <w:sz w:val="17"/>
                <w:szCs w:val="17"/>
                <w:color w:val="auto"/>
              </w:rPr>
              <w:t>Hereunto Duly Authorized</w:t>
            </w:r>
          </w:p>
        </w:tc>
      </w:tr>
      <w:tr>
        <w:trPr>
          <w:trHeight w:val="352"/>
        </w:trPr>
        <w:tc>
          <w:tcPr>
            <w:tcW w:w="5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Arial" w:cs="Arial" w:eastAsia="Arial" w:hAnsi="Arial"/>
                <w:sz w:val="17"/>
                <w:szCs w:val="17"/>
                <w:color w:val="auto"/>
              </w:rPr>
              <w:t>4</w:t>
            </w:r>
          </w:p>
        </w:tc>
        <w:tc>
          <w:tcPr>
            <w:tcW w:w="4460" w:type="dxa"/>
            <w:vAlign w:val="bottom"/>
          </w:tcPr>
          <w:p>
            <w:pPr>
              <w:spacing w:after="0"/>
              <w:rPr>
                <w:sz w:val="24"/>
                <w:szCs w:val="24"/>
                <w:color w:val="auto"/>
              </w:rPr>
            </w:pPr>
          </w:p>
        </w:tc>
      </w:tr>
    </w:tbl>
    <w:p>
      <w:pPr>
        <w:sectPr>
          <w:pgSz w:w="11900" w:h="16838" w:orient="portrait"/>
          <w:cols w:equalWidth="0" w:num="1">
            <w:col w:w="10660"/>
          </w:cols>
          <w:pgMar w:left="620" w:top="271" w:right="61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68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PLAN SHOWING THE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165735</wp:posOffset>
            </wp:positionV>
            <wp:extent cx="4036695" cy="49898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036695" cy="498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line="287" w:lineRule="auto"/>
        <w:rPr>
          <w:sz w:val="20"/>
          <w:szCs w:val="20"/>
          <w:color w:val="auto"/>
        </w:rPr>
      </w:pPr>
      <w:r>
        <w:rPr>
          <w:rFonts w:ascii="Arial" w:cs="Arial" w:eastAsia="Arial" w:hAnsi="Arial"/>
          <w:sz w:val="17"/>
          <w:szCs w:val="17"/>
          <w:color w:val="auto"/>
        </w:rPr>
        <w:t>This plan is to show the location of the Expansion Premises only and may not depict the current condition of the Expansion Premises. Any furniture shown hereon is for illustrative purposes only and shall not be included with delivery of the Expansion Premises.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00"/>
          </w:cols>
          <w:pgMar w:left="800" w:top="270" w:right="799" w:bottom="1440" w:gutter="0" w:footer="0" w:header="0"/>
        </w:sectPr>
      </w:pPr>
    </w:p>
    <w:bookmarkStart w:id="498" w:name="page499"/>
    <w:bookmarkEnd w:id="498"/>
    <w:p>
      <w:pPr>
        <w:jc w:val="right"/>
        <w:spacing w:after="0"/>
        <w:rPr>
          <w:sz w:val="20"/>
          <w:szCs w:val="20"/>
          <w:color w:val="auto"/>
        </w:rPr>
      </w:pPr>
      <w:r>
        <w:rPr>
          <w:rFonts w:ascii="Arial" w:cs="Arial" w:eastAsia="Arial" w:hAnsi="Arial"/>
          <w:sz w:val="17"/>
          <w:szCs w:val="17"/>
          <w:b w:val="1"/>
          <w:bCs w:val="1"/>
          <w:color w:val="auto"/>
        </w:rPr>
        <w:t>Exhibit 21.1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0" w:type="dxa"/>
            <w:vAlign w:val="bottom"/>
            <w:gridSpan w:val="2"/>
          </w:tcPr>
          <w:p>
            <w:pPr>
              <w:ind w:left="600"/>
              <w:spacing w:after="0"/>
              <w:rPr>
                <w:sz w:val="20"/>
                <w:szCs w:val="20"/>
                <w:color w:val="auto"/>
              </w:rPr>
            </w:pPr>
            <w:r>
              <w:rPr>
                <w:rFonts w:ascii="Arial" w:cs="Arial" w:eastAsia="Arial" w:hAnsi="Arial"/>
                <w:sz w:val="17"/>
                <w:szCs w:val="17"/>
                <w:b w:val="1"/>
                <w:bCs w:val="1"/>
                <w:color w:val="auto"/>
              </w:rPr>
              <w:t>Subsidiaries of Keros Therapeutics, Inc.</w:t>
            </w:r>
          </w:p>
        </w:tc>
      </w:tr>
      <w:tr>
        <w:trPr>
          <w:trHeight w:val="379"/>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000" w:type="dxa"/>
            <w:vAlign w:val="bottom"/>
            <w:gridSpan w:val="2"/>
          </w:tcPr>
          <w:p>
            <w:pPr>
              <w:ind w:left="2300"/>
              <w:spacing w:after="0"/>
              <w:rPr>
                <w:sz w:val="20"/>
                <w:szCs w:val="20"/>
                <w:color w:val="auto"/>
              </w:rPr>
            </w:pPr>
            <w:r>
              <w:rPr>
                <w:rFonts w:ascii="Arial" w:cs="Arial" w:eastAsia="Arial" w:hAnsi="Arial"/>
                <w:sz w:val="14"/>
                <w:szCs w:val="14"/>
                <w:b w:val="1"/>
                <w:bCs w:val="1"/>
                <w:color w:val="auto"/>
                <w:w w:val="90"/>
              </w:rPr>
              <w:t>Jurisdiction of Organization</w:t>
            </w:r>
          </w:p>
        </w:tc>
      </w:tr>
      <w:tr>
        <w:trPr>
          <w:trHeight w:val="214"/>
        </w:trPr>
        <w:tc>
          <w:tcPr>
            <w:tcW w:w="11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8"/>
              </w:rPr>
              <w:t>Keros Therapeutics</w:t>
            </w:r>
          </w:p>
        </w:tc>
        <w:tc>
          <w:tcPr>
            <w:tcW w:w="2060" w:type="dxa"/>
            <w:vAlign w:val="bottom"/>
          </w:tcPr>
          <w:p>
            <w:pPr>
              <w:ind w:left="220"/>
              <w:spacing w:after="0"/>
              <w:rPr>
                <w:sz w:val="20"/>
                <w:szCs w:val="20"/>
                <w:color w:val="auto"/>
              </w:rPr>
            </w:pPr>
            <w:r>
              <w:rPr>
                <w:rFonts w:ascii="Arial" w:cs="Arial" w:eastAsia="Arial" w:hAnsi="Arial"/>
                <w:sz w:val="17"/>
                <w:szCs w:val="17"/>
                <w:color w:val="auto"/>
              </w:rPr>
              <w:t>Australia, Pty Ltd</w:t>
            </w:r>
          </w:p>
        </w:tc>
        <w:tc>
          <w:tcPr>
            <w:tcW w:w="232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Australia</w:t>
            </w:r>
          </w:p>
        </w:tc>
      </w:tr>
    </w:tbl>
    <w:p>
      <w:pPr>
        <w:spacing w:after="0" w:line="1" w:lineRule="exact"/>
        <w:rPr>
          <w:sz w:val="20"/>
          <w:szCs w:val="20"/>
          <w:color w:val="auto"/>
        </w:rPr>
      </w:pPr>
    </w:p>
    <w:sectPr>
      <w:pgSz w:w="11900" w:h="16838" w:orient="portrait"/>
      <w:cols w:equalWidth="0" w:num="1">
        <w:col w:w="10660"/>
      </w:cols>
      <w:pgMar w:left="620" w:top="12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677B7C"/>
    <w:multiLevelType w:val="hybridMultilevel"/>
    <w:lvl w:ilvl="0">
      <w:lvlJc w:val="left"/>
      <w:lvlText w:val="(%1)"/>
      <w:numFmt w:val="decimal"/>
      <w:start w:val="1"/>
    </w:lvl>
  </w:abstractNum>
  <w:abstractNum w:abstractNumId="1">
    <w:nsid w:val="378D97C0"/>
    <w:multiLevelType w:val="hybridMultilevel"/>
    <w:lvl w:ilvl="0">
      <w:lvlJc w:val="left"/>
      <w:lvlText w:val="$"/>
      <w:numFmt w:val="bullet"/>
      <w:start w:val="1"/>
    </w:lvl>
  </w:abstractNum>
  <w:abstractNum w:abstractNumId="2">
    <w:nsid w:val="1D91467C"/>
    <w:multiLevelType w:val="hybridMultilevel"/>
    <w:lvl w:ilvl="0">
      <w:lvlJc w:val="left"/>
      <w:lvlText w:val="(%1)"/>
      <w:numFmt w:val="decimal"/>
      <w:start w:val="1"/>
    </w:lvl>
  </w:abstractNum>
  <w:abstractNum w:abstractNumId="3">
    <w:nsid w:val="316032BB"/>
    <w:multiLevelType w:val="hybridMultilevel"/>
    <w:lvl w:ilvl="0">
      <w:lvlJc w:val="left"/>
      <w:lvlText w:val="∎"/>
      <w:numFmt w:val="bullet"/>
      <w:start w:val="1"/>
    </w:lvl>
  </w:abstractNum>
  <w:abstractNum w:abstractNumId="4">
    <w:nsid w:val="44344C22"/>
    <w:multiLevelType w:val="hybridMultilevel"/>
    <w:lvl w:ilvl="0">
      <w:lvlJc w:val="left"/>
      <w:lvlText w:val="∎"/>
      <w:numFmt w:val="bullet"/>
      <w:start w:val="1"/>
    </w:lvl>
  </w:abstractNum>
  <w:abstractNum w:abstractNumId="5">
    <w:nsid w:val="13CDFCFC"/>
    <w:multiLevelType w:val="hybridMultilevel"/>
    <w:lvl w:ilvl="0">
      <w:lvlJc w:val="left"/>
      <w:lvlText w:val="∎"/>
      <w:numFmt w:val="bullet"/>
      <w:start w:val="1"/>
    </w:lvl>
  </w:abstractNum>
  <w:abstractNum w:abstractNumId="6">
    <w:nsid w:val="471745E4"/>
    <w:multiLevelType w:val="hybridMultilevel"/>
    <w:lvl w:ilvl="0">
      <w:lvlJc w:val="left"/>
      <w:lvlText w:val="∎"/>
      <w:numFmt w:val="bullet"/>
      <w:start w:val="1"/>
    </w:lvl>
  </w:abstractNum>
  <w:abstractNum w:abstractNumId="7">
    <w:nsid w:val="1DDBC66"/>
    <w:multiLevelType w:val="hybridMultilevel"/>
    <w:lvl w:ilvl="0">
      <w:lvlJc w:val="left"/>
      <w:lvlText w:val="∎"/>
      <w:numFmt w:val="bullet"/>
      <w:start w:val="1"/>
    </w:lvl>
  </w:abstractNum>
  <w:abstractNum w:abstractNumId="8">
    <w:nsid w:val="30AADFDA"/>
    <w:multiLevelType w:val="hybridMultilevel"/>
    <w:lvl w:ilvl="0">
      <w:lvlJc w:val="left"/>
      <w:lvlText w:val="∎"/>
      <w:numFmt w:val="bullet"/>
      <w:start w:val="1"/>
    </w:lvl>
  </w:abstractNum>
  <w:abstractNum w:abstractNumId="9">
    <w:nsid w:val="30EADA61"/>
    <w:multiLevelType w:val="hybridMultilevel"/>
    <w:lvl w:ilvl="0">
      <w:lvlJc w:val="left"/>
      <w:lvlText w:val="(%1)"/>
      <w:numFmt w:val="decimal"/>
      <w:start w:val="1"/>
    </w:lvl>
  </w:abstractNum>
  <w:abstractNum w:abstractNumId="10">
    <w:nsid w:val="27179C0B"/>
    <w:multiLevelType w:val="hybridMultilevel"/>
    <w:lvl w:ilvl="0">
      <w:lvlJc w:val="left"/>
      <w:lvlText w:val="∎"/>
      <w:numFmt w:val="bullet"/>
      <w:start w:val="1"/>
    </w:lvl>
  </w:abstractNum>
  <w:abstractNum w:abstractNumId="11">
    <w:nsid w:val="5E636063"/>
    <w:multiLevelType w:val="hybridMultilevel"/>
    <w:lvl w:ilvl="0">
      <w:lvlJc w:val="left"/>
      <w:lvlText w:val="∎"/>
      <w:numFmt w:val="bullet"/>
      <w:start w:val="1"/>
    </w:lvl>
  </w:abstractNum>
  <w:abstractNum w:abstractNumId="12">
    <w:nsid w:val="215641AF"/>
    <w:multiLevelType w:val="hybridMultilevel"/>
    <w:lvl w:ilvl="0">
      <w:lvlJc w:val="left"/>
      <w:lvlText w:val="∎"/>
      <w:numFmt w:val="bullet"/>
      <w:start w:val="1"/>
    </w:lvl>
  </w:abstractNum>
  <w:abstractNum w:abstractNumId="13">
    <w:nsid w:val="53280662"/>
    <w:multiLevelType w:val="hybridMultilevel"/>
    <w:lvl w:ilvl="0">
      <w:lvlJc w:val="left"/>
      <w:lvlText w:val="∎"/>
      <w:numFmt w:val="bullet"/>
      <w:start w:val="1"/>
    </w:lvl>
  </w:abstractNum>
  <w:abstractNum w:abstractNumId="14">
    <w:nsid w:val="46B24DBC"/>
    <w:multiLevelType w:val="hybridMultilevel"/>
    <w:lvl w:ilvl="0">
      <w:lvlJc w:val="left"/>
      <w:lvlText w:val="(%1)"/>
      <w:numFmt w:val="decimal"/>
      <w:start w:val="1"/>
    </w:lvl>
  </w:abstractNum>
  <w:abstractNum w:abstractNumId="15">
    <w:nsid w:val="75B52783"/>
    <w:multiLevelType w:val="hybridMultilevel"/>
    <w:lvl w:ilvl="0">
      <w:lvlJc w:val="left"/>
      <w:lvlText w:val="$"/>
      <w:numFmt w:val="bullet"/>
      <w:start w:val="1"/>
    </w:lvl>
  </w:abstractNum>
  <w:abstractNum w:abstractNumId="16">
    <w:nsid w:val="57CE66B4"/>
    <w:multiLevelType w:val="hybridMultilevel"/>
    <w:lvl w:ilvl="0">
      <w:lvlJc w:val="left"/>
      <w:lvlText w:val="∎"/>
      <w:numFmt w:val="bullet"/>
      <w:start w:val="1"/>
    </w:lvl>
  </w:abstractNum>
  <w:abstractNum w:abstractNumId="17">
    <w:nsid w:val="67A70B69"/>
    <w:multiLevelType w:val="hybridMultilevel"/>
    <w:lvl w:ilvl="0">
      <w:lvlJc w:val="left"/>
      <w:lvlText w:val="∎"/>
      <w:numFmt w:val="bullet"/>
      <w:start w:val="1"/>
    </w:lvl>
  </w:abstractNum>
  <w:abstractNum w:abstractNumId="18">
    <w:nsid w:val="5953172F"/>
    <w:multiLevelType w:val="hybridMultilevel"/>
    <w:lvl w:ilvl="0">
      <w:lvlJc w:val="left"/>
      <w:lvlText w:val="∎"/>
      <w:numFmt w:val="bullet"/>
      <w:start w:val="1"/>
    </w:lvl>
  </w:abstractNum>
  <w:abstractNum w:abstractNumId="19">
    <w:nsid w:val="27EDFE3A"/>
    <w:multiLevelType w:val="hybridMultilevel"/>
    <w:lvl w:ilvl="0">
      <w:lvlJc w:val="left"/>
      <w:lvlText w:val="∎"/>
      <w:numFmt w:val="bullet"/>
      <w:start w:val="1"/>
    </w:lvl>
  </w:abstractNum>
  <w:abstractNum w:abstractNumId="20">
    <w:nsid w:val="52AC7DFF"/>
    <w:multiLevelType w:val="hybridMultilevel"/>
    <w:lvl w:ilvl="0">
      <w:lvlJc w:val="left"/>
      <w:lvlText w:val="∎"/>
      <w:numFmt w:val="bullet"/>
      <w:start w:val="1"/>
    </w:lvl>
  </w:abstractNum>
  <w:abstractNum w:abstractNumId="21">
    <w:nsid w:val="C4C3AF"/>
    <w:multiLevelType w:val="hybridMultilevel"/>
    <w:lvl w:ilvl="0">
      <w:lvlJc w:val="left"/>
      <w:lvlText w:val="∎"/>
      <w:numFmt w:val="bullet"/>
      <w:start w:val="1"/>
    </w:lvl>
  </w:abstractNum>
  <w:abstractNum w:abstractNumId="22">
    <w:nsid w:val="44380727"/>
    <w:multiLevelType w:val="hybridMultilevel"/>
    <w:lvl w:ilvl="0">
      <w:lvlJc w:val="left"/>
      <w:lvlText w:val="∎"/>
      <w:numFmt w:val="bullet"/>
      <w:start w:val="1"/>
    </w:lvl>
  </w:abstractNum>
  <w:abstractNum w:abstractNumId="23">
    <w:nsid w:val="6C053B16"/>
    <w:multiLevelType w:val="hybridMultilevel"/>
    <w:lvl w:ilvl="0">
      <w:lvlJc w:val="left"/>
      <w:lvlText w:val="∎"/>
      <w:numFmt w:val="bullet"/>
      <w:start w:val="1"/>
    </w:lvl>
  </w:abstractNum>
  <w:abstractNum w:abstractNumId="24">
    <w:nsid w:val="4F294393"/>
    <w:multiLevelType w:val="hybridMultilevel"/>
    <w:lvl w:ilvl="0">
      <w:lvlJc w:val="left"/>
      <w:lvlText w:val="∎"/>
      <w:numFmt w:val="bullet"/>
      <w:start w:val="1"/>
    </w:lvl>
  </w:abstractNum>
  <w:abstractNum w:abstractNumId="25">
    <w:nsid w:val="5243BFAC"/>
    <w:multiLevelType w:val="hybridMultilevel"/>
    <w:lvl w:ilvl="0">
      <w:lvlJc w:val="left"/>
      <w:lvlText w:val="∎"/>
      <w:numFmt w:val="bullet"/>
      <w:start w:val="1"/>
    </w:lvl>
  </w:abstractNum>
  <w:abstractNum w:abstractNumId="26">
    <w:nsid w:val="425EB207"/>
    <w:multiLevelType w:val="hybridMultilevel"/>
    <w:lvl w:ilvl="0">
      <w:lvlJc w:val="left"/>
      <w:lvlText w:val="∎"/>
      <w:numFmt w:val="bullet"/>
      <w:start w:val="1"/>
    </w:lvl>
  </w:abstractNum>
  <w:abstractNum w:abstractNumId="27">
    <w:nsid w:val="334A6F1F"/>
    <w:multiLevelType w:val="hybridMultilevel"/>
    <w:lvl w:ilvl="0">
      <w:lvlJc w:val="left"/>
      <w:lvlText w:val="∎"/>
      <w:numFmt w:val="bullet"/>
      <w:start w:val="1"/>
    </w:lvl>
  </w:abstractNum>
  <w:abstractNum w:abstractNumId="28">
    <w:nsid w:val="2E5B12B8"/>
    <w:multiLevelType w:val="hybridMultilevel"/>
    <w:lvl w:ilvl="0">
      <w:lvlJc w:val="left"/>
      <w:lvlText w:val="∎"/>
      <w:numFmt w:val="bullet"/>
      <w:start w:val="1"/>
    </w:lvl>
  </w:abstractNum>
  <w:abstractNum w:abstractNumId="29">
    <w:nsid w:val="5C03D76D"/>
    <w:multiLevelType w:val="hybridMultilevel"/>
    <w:lvl w:ilvl="0">
      <w:lvlJc w:val="left"/>
      <w:lvlText w:val="∎"/>
      <w:numFmt w:val="bullet"/>
      <w:start w:val="1"/>
    </w:lvl>
  </w:abstractNum>
  <w:abstractNum w:abstractNumId="30">
    <w:nsid w:val="66A48D11"/>
    <w:multiLevelType w:val="hybridMultilevel"/>
    <w:lvl w:ilvl="0">
      <w:lvlJc w:val="left"/>
      <w:lvlText w:val="∎"/>
      <w:numFmt w:val="bullet"/>
      <w:start w:val="1"/>
    </w:lvl>
  </w:abstractNum>
  <w:abstractNum w:abstractNumId="31">
    <w:nsid w:val="56C28E34"/>
    <w:multiLevelType w:val="hybridMultilevel"/>
    <w:lvl w:ilvl="0">
      <w:lvlJc w:val="left"/>
      <w:lvlText w:val="∎"/>
      <w:numFmt w:val="bullet"/>
      <w:start w:val="1"/>
    </w:lvl>
  </w:abstractNum>
  <w:abstractNum w:abstractNumId="32">
    <w:nsid w:val="13916F2D"/>
    <w:multiLevelType w:val="hybridMultilevel"/>
    <w:lvl w:ilvl="0">
      <w:lvlJc w:val="left"/>
      <w:lvlText w:val="∎"/>
      <w:numFmt w:val="bullet"/>
      <w:start w:val="1"/>
    </w:lvl>
  </w:abstractNum>
  <w:abstractNum w:abstractNumId="33">
    <w:nsid w:val="435D38D"/>
    <w:multiLevelType w:val="hybridMultilevel"/>
    <w:lvl w:ilvl="0">
      <w:lvlJc w:val="left"/>
      <w:lvlText w:val="∎"/>
      <w:numFmt w:val="bullet"/>
      <w:start w:val="1"/>
    </w:lvl>
  </w:abstractNum>
  <w:abstractNum w:abstractNumId="34">
    <w:nsid w:val="822C0EF"/>
    <w:multiLevelType w:val="hybridMultilevel"/>
    <w:lvl w:ilvl="0">
      <w:lvlJc w:val="left"/>
      <w:lvlText w:val="∎"/>
      <w:numFmt w:val="bullet"/>
      <w:start w:val="1"/>
    </w:lvl>
  </w:abstractNum>
  <w:abstractNum w:abstractNumId="35">
    <w:nsid w:val="57C5BB4F"/>
    <w:multiLevelType w:val="hybridMultilevel"/>
    <w:lvl w:ilvl="0">
      <w:lvlJc w:val="left"/>
      <w:lvlText w:val="∎"/>
      <w:numFmt w:val="bullet"/>
      <w:start w:val="1"/>
    </w:lvl>
  </w:abstractNum>
  <w:abstractNum w:abstractNumId="36">
    <w:nsid w:val="1803D089"/>
    <w:multiLevelType w:val="hybridMultilevel"/>
    <w:lvl w:ilvl="0">
      <w:lvlJc w:val="left"/>
      <w:lvlText w:val="∎"/>
      <w:numFmt w:val="bullet"/>
      <w:start w:val="1"/>
    </w:lvl>
  </w:abstractNum>
  <w:abstractNum w:abstractNumId="37">
    <w:nsid w:val="4F3A06D4"/>
    <w:multiLevelType w:val="hybridMultilevel"/>
    <w:lvl w:ilvl="0">
      <w:lvlJc w:val="left"/>
      <w:lvlText w:val="∎"/>
      <w:numFmt w:val="bullet"/>
      <w:start w:val="1"/>
    </w:lvl>
  </w:abstractNum>
  <w:abstractNum w:abstractNumId="38">
    <w:nsid w:val="59A377B6"/>
    <w:multiLevelType w:val="hybridMultilevel"/>
    <w:lvl w:ilvl="0">
      <w:lvlJc w:val="left"/>
      <w:lvlText w:val="∎"/>
      <w:numFmt w:val="bullet"/>
      <w:start w:val="1"/>
    </w:lvl>
  </w:abstractNum>
  <w:abstractNum w:abstractNumId="39">
    <w:nsid w:val="48AEB063"/>
    <w:multiLevelType w:val="hybridMultilevel"/>
    <w:lvl w:ilvl="0">
      <w:lvlJc w:val="left"/>
      <w:lvlText w:val="∎"/>
      <w:numFmt w:val="bullet"/>
      <w:start w:val="1"/>
    </w:lvl>
  </w:abstractNum>
  <w:abstractNum w:abstractNumId="40">
    <w:nsid w:val="24E135"/>
    <w:multiLevelType w:val="hybridMultilevel"/>
    <w:lvl w:ilvl="0">
      <w:lvlJc w:val="left"/>
      <w:lvlText w:val="∎"/>
      <w:numFmt w:val="bullet"/>
      <w:start w:val="1"/>
    </w:lvl>
  </w:abstractNum>
  <w:abstractNum w:abstractNumId="41">
    <w:nsid w:val="BB13C1"/>
    <w:multiLevelType w:val="hybridMultilevel"/>
    <w:lvl w:ilvl="0">
      <w:lvlJc w:val="left"/>
      <w:lvlText w:val="∎"/>
      <w:numFmt w:val="bullet"/>
      <w:start w:val="1"/>
    </w:lvl>
  </w:abstractNum>
  <w:abstractNum w:abstractNumId="42">
    <w:nsid w:val="271210C7"/>
    <w:multiLevelType w:val="hybridMultilevel"/>
    <w:lvl w:ilvl="0">
      <w:lvlJc w:val="left"/>
      <w:lvlText w:val="∎"/>
      <w:numFmt w:val="bullet"/>
      <w:start w:val="1"/>
    </w:lvl>
  </w:abstractNum>
  <w:abstractNum w:abstractNumId="43">
    <w:nsid w:val="217B22E4"/>
    <w:multiLevelType w:val="hybridMultilevel"/>
    <w:lvl w:ilvl="0">
      <w:lvlJc w:val="left"/>
      <w:lvlText w:val="∎"/>
      <w:numFmt w:val="bullet"/>
      <w:start w:val="1"/>
    </w:lvl>
  </w:abstractNum>
  <w:abstractNum w:abstractNumId="44">
    <w:nsid w:val="53E31A24"/>
    <w:multiLevelType w:val="hybridMultilevel"/>
    <w:lvl w:ilvl="0">
      <w:lvlJc w:val="left"/>
      <w:lvlText w:val="∎"/>
      <w:numFmt w:val="bullet"/>
      <w:start w:val="1"/>
    </w:lvl>
  </w:abstractNum>
  <w:abstractNum w:abstractNumId="45">
    <w:nsid w:val="6DC45E83"/>
    <w:multiLevelType w:val="hybridMultilevel"/>
    <w:lvl w:ilvl="0">
      <w:lvlJc w:val="left"/>
      <w:lvlText w:val="∎"/>
      <w:numFmt w:val="bullet"/>
      <w:start w:val="1"/>
    </w:lvl>
  </w:abstractNum>
  <w:abstractNum w:abstractNumId="46">
    <w:nsid w:val="17304A67"/>
    <w:multiLevelType w:val="hybridMultilevel"/>
    <w:lvl w:ilvl="0">
      <w:lvlJc w:val="left"/>
      <w:lvlText w:val="∎"/>
      <w:numFmt w:val="bullet"/>
      <w:start w:val="1"/>
    </w:lvl>
  </w:abstractNum>
  <w:abstractNum w:abstractNumId="47">
    <w:nsid w:val="2BB180D8"/>
    <w:multiLevelType w:val="hybridMultilevel"/>
    <w:lvl w:ilvl="0">
      <w:lvlJc w:val="left"/>
      <w:lvlText w:val="∎"/>
      <w:numFmt w:val="bullet"/>
      <w:start w:val="1"/>
    </w:lvl>
  </w:abstractNum>
  <w:abstractNum w:abstractNumId="48">
    <w:nsid w:val="556B69ED"/>
    <w:multiLevelType w:val="hybridMultilevel"/>
    <w:lvl w:ilvl="0">
      <w:lvlJc w:val="left"/>
      <w:lvlText w:val="∎"/>
      <w:numFmt w:val="bullet"/>
      <w:start w:val="1"/>
    </w:lvl>
  </w:abstractNum>
  <w:abstractNum w:abstractNumId="49">
    <w:nsid w:val="70836196"/>
    <w:multiLevelType w:val="hybridMultilevel"/>
    <w:lvl w:ilvl="0">
      <w:lvlJc w:val="left"/>
      <w:lvlText w:val="∎"/>
      <w:numFmt w:val="bullet"/>
      <w:start w:val="1"/>
    </w:lvl>
  </w:abstractNum>
  <w:abstractNum w:abstractNumId="50">
    <w:nsid w:val="539F7F12"/>
    <w:multiLevelType w:val="hybridMultilevel"/>
    <w:lvl w:ilvl="0">
      <w:lvlJc w:val="left"/>
      <w:lvlText w:val="∎"/>
      <w:numFmt w:val="bullet"/>
      <w:start w:val="1"/>
    </w:lvl>
  </w:abstractNum>
  <w:abstractNum w:abstractNumId="51">
    <w:nsid w:val="2817E7EC"/>
    <w:multiLevelType w:val="hybridMultilevel"/>
    <w:lvl w:ilvl="0">
      <w:lvlJc w:val="left"/>
      <w:lvlText w:val="∎"/>
      <w:numFmt w:val="bullet"/>
      <w:start w:val="1"/>
    </w:lvl>
  </w:abstractNum>
  <w:abstractNum w:abstractNumId="52">
    <w:nsid w:val="71482545"/>
    <w:multiLevelType w:val="hybridMultilevel"/>
    <w:lvl w:ilvl="0">
      <w:lvlJc w:val="left"/>
      <w:lvlText w:val="∎"/>
      <w:numFmt w:val="bullet"/>
      <w:start w:val="1"/>
    </w:lvl>
  </w:abstractNum>
  <w:abstractNum w:abstractNumId="53">
    <w:nsid w:val="17D78639"/>
    <w:multiLevelType w:val="hybridMultilevel"/>
    <w:lvl w:ilvl="0">
      <w:lvlJc w:val="left"/>
      <w:lvlText w:val="∎"/>
      <w:numFmt w:val="bullet"/>
      <w:start w:val="1"/>
    </w:lvl>
  </w:abstractNum>
  <w:abstractNum w:abstractNumId="54">
    <w:nsid w:val="141D2302"/>
    <w:multiLevelType w:val="hybridMultilevel"/>
    <w:lvl w:ilvl="0">
      <w:lvlJc w:val="left"/>
      <w:lvlText w:val="∎"/>
      <w:numFmt w:val="bullet"/>
      <w:start w:val="1"/>
    </w:lvl>
  </w:abstractNum>
  <w:abstractNum w:abstractNumId="55">
    <w:nsid w:val="407168D8"/>
    <w:multiLevelType w:val="hybridMultilevel"/>
    <w:lvl w:ilvl="0">
      <w:lvlJc w:val="left"/>
      <w:lvlText w:val="∎"/>
      <w:numFmt w:val="bullet"/>
      <w:start w:val="1"/>
    </w:lvl>
  </w:abstractNum>
  <w:abstractNum w:abstractNumId="56">
    <w:nsid w:val="6A1B45E5"/>
    <w:multiLevelType w:val="hybridMultilevel"/>
    <w:lvl w:ilvl="0">
      <w:lvlJc w:val="left"/>
      <w:lvlText w:val="(%1)"/>
      <w:numFmt w:val="decimal"/>
      <w:start w:val="1"/>
    </w:lvl>
  </w:abstractNum>
  <w:abstractNum w:abstractNumId="57">
    <w:nsid w:val="567BD50A"/>
    <w:multiLevelType w:val="hybridMultilevel"/>
    <w:lvl w:ilvl="0">
      <w:lvlJc w:val="left"/>
      <w:lvlText w:val="∎"/>
      <w:numFmt w:val="bullet"/>
      <w:start w:val="1"/>
    </w:lvl>
  </w:abstractNum>
  <w:abstractNum w:abstractNumId="58">
    <w:nsid w:val="73BBD7F8"/>
    <w:multiLevelType w:val="hybridMultilevel"/>
    <w:lvl w:ilvl="0">
      <w:lvlJc w:val="left"/>
      <w:lvlText w:val="$"/>
      <w:numFmt w:val="bullet"/>
      <w:start w:val="1"/>
    </w:lvl>
  </w:abstractNum>
  <w:abstractNum w:abstractNumId="59">
    <w:nsid w:val="1876589D"/>
    <w:multiLevelType w:val="hybridMultilevel"/>
    <w:lvl w:ilvl="0">
      <w:lvlJc w:val="left"/>
      <w:lvlText w:val="%"/>
      <w:numFmt w:val="bullet"/>
      <w:start w:val="1"/>
    </w:lvl>
  </w:abstractNum>
  <w:abstractNum w:abstractNumId="60">
    <w:nsid w:val="327FAC77"/>
    <w:multiLevelType w:val="hybridMultilevel"/>
    <w:lvl w:ilvl="0">
      <w:lvlJc w:val="left"/>
      <w:lvlText w:val="∎"/>
      <w:numFmt w:val="bullet"/>
      <w:start w:val="1"/>
    </w:lvl>
  </w:abstractNum>
  <w:abstractNum w:abstractNumId="61">
    <w:nsid w:val="5A606509"/>
    <w:multiLevelType w:val="hybridMultilevel"/>
    <w:lvl w:ilvl="0">
      <w:lvlJc w:val="left"/>
      <w:lvlText w:val="∎"/>
      <w:numFmt w:val="bullet"/>
      <w:start w:val="1"/>
    </w:lvl>
  </w:abstractNum>
  <w:abstractNum w:abstractNumId="62">
    <w:nsid w:val="6F38E6D1"/>
    <w:multiLevelType w:val="hybridMultilevel"/>
    <w:lvl w:ilvl="0">
      <w:lvlJc w:val="left"/>
      <w:lvlText w:val="∎"/>
      <w:numFmt w:val="bullet"/>
      <w:start w:val="1"/>
    </w:lvl>
  </w:abstractNum>
  <w:abstractNum w:abstractNumId="63">
    <w:nsid w:val="46111BA5"/>
    <w:multiLevelType w:val="hybridMultilevel"/>
    <w:lvl w:ilvl="0">
      <w:lvlJc w:val="left"/>
      <w:lvlText w:val="∎"/>
      <w:numFmt w:val="bullet"/>
      <w:start w:val="1"/>
    </w:lvl>
  </w:abstractNum>
  <w:abstractNum w:abstractNumId="64">
    <w:nsid w:val="5E963896"/>
    <w:multiLevelType w:val="hybridMultilevel"/>
    <w:lvl w:ilvl="0">
      <w:lvlJc w:val="left"/>
      <w:lvlText w:val="∎"/>
      <w:numFmt w:val="bullet"/>
      <w:start w:val="1"/>
    </w:lvl>
  </w:abstractNum>
  <w:abstractNum w:abstractNumId="65">
    <w:nsid w:val="775BA7C1"/>
    <w:multiLevelType w:val="hybridMultilevel"/>
    <w:lvl w:ilvl="0">
      <w:lvlJc w:val="left"/>
      <w:lvlText w:val="∎"/>
      <w:numFmt w:val="bullet"/>
      <w:start w:val="1"/>
    </w:lvl>
  </w:abstractNum>
  <w:abstractNum w:abstractNumId="66">
    <w:nsid w:val="1DD6D6F4"/>
    <w:multiLevelType w:val="hybridMultilevel"/>
    <w:lvl w:ilvl="0">
      <w:lvlJc w:val="left"/>
      <w:lvlText w:val="∎"/>
      <w:numFmt w:val="bullet"/>
      <w:start w:val="1"/>
    </w:lvl>
  </w:abstractNum>
  <w:abstractNum w:abstractNumId="67">
    <w:nsid w:val="769A091F"/>
    <w:multiLevelType w:val="hybridMultilevel"/>
    <w:lvl w:ilvl="0">
      <w:lvlJc w:val="left"/>
      <w:lvlText w:val="(%1)"/>
      <w:numFmt w:val="lowerRoman"/>
      <w:start w:val="4"/>
    </w:lvl>
  </w:abstractNum>
  <w:abstractNum w:abstractNumId="68">
    <w:nsid w:val="4695AE95"/>
    <w:multiLevelType w:val="hybridMultilevel"/>
    <w:lvl w:ilvl="0">
      <w:lvlJc w:val="left"/>
      <w:lvlText w:val="∎"/>
      <w:numFmt w:val="bullet"/>
      <w:start w:val="1"/>
    </w:lvl>
  </w:abstractNum>
  <w:abstractNum w:abstractNumId="69">
    <w:nsid w:val="777A4EAA"/>
    <w:multiLevelType w:val="hybridMultilevel"/>
    <w:lvl w:ilvl="0">
      <w:lvlJc w:val="left"/>
      <w:lvlText w:val="(%1)"/>
      <w:numFmt w:val="decimal"/>
      <w:start w:val="1"/>
    </w:lvl>
  </w:abstractNum>
  <w:abstractNum w:abstractNumId="70">
    <w:nsid w:val="3F48B982"/>
    <w:multiLevelType w:val="hybridMultilevel"/>
    <w:lvl w:ilvl="0">
      <w:lvlJc w:val="left"/>
      <w:lvlText w:val="∎"/>
      <w:numFmt w:val="bullet"/>
      <w:start w:val="1"/>
    </w:lvl>
  </w:abstractNum>
  <w:abstractNum w:abstractNumId="71">
    <w:nsid w:val="46BA8FCA"/>
    <w:multiLevelType w:val="hybridMultilevel"/>
    <w:lvl w:ilvl="0">
      <w:lvlJc w:val="left"/>
      <w:lvlText w:val="∎"/>
      <w:numFmt w:val="bullet"/>
      <w:start w:val="1"/>
    </w:lvl>
  </w:abstractNum>
  <w:abstractNum w:abstractNumId="72">
    <w:nsid w:val="7835626C"/>
    <w:multiLevelType w:val="hybridMultilevel"/>
    <w:lvl w:ilvl="0">
      <w:lvlJc w:val="left"/>
      <w:lvlText w:val="∎"/>
      <w:numFmt w:val="bullet"/>
      <w:start w:val="1"/>
    </w:lvl>
  </w:abstractNum>
  <w:abstractNum w:abstractNumId="73">
    <w:nsid w:val="665ACA49"/>
    <w:multiLevelType w:val="hybridMultilevel"/>
    <w:lvl w:ilvl="0">
      <w:lvlJc w:val="left"/>
      <w:lvlText w:val="∎"/>
      <w:numFmt w:val="bullet"/>
      <w:start w:val="1"/>
    </w:lvl>
  </w:abstractNum>
  <w:abstractNum w:abstractNumId="74">
    <w:nsid w:val="6835B2AE"/>
    <w:multiLevelType w:val="hybridMultilevel"/>
    <w:lvl w:ilvl="0">
      <w:lvlJc w:val="left"/>
      <w:lvlText w:val="∎"/>
      <w:numFmt w:val="bullet"/>
      <w:start w:val="1"/>
    </w:lvl>
  </w:abstractNum>
  <w:abstractNum w:abstractNumId="75">
    <w:nsid w:val="4C187C90"/>
    <w:multiLevelType w:val="hybridMultilevel"/>
    <w:lvl w:ilvl="0">
      <w:lvlJc w:val="left"/>
      <w:lvlText w:val="∎"/>
      <w:numFmt w:val="bullet"/>
      <w:start w:val="1"/>
    </w:lvl>
  </w:abstractNum>
  <w:abstractNum w:abstractNumId="76">
    <w:nsid w:val="541F28CD"/>
    <w:multiLevelType w:val="hybridMultilevel"/>
    <w:lvl w:ilvl="0">
      <w:lvlJc w:val="left"/>
      <w:lvlText w:val="∎"/>
      <w:numFmt w:val="bullet"/>
      <w:start w:val="1"/>
    </w:lvl>
  </w:abstractNum>
  <w:abstractNum w:abstractNumId="77">
    <w:nsid w:val="7F65FD16"/>
    <w:multiLevelType w:val="hybridMultilevel"/>
    <w:lvl w:ilvl="0">
      <w:lvlJc w:val="left"/>
      <w:lvlText w:val="∎"/>
      <w:numFmt w:val="bullet"/>
      <w:start w:val="1"/>
    </w:lvl>
  </w:abstractNum>
  <w:abstractNum w:abstractNumId="78">
    <w:nsid w:val="77C9FD68"/>
    <w:multiLevelType w:val="hybridMultilevel"/>
    <w:lvl w:ilvl="0">
      <w:lvlJc w:val="left"/>
      <w:lvlText w:val="∎"/>
      <w:numFmt w:val="bullet"/>
      <w:start w:val="1"/>
    </w:lvl>
  </w:abstractNum>
  <w:abstractNum w:abstractNumId="79">
    <w:nsid w:val="298A92BA"/>
    <w:multiLevelType w:val="hybridMultilevel"/>
    <w:lvl w:ilvl="0">
      <w:lvlJc w:val="left"/>
      <w:lvlText w:val="∎"/>
      <w:numFmt w:val="bullet"/>
      <w:start w:val="1"/>
    </w:lvl>
  </w:abstractNum>
  <w:abstractNum w:abstractNumId="80">
    <w:nsid w:val="6FE95EAC"/>
    <w:multiLevelType w:val="hybridMultilevel"/>
    <w:lvl w:ilvl="0">
      <w:lvlJc w:val="left"/>
      <w:lvlText w:val="∎"/>
      <w:numFmt w:val="bullet"/>
      <w:start w:val="1"/>
    </w:lvl>
  </w:abstractNum>
  <w:abstractNum w:abstractNumId="81">
    <w:nsid w:val="4B697C7A"/>
    <w:multiLevelType w:val="hybridMultilevel"/>
    <w:lvl w:ilvl="0">
      <w:lvlJc w:val="left"/>
      <w:lvlText w:val="∎"/>
      <w:numFmt w:val="bullet"/>
      <w:start w:val="1"/>
    </w:lvl>
  </w:abstractNum>
  <w:abstractNum w:abstractNumId="82">
    <w:nsid w:val="51A27AA6"/>
    <w:multiLevelType w:val="hybridMultilevel"/>
    <w:lvl w:ilvl="0">
      <w:lvlJc w:val="left"/>
      <w:lvlText w:val="∎"/>
      <w:numFmt w:val="bullet"/>
      <w:start w:val="1"/>
    </w:lvl>
  </w:abstractNum>
  <w:abstractNum w:abstractNumId="83">
    <w:nsid w:val="613183F2"/>
    <w:multiLevelType w:val="hybridMultilevel"/>
    <w:lvl w:ilvl="0">
      <w:lvlJc w:val="left"/>
      <w:lvlText w:val="∎"/>
      <w:numFmt w:val="bullet"/>
      <w:start w:val="1"/>
    </w:lvl>
  </w:abstractNum>
  <w:abstractNum w:abstractNumId="84">
    <w:nsid w:val="634102B4"/>
    <w:multiLevelType w:val="hybridMultilevel"/>
    <w:lvl w:ilvl="0">
      <w:lvlJc w:val="left"/>
      <w:lvlText w:val="∎"/>
      <w:numFmt w:val="bullet"/>
      <w:start w:val="1"/>
    </w:lvl>
  </w:abstractNum>
  <w:abstractNum w:abstractNumId="85">
    <w:nsid w:val="65BF9DA8"/>
    <w:multiLevelType w:val="hybridMultilevel"/>
    <w:lvl w:ilvl="0">
      <w:lvlJc w:val="left"/>
      <w:lvlText w:val="∎"/>
      <w:numFmt w:val="bullet"/>
      <w:start w:val="1"/>
    </w:lvl>
  </w:abstractNum>
  <w:abstractNum w:abstractNumId="86">
    <w:nsid w:val="21A2ECCA"/>
    <w:multiLevelType w:val="hybridMultilevel"/>
    <w:lvl w:ilvl="0">
      <w:lvlJc w:val="left"/>
      <w:lvlText w:val="∎"/>
      <w:numFmt w:val="bullet"/>
      <w:start w:val="1"/>
    </w:lvl>
  </w:abstractNum>
  <w:abstractNum w:abstractNumId="87">
    <w:nsid w:val="4D5C4899"/>
    <w:multiLevelType w:val="hybridMultilevel"/>
    <w:lvl w:ilvl="0">
      <w:lvlJc w:val="left"/>
      <w:lvlText w:val="∎"/>
      <w:numFmt w:val="bullet"/>
      <w:start w:val="1"/>
    </w:lvl>
  </w:abstractNum>
  <w:abstractNum w:abstractNumId="88">
    <w:nsid w:val="3C3B72B2"/>
    <w:multiLevelType w:val="hybridMultilevel"/>
    <w:lvl w:ilvl="0">
      <w:lvlJc w:val="left"/>
      <w:lvlText w:val="∎"/>
      <w:numFmt w:val="bullet"/>
      <w:start w:val="1"/>
    </w:lvl>
  </w:abstractNum>
  <w:abstractNum w:abstractNumId="89">
    <w:nsid w:val="155EC4C2"/>
    <w:multiLevelType w:val="hybridMultilevel"/>
    <w:lvl w:ilvl="0">
      <w:lvlJc w:val="left"/>
      <w:lvlText w:val="∎"/>
      <w:numFmt w:val="bullet"/>
      <w:start w:val="1"/>
    </w:lvl>
  </w:abstractNum>
  <w:abstractNum w:abstractNumId="90">
    <w:nsid w:val="65D2A137"/>
    <w:multiLevelType w:val="hybridMultilevel"/>
    <w:lvl w:ilvl="0">
      <w:lvlJc w:val="left"/>
      <w:lvlText w:val="∎"/>
      <w:numFmt w:val="bullet"/>
      <w:start w:val="1"/>
    </w:lvl>
  </w:abstractNum>
  <w:abstractNum w:abstractNumId="91">
    <w:nsid w:val="6EBB1F2A"/>
    <w:multiLevelType w:val="hybridMultilevel"/>
    <w:lvl w:ilvl="0">
      <w:lvlJc w:val="left"/>
      <w:lvlText w:val="∎"/>
      <w:numFmt w:val="bullet"/>
      <w:start w:val="1"/>
    </w:lvl>
  </w:abstractNum>
  <w:abstractNum w:abstractNumId="92">
    <w:nsid w:val="6FBF29CB"/>
    <w:multiLevelType w:val="hybridMultilevel"/>
    <w:lvl w:ilvl="0">
      <w:lvlJc w:val="left"/>
      <w:lvlText w:val="(%1)"/>
      <w:numFmt w:val="decimal"/>
      <w:start w:val="1"/>
    </w:lvl>
  </w:abstractNum>
  <w:abstractNum w:abstractNumId="93">
    <w:nsid w:val="550B8808"/>
    <w:multiLevelType w:val="hybridMultilevel"/>
    <w:lvl w:ilvl="0">
      <w:lvlJc w:val="left"/>
      <w:lvlText w:val="(%1)"/>
      <w:numFmt w:val="decimal"/>
      <w:start w:val="1"/>
    </w:lvl>
  </w:abstractNum>
  <w:abstractNum w:abstractNumId="94">
    <w:nsid w:val="34CC3ACF"/>
    <w:multiLevelType w:val="hybridMultilevel"/>
    <w:lvl w:ilvl="0">
      <w:lvlJc w:val="left"/>
      <w:lvlText w:val="(%1)"/>
      <w:numFmt w:val="decimal"/>
      <w:start w:val="1"/>
    </w:lvl>
  </w:abstractNum>
  <w:abstractNum w:abstractNumId="95">
    <w:nsid w:val="4E556261"/>
    <w:multiLevelType w:val="hybridMultilevel"/>
    <w:lvl w:ilvl="0">
      <w:lvlJc w:val="left"/>
      <w:lvlText w:val="∎"/>
      <w:numFmt w:val="bullet"/>
      <w:start w:val="1"/>
    </w:lvl>
  </w:abstractNum>
  <w:abstractNum w:abstractNumId="96">
    <w:nsid w:val="4C672FC9"/>
    <w:multiLevelType w:val="hybridMultilevel"/>
    <w:lvl w:ilvl="0">
      <w:lvlJc w:val="left"/>
      <w:lvlText w:val="∎"/>
      <w:numFmt w:val="bullet"/>
      <w:start w:val="1"/>
    </w:lvl>
  </w:abstractNum>
  <w:abstractNum w:abstractNumId="97">
    <w:nsid w:val="52A311C3"/>
    <w:multiLevelType w:val="hybridMultilevel"/>
    <w:lvl w:ilvl="0">
      <w:lvlJc w:val="left"/>
      <w:lvlText w:val="∎"/>
      <w:numFmt w:val="bullet"/>
      <w:start w:val="1"/>
    </w:lvl>
  </w:abstractNum>
  <w:abstractNum w:abstractNumId="98">
    <w:nsid w:val="44EF6B80"/>
    <w:multiLevelType w:val="hybridMultilevel"/>
    <w:lvl w:ilvl="0">
      <w:lvlJc w:val="left"/>
      <w:lvlText w:val="∎"/>
      <w:numFmt w:val="bullet"/>
      <w:start w:val="1"/>
    </w:lvl>
  </w:abstractNum>
  <w:abstractNum w:abstractNumId="99">
    <w:nsid w:val="12FCDE5E"/>
    <w:multiLevelType w:val="hybridMultilevel"/>
    <w:lvl w:ilvl="0">
      <w:lvlJc w:val="left"/>
      <w:lvlText w:val="(%1)"/>
      <w:numFmt w:val="decimal"/>
      <w:start w:val="1"/>
    </w:lvl>
  </w:abstractNum>
  <w:abstractNum w:abstractNumId="100">
    <w:nsid w:val="4A1D606E"/>
    <w:multiLevelType w:val="hybridMultilevel"/>
    <w:lvl w:ilvl="0">
      <w:lvlJc w:val="left"/>
      <w:lvlText w:val="(%1)"/>
      <w:numFmt w:val="decimal"/>
      <w:start w:val="1"/>
    </w:lvl>
  </w:abstractNum>
  <w:abstractNum w:abstractNumId="101">
    <w:nsid w:val="4382503"/>
    <w:multiLevelType w:val="hybridMultilevel"/>
    <w:lvl w:ilvl="0">
      <w:lvlJc w:val="left"/>
      <w:lvlText w:val="∎"/>
      <w:numFmt w:val="bullet"/>
      <w:start w:val="1"/>
    </w:lvl>
  </w:abstractNum>
  <w:abstractNum w:abstractNumId="102">
    <w:nsid w:val="59B76E28"/>
    <w:multiLevelType w:val="hybridMultilevel"/>
    <w:lvl w:ilvl="0">
      <w:lvlJc w:val="left"/>
      <w:lvlText w:val="∎"/>
      <w:numFmt w:val="bullet"/>
      <w:start w:val="1"/>
    </w:lvl>
  </w:abstractNum>
  <w:abstractNum w:abstractNumId="103">
    <w:nsid w:val="4252C2DA"/>
    <w:multiLevelType w:val="hybridMultilevel"/>
    <w:lvl w:ilvl="0">
      <w:lvlJc w:val="left"/>
      <w:lvlText w:val="(%1)"/>
      <w:numFmt w:val="decimal"/>
      <w:start w:val="1"/>
    </w:lvl>
  </w:abstractNum>
  <w:abstractNum w:abstractNumId="104">
    <w:nsid w:val="6A92EF4C"/>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105">
    <w:nsid w:val="41ED20D7"/>
    <w:multiLevelType w:val="hybridMultilevel"/>
    <w:lvl w:ilvl="0">
      <w:lvlJc w:val="left"/>
      <w:lvlText w:val="(%1)"/>
      <w:numFmt w:val="decimal"/>
      <w:start w:val="2"/>
    </w:lvl>
    <w:lvl w:ilvl="1">
      <w:lvlJc w:val="left"/>
      <w:lvlText w:val="(%2)"/>
      <w:numFmt w:val="decimal"/>
      <w:start w:val="7"/>
    </w:lvl>
    <w:lvl w:ilvl="2">
      <w:lvlJc w:val="left"/>
      <w:lvlText w:val="%3"/>
      <w:numFmt w:val="lowerRoman"/>
      <w:start w:val="1"/>
    </w:lvl>
  </w:abstractNum>
  <w:abstractNum w:abstractNumId="106">
    <w:nsid w:val="E6B3F6A"/>
    <w:multiLevelType w:val="hybridMultilevel"/>
    <w:lvl w:ilvl="0">
      <w:lvlJc w:val="left"/>
      <w:lvlText w:val="∎"/>
      <w:numFmt w:val="bullet"/>
      <w:start w:val="1"/>
    </w:lvl>
  </w:abstractNum>
  <w:abstractNum w:abstractNumId="107">
    <w:nsid w:val="3EB21819"/>
    <w:multiLevelType w:val="hybridMultilevel"/>
    <w:lvl w:ilvl="0">
      <w:lvlJc w:val="left"/>
      <w:lvlText w:val="∎"/>
      <w:numFmt w:val="bullet"/>
      <w:start w:val="1"/>
    </w:lvl>
  </w:abstractNum>
  <w:abstractNum w:abstractNumId="108">
    <w:nsid w:val="41531DED"/>
    <w:multiLevelType w:val="hybridMultilevel"/>
    <w:lvl w:ilvl="0">
      <w:lvlJc w:val="left"/>
      <w:lvlText w:val="∎"/>
      <w:numFmt w:val="bullet"/>
      <w:start w:val="1"/>
    </w:lvl>
  </w:abstractNum>
  <w:abstractNum w:abstractNumId="109">
    <w:nsid w:val="6353CD2"/>
    <w:multiLevelType w:val="hybridMultilevel"/>
    <w:lvl w:ilvl="0">
      <w:lvlJc w:val="left"/>
      <w:lvlText w:val="∎"/>
      <w:numFmt w:val="bullet"/>
      <w:start w:val="1"/>
    </w:lvl>
  </w:abstractNum>
  <w:abstractNum w:abstractNumId="110">
    <w:nsid w:val="683CAAD3"/>
    <w:multiLevelType w:val="hybridMultilevel"/>
    <w:lvl w:ilvl="0">
      <w:lvlJc w:val="left"/>
      <w:lvlText w:val="∎"/>
      <w:numFmt w:val="bullet"/>
      <w:start w:val="1"/>
    </w:lvl>
  </w:abstractNum>
  <w:abstractNum w:abstractNumId="111">
    <w:nsid w:val="313C7C99"/>
    <w:multiLevelType w:val="hybridMultilevel"/>
    <w:lvl w:ilvl="0">
      <w:lvlJc w:val="left"/>
      <w:lvlText w:val="∎"/>
      <w:numFmt w:val="bullet"/>
      <w:start w:val="1"/>
    </w:lvl>
  </w:abstractNum>
  <w:abstractNum w:abstractNumId="112">
    <w:nsid w:val="519EB94C"/>
    <w:multiLevelType w:val="hybridMultilevel"/>
    <w:lvl w:ilvl="0">
      <w:lvlJc w:val="left"/>
      <w:lvlText w:val="∎"/>
      <w:numFmt w:val="bullet"/>
      <w:start w:val="1"/>
    </w:lvl>
  </w:abstractNum>
  <w:abstractNum w:abstractNumId="113">
    <w:nsid w:val="39DF2579"/>
    <w:multiLevelType w:val="hybridMultilevel"/>
    <w:lvl w:ilvl="0">
      <w:lvlJc w:val="left"/>
      <w:lvlText w:val="∎"/>
      <w:numFmt w:val="bullet"/>
      <w:start w:val="1"/>
    </w:lvl>
  </w:abstractNum>
  <w:abstractNum w:abstractNumId="114">
    <w:nsid w:val="126E008B"/>
    <w:multiLevelType w:val="hybridMultilevel"/>
    <w:lvl w:ilvl="0">
      <w:lvlJc w:val="left"/>
      <w:lvlText w:val="∎"/>
      <w:numFmt w:val="bullet"/>
      <w:start w:val="1"/>
    </w:lvl>
  </w:abstractNum>
  <w:abstractNum w:abstractNumId="115">
    <w:nsid w:val="34DFBC00"/>
    <w:multiLevelType w:val="hybridMultilevel"/>
    <w:lvl w:ilvl="0">
      <w:lvlJc w:val="left"/>
      <w:lvlText w:val="∎"/>
      <w:numFmt w:val="bullet"/>
      <w:start w:val="1"/>
    </w:lvl>
  </w:abstractNum>
  <w:abstractNum w:abstractNumId="116">
    <w:nsid w:val="1F9EC322"/>
    <w:multiLevelType w:val="hybridMultilevel"/>
    <w:lvl w:ilvl="0">
      <w:lvlJc w:val="left"/>
      <w:lvlText w:val="∎"/>
      <w:numFmt w:val="bullet"/>
      <w:start w:val="1"/>
    </w:lvl>
  </w:abstractNum>
  <w:abstractNum w:abstractNumId="117">
    <w:nsid w:val="3410ED56"/>
    <w:multiLevelType w:val="hybridMultilevel"/>
    <w:lvl w:ilvl="0">
      <w:lvlJc w:val="left"/>
      <w:lvlText w:val="∎"/>
      <w:numFmt w:val="bullet"/>
      <w:start w:val="1"/>
    </w:lvl>
  </w:abstractNum>
  <w:abstractNum w:abstractNumId="118">
    <w:nsid w:val="23C049A"/>
    <w:multiLevelType w:val="hybridMultilevel"/>
    <w:lvl w:ilvl="0">
      <w:lvlJc w:val="left"/>
      <w:lvlText w:val="∎"/>
      <w:numFmt w:val="bullet"/>
      <w:start w:val="1"/>
    </w:lvl>
  </w:abstractNum>
  <w:abstractNum w:abstractNumId="119">
    <w:nsid w:val="5BDA35D4"/>
    <w:multiLevelType w:val="hybridMultilevel"/>
    <w:lvl w:ilvl="0">
      <w:lvlJc w:val="left"/>
      <w:lvlText w:val="∎"/>
      <w:numFmt w:val="bullet"/>
      <w:start w:val="1"/>
    </w:lvl>
  </w:abstractNum>
  <w:abstractNum w:abstractNumId="120">
    <w:nsid w:val="496FB218"/>
    <w:multiLevelType w:val="hybridMultilevel"/>
    <w:lvl w:ilvl="0">
      <w:lvlJc w:val="left"/>
      <w:lvlText w:val="∎"/>
      <w:numFmt w:val="bullet"/>
      <w:start w:val="1"/>
    </w:lvl>
  </w:abstractNum>
  <w:abstractNum w:abstractNumId="121">
    <w:nsid w:val="680EA5D1"/>
    <w:multiLevelType w:val="hybridMultilevel"/>
    <w:lvl w:ilvl="0">
      <w:lvlJc w:val="left"/>
      <w:lvlText w:val="(%1)"/>
      <w:numFmt w:val="upperLetter"/>
      <w:start w:val="2"/>
    </w:lvl>
    <w:lvl w:ilvl="1">
      <w:lvlJc w:val="left"/>
      <w:lvlText w:val="∎"/>
      <w:numFmt w:val="bullet"/>
      <w:start w:val="1"/>
    </w:lvl>
  </w:abstractNum>
  <w:abstractNum w:abstractNumId="122">
    <w:nsid w:val="4A9554FE"/>
    <w:multiLevelType w:val="hybridMultilevel"/>
    <w:lvl w:ilvl="0">
      <w:lvlJc w:val="left"/>
      <w:lvlText w:val="$"/>
      <w:numFmt w:val="bullet"/>
      <w:start w:val="1"/>
    </w:lvl>
  </w:abstractNum>
  <w:abstractNum w:abstractNumId="123">
    <w:nsid w:val="392EDBE4"/>
    <w:multiLevelType w:val="hybridMultilevel"/>
    <w:lvl w:ilvl="0">
      <w:lvlJc w:val="left"/>
      <w:lvlText w:val="$"/>
      <w:numFmt w:val="bullet"/>
      <w:start w:val="1"/>
    </w:lvl>
  </w:abstractNum>
  <w:abstractNum w:abstractNumId="124">
    <w:nsid w:val="3D1A2DD9"/>
    <w:multiLevelType w:val="hybridMultilevel"/>
    <w:lvl w:ilvl="0">
      <w:lvlJc w:val="left"/>
      <w:lvlText w:val="$"/>
      <w:numFmt w:val="bullet"/>
      <w:start w:val="1"/>
    </w:lvl>
  </w:abstractNum>
  <w:abstractNum w:abstractNumId="125">
    <w:nsid w:val="7F618FCD"/>
    <w:multiLevelType w:val="hybridMultilevel"/>
    <w:lvl w:ilvl="0">
      <w:lvlJc w:val="left"/>
      <w:lvlText w:val="$"/>
      <w:numFmt w:val="bullet"/>
      <w:start w:val="1"/>
    </w:lvl>
  </w:abstractNum>
  <w:abstractNum w:abstractNumId="126">
    <w:nsid w:val="7843E45"/>
    <w:multiLevelType w:val="hybridMultilevel"/>
    <w:lvl w:ilvl="0">
      <w:lvlJc w:val="left"/>
      <w:lvlText w:val="%1."/>
      <w:numFmt w:val="decimal"/>
      <w:start w:val="7"/>
    </w:lvl>
  </w:abstractNum>
  <w:abstractNum w:abstractNumId="127">
    <w:nsid w:val="9815DA3"/>
    <w:multiLevelType w:val="hybridMultilevel"/>
    <w:lvl w:ilvl="0">
      <w:lvlJc w:val="left"/>
      <w:lvlText w:val="%1."/>
      <w:numFmt w:val="decimal"/>
      <w:start w:val="10"/>
    </w:lvl>
  </w:abstractNum>
  <w:abstractNum w:abstractNumId="128">
    <w:nsid w:val="5204A191"/>
    <w:multiLevelType w:val="hybridMultilevel"/>
    <w:lvl w:ilvl="0">
      <w:lvlJc w:val="left"/>
      <w:lvlText w:val="%1."/>
      <w:numFmt w:val="decimal"/>
      <w:start w:val="13"/>
    </w:lvl>
  </w:abstractNum>
  <w:abstractNum w:abstractNumId="129">
    <w:nsid w:val="4C73A9C6"/>
    <w:multiLevelType w:val="hybridMultilevel"/>
    <w:lvl w:ilvl="0">
      <w:lvlJc w:val="left"/>
      <w:lvlText w:val="$"/>
      <w:numFmt w:val="bullet"/>
      <w:start w:val="1"/>
    </w:lvl>
  </w:abstractNum>
  <w:abstractNum w:abstractNumId="130">
    <w:nsid w:val="1C7E3C01"/>
    <w:multiLevelType w:val="hybridMultilevel"/>
    <w:lvl w:ilvl="0">
      <w:lvlJc w:val="left"/>
      <w:lvlText w:val="$"/>
      <w:numFmt w:val="bullet"/>
      <w:start w:val="1"/>
    </w:lvl>
  </w:abstractNum>
  <w:abstractNum w:abstractNumId="131">
    <w:nsid w:val="1C2201FF"/>
    <w:multiLevelType w:val="hybridMultilevel"/>
    <w:lvl w:ilvl="0">
      <w:lvlJc w:val="left"/>
      <w:lvlText w:val="#"/>
      <w:numFmt w:val="bullet"/>
      <w:start w:val="1"/>
    </w:lvl>
  </w:abstractNum>
  <w:abstractNum w:abstractNumId="132">
    <w:nsid w:val="50ABCEC9"/>
    <w:multiLevelType w:val="hybridMultilevel"/>
    <w:lvl w:ilvl="0">
      <w:lvlJc w:val="left"/>
      <w:lvlText w:val="(%1)"/>
      <w:numFmt w:val="decimal"/>
      <w:start w:val="1"/>
    </w:lvl>
  </w:abstractNum>
  <w:abstractNum w:abstractNumId="133">
    <w:nsid w:val="7635AA2A"/>
    <w:multiLevelType w:val="hybridMultilevel"/>
    <w:lvl w:ilvl="0">
      <w:lvlJc w:val="left"/>
      <w:lvlText w:val=","/>
      <w:numFmt w:val="bullet"/>
      <w:start w:val="1"/>
    </w:lvl>
  </w:abstractNum>
  <w:abstractNum w:abstractNumId="134">
    <w:nsid w:val="5E74C4D9"/>
    <w:multiLevelType w:val="hybridMultilevel"/>
    <w:lvl w:ilvl="0">
      <w:lvlJc w:val="left"/>
      <w:lvlText w:val="%1."/>
      <w:numFmt w:val="decimal"/>
      <w:start w:val="1"/>
    </w:lvl>
  </w:abstractNum>
  <w:abstractNum w:abstractNumId="135">
    <w:nsid w:val="3B3EBE15"/>
    <w:multiLevelType w:val="hybridMultilevel"/>
    <w:lvl w:ilvl="0">
      <w:lvlJc w:val="left"/>
      <w:lvlText w:val="%1."/>
      <w:numFmt w:val="decimal"/>
      <w:start w:val="1"/>
    </w:lvl>
  </w:abstractNum>
  <w:abstractNum w:abstractNumId="136">
    <w:nsid w:val="3822CB01"/>
    <w:multiLevelType w:val="hybridMultilevel"/>
    <w:lvl w:ilvl="0">
      <w:lvlJc w:val="left"/>
      <w:lvlText w:val="%1."/>
      <w:numFmt w:val="decimal"/>
      <w:start w:val="1"/>
    </w:lvl>
  </w:abstractNum>
  <w:abstractNum w:abstractNumId="137">
    <w:nsid w:val="6CE00443"/>
    <w:multiLevelType w:val="hybridMultilevel"/>
    <w:lvl w:ilvl="0">
      <w:lvlJc w:val="left"/>
      <w:lvlText w:val="(%1)"/>
      <w:numFmt w:val="decimal"/>
      <w:start w:val="2"/>
    </w:lvl>
  </w:abstractNum>
  <w:abstractNum w:abstractNumId="138">
    <w:nsid w:val="79F0D62F"/>
    <w:multiLevelType w:val="hybridMultilevel"/>
    <w:lvl w:ilvl="0">
      <w:lvlJc w:val="left"/>
      <w:lvlText w:val="(%1)"/>
      <w:numFmt w:val="decimal"/>
      <w:start w:val="2"/>
    </w:lvl>
  </w:abstractNum>
  <w:abstractNum w:abstractNumId="139">
    <w:nsid w:val="7975E8EE"/>
    <w:multiLevelType w:val="hybridMultilevel"/>
    <w:lvl w:ilvl="0">
      <w:lvlJc w:val="left"/>
      <w:lvlText w:val="(%1)"/>
      <w:numFmt w:val="decimal"/>
      <w:start w:val="1"/>
    </w:lvl>
    <w:lvl w:ilvl="1">
      <w:lvlJc w:val="left"/>
      <w:lvlText w:val="%2."/>
      <w:numFmt w:val="decimal"/>
      <w:start w:val="2"/>
    </w:lvl>
  </w:abstractNum>
  <w:abstractNum w:abstractNumId="140">
    <w:nsid w:val="73154115"/>
    <w:multiLevelType w:val="hybridMultilevel"/>
    <w:lvl w:ilvl="0">
      <w:lvlJc w:val="left"/>
      <w:lvlText w:val="(%1)"/>
      <w:numFmt w:val="lowerLetter"/>
      <w:start w:val="1"/>
    </w:lvl>
    <w:lvl w:ilvl="1">
      <w:lvlJc w:val="left"/>
      <w:lvlText w:val="(%2)"/>
      <w:numFmt w:val="lowerRoman"/>
      <w:start w:val="1"/>
    </w:lvl>
  </w:abstractNum>
  <w:abstractNum w:abstractNumId="141">
    <w:nsid w:val="622D8102"/>
    <w:multiLevelType w:val="hybridMultilevel"/>
    <w:lvl w:ilvl="0">
      <w:lvlJc w:val="left"/>
      <w:lvlText w:val="(%1)"/>
      <w:numFmt w:val="lowerLetter"/>
      <w:start w:val="2"/>
    </w:lvl>
  </w:abstractNum>
  <w:abstractNum w:abstractNumId="142">
    <w:nsid w:val="2AB26587"/>
    <w:multiLevelType w:val="hybridMultilevel"/>
    <w:lvl w:ilvl="0">
      <w:lvlJc w:val="left"/>
      <w:lvlText w:val="(%1)"/>
      <w:numFmt w:val="lowerLetter"/>
      <w:start w:val="1"/>
    </w:lvl>
  </w:abstractNum>
  <w:abstractNum w:abstractNumId="143">
    <w:nsid w:val="44B3FA61"/>
    <w:multiLevelType w:val="hybridMultilevel"/>
    <w:lvl w:ilvl="0">
      <w:lvlJc w:val="left"/>
      <w:lvlText w:val="%1"/>
      <w:numFmt w:val="lowerLetter"/>
      <w:start w:val="1"/>
    </w:lvl>
    <w:lvl w:ilvl="1">
      <w:lvlJc w:val="left"/>
      <w:lvlText w:val="(%2)"/>
      <w:numFmt w:val="lowerLetter"/>
      <w:start w:val="2"/>
    </w:lvl>
  </w:abstractNum>
  <w:abstractNum w:abstractNumId="144">
    <w:nsid w:val="1C0CA67C"/>
    <w:multiLevelType w:val="hybridMultilevel"/>
    <w:lvl w:ilvl="0">
      <w:lvlJc w:val="left"/>
      <w:lvlText w:val="(%1)"/>
      <w:numFmt w:val="lowerLetter"/>
      <w:start w:val="9"/>
    </w:lvl>
    <w:lvl w:ilvl="1">
      <w:lvlJc w:val="left"/>
      <w:lvlText w:val="(%2)"/>
      <w:numFmt w:val="lowerLetter"/>
      <w:start w:val="3"/>
    </w:lvl>
  </w:abstractNum>
  <w:abstractNum w:abstractNumId="145">
    <w:nsid w:val="3D206613"/>
    <w:multiLevelType w:val="hybridMultilevel"/>
    <w:lvl w:ilvl="0">
      <w:lvlJc w:val="left"/>
      <w:lvlText w:val="(%1)"/>
      <w:numFmt w:val="lowerLetter"/>
      <w:start w:val="4"/>
    </w:lvl>
  </w:abstractNum>
  <w:abstractNum w:abstractNumId="146">
    <w:nsid w:val="7993B662"/>
    <w:multiLevelType w:val="hybridMultilevel"/>
    <w:lvl w:ilvl="0">
      <w:lvlJc w:val="left"/>
      <w:lvlText w:val="%1."/>
      <w:numFmt w:val="decimal"/>
      <w:start w:val="3"/>
    </w:lvl>
  </w:abstractNum>
  <w:abstractNum w:abstractNumId="147">
    <w:nsid w:val="3BAB699E"/>
    <w:multiLevelType w:val="hybridMultilevel"/>
    <w:lvl w:ilvl="0">
      <w:lvlJc w:val="left"/>
      <w:lvlText w:val="%1."/>
      <w:numFmt w:val="decimal"/>
      <w:start w:val="4"/>
    </w:lvl>
  </w:abstractNum>
  <w:abstractNum w:abstractNumId="148">
    <w:nsid w:val="71315369"/>
    <w:multiLevelType w:val="hybridMultilevel"/>
    <w:lvl w:ilvl="0">
      <w:lvlJc w:val="left"/>
      <w:lvlText w:val="(%1)"/>
      <w:numFmt w:val="lowerLetter"/>
      <w:start w:val="3"/>
    </w:lvl>
    <w:lvl w:ilvl="1">
      <w:lvlJc w:val="left"/>
      <w:lvlText w:val="(%2)"/>
      <w:numFmt w:val="lowerRoman"/>
      <w:start w:val="1"/>
    </w:lvl>
  </w:abstractNum>
  <w:abstractNum w:abstractNumId="149">
    <w:nsid w:val="7BCFBAFC"/>
    <w:multiLevelType w:val="hybridMultilevel"/>
    <w:lvl w:ilvl="0">
      <w:lvlJc w:val="left"/>
      <w:lvlText w:val="(%1)"/>
      <w:numFmt w:val="lowerRoman"/>
      <w:start w:val="4"/>
    </w:lvl>
  </w:abstractNum>
  <w:abstractNum w:abstractNumId="150">
    <w:nsid w:val="17859F72"/>
    <w:multiLevelType w:val="hybridMultilevel"/>
    <w:lvl w:ilvl="0">
      <w:lvlJc w:val="left"/>
      <w:lvlText w:val="(%1)"/>
      <w:numFmt w:val="lowerLetter"/>
      <w:start w:val="1"/>
    </w:lvl>
  </w:abstractNum>
  <w:abstractNum w:abstractNumId="151">
    <w:nsid w:val="3AA10581"/>
    <w:multiLevelType w:val="hybridMultilevel"/>
    <w:lvl w:ilvl="0">
      <w:lvlJc w:val="left"/>
      <w:lvlText w:val="(%1)"/>
      <w:numFmt w:val="lowerLetter"/>
      <w:start w:val="4"/>
    </w:lvl>
  </w:abstractNum>
  <w:abstractNum w:abstractNumId="152">
    <w:nsid w:val="63DE60CD"/>
    <w:multiLevelType w:val="hybridMultilevel"/>
    <w:lvl w:ilvl="0">
      <w:lvlJc w:val="left"/>
      <w:lvlText w:val="(%1)"/>
      <w:numFmt w:val="lowerLetter"/>
      <w:start w:val="1"/>
    </w:lvl>
  </w:abstractNum>
  <w:abstractNum w:abstractNumId="153">
    <w:nsid w:val="621AF471"/>
    <w:multiLevelType w:val="hybridMultilevel"/>
    <w:lvl w:ilvl="0">
      <w:lvlJc w:val="left"/>
      <w:lvlText w:val="(%1)"/>
      <w:numFmt w:val="lowerLetter"/>
      <w:start w:val="1"/>
    </w:lvl>
    <w:lvl w:ilvl="1">
      <w:lvlJc w:val="left"/>
      <w:lvlText w:val="(%2)"/>
      <w:numFmt w:val="lowerRoman"/>
      <w:start w:val="1"/>
    </w:lvl>
  </w:abstractNum>
  <w:abstractNum w:abstractNumId="154">
    <w:nsid w:val="73CFE165"/>
    <w:multiLevelType w:val="hybridMultilevel"/>
    <w:lvl w:ilvl="0">
      <w:lvlJc w:val="left"/>
      <w:lvlText w:val="(%1)"/>
      <w:numFmt w:val="lowerLetter"/>
      <w:start w:val="2"/>
    </w:lvl>
    <w:lvl w:ilvl="1">
      <w:lvlJc w:val="left"/>
      <w:lvlText w:val="(%2)"/>
      <w:numFmt w:val="lowerRoman"/>
      <w:start w:val="1"/>
    </w:lvl>
  </w:abstractNum>
  <w:abstractNum w:abstractNumId="155">
    <w:nsid w:val="20F88EA6"/>
    <w:multiLevelType w:val="hybridMultilevel"/>
    <w:lvl w:ilvl="0">
      <w:lvlJc w:val="left"/>
      <w:lvlText w:val="(%1)"/>
      <w:numFmt w:val="decimal"/>
      <w:start w:val="1"/>
    </w:lvl>
  </w:abstractNum>
  <w:abstractNum w:abstractNumId="156">
    <w:nsid w:val="617C843E"/>
    <w:multiLevelType w:val="hybridMultilevel"/>
    <w:lvl w:ilvl="0">
      <w:lvlJc w:val="left"/>
      <w:lvlText w:val="(%1)"/>
      <w:numFmt w:val="lowerLetter"/>
      <w:start w:val="1"/>
    </w:lvl>
  </w:abstractNum>
  <w:abstractNum w:abstractNumId="157">
    <w:nsid w:val="7B541FAB"/>
    <w:multiLevelType w:val="hybridMultilevel"/>
    <w:lvl w:ilvl="0">
      <w:lvlJc w:val="left"/>
      <w:lvlText w:val="(%1)"/>
      <w:numFmt w:val="lowerRoman"/>
      <w:start w:val="1"/>
    </w:lvl>
    <w:lvl w:ilvl="1">
      <w:lvlJc w:val="left"/>
      <w:lvlText w:val="%2."/>
      <w:numFmt w:val="decimal"/>
      <w:start w:val="5"/>
    </w:lvl>
  </w:abstractNum>
  <w:abstractNum w:abstractNumId="158">
    <w:nsid w:val="2A79EC49"/>
    <w:multiLevelType w:val="hybridMultilevel"/>
    <w:lvl w:ilvl="0">
      <w:lvlJc w:val="left"/>
      <w:lvlText w:val="%1."/>
      <w:numFmt w:val="decimal"/>
      <w:start w:val="6"/>
    </w:lvl>
  </w:abstractNum>
  <w:abstractNum w:abstractNumId="159">
    <w:nsid w:val="338125CF"/>
    <w:multiLevelType w:val="hybridMultilevel"/>
    <w:lvl w:ilvl="0">
      <w:lvlJc w:val="left"/>
      <w:lvlText w:val="%1."/>
      <w:numFmt w:val="decimal"/>
      <w:start w:val="3"/>
    </w:lvl>
  </w:abstractNum>
  <w:abstractNum w:abstractNumId="160">
    <w:nsid w:val="47C7C971"/>
    <w:multiLevelType w:val="hybridMultilevel"/>
    <w:lvl w:ilvl="0">
      <w:lvlJc w:val="left"/>
      <w:lvlText w:val="(%1)"/>
      <w:numFmt w:val="decimal"/>
      <w:start w:val="10"/>
    </w:lvl>
  </w:abstractNum>
  <w:abstractNum w:abstractNumId="161">
    <w:nsid w:val="46F8284B"/>
    <w:multiLevelType w:val="hybridMultilevel"/>
    <w:lvl w:ilvl="0">
      <w:lvlJc w:val="left"/>
      <w:lvlText w:val="(%1)"/>
      <w:numFmt w:val="lowerLetter"/>
      <w:start w:val="1"/>
    </w:lvl>
  </w:abstractNum>
  <w:abstractNum w:abstractNumId="162">
    <w:nsid w:val="4FA327CE"/>
    <w:multiLevelType w:val="hybridMultilevel"/>
    <w:lvl w:ilvl="0">
      <w:lvlJc w:val="left"/>
      <w:lvlText w:val="(%1)"/>
      <w:numFmt w:val="lowerLetter"/>
      <w:start w:val="2"/>
    </w:lvl>
    <w:lvl w:ilvl="1">
      <w:lvlJc w:val="left"/>
      <w:lvlText w:val="(%2)"/>
      <w:numFmt w:val="decimal"/>
      <w:start w:val="1"/>
    </w:lvl>
  </w:abstractNum>
  <w:abstractNum w:abstractNumId="163">
    <w:nsid w:val="1873983A"/>
    <w:multiLevelType w:val="hybridMultilevel"/>
    <w:lvl w:ilvl="0">
      <w:lvlJc w:val="left"/>
      <w:lvlText w:val="(%1)"/>
      <w:numFmt w:val="lowerLetter"/>
      <w:start w:val="1"/>
    </w:lvl>
  </w:abstractNum>
  <w:abstractNum w:abstractNumId="164">
    <w:nsid w:val="3D2DD275"/>
    <w:multiLevelType w:val="hybridMultilevel"/>
    <w:lvl w:ilvl="0">
      <w:lvlJc w:val="left"/>
      <w:lvlText w:val="(%1)"/>
      <w:numFmt w:val="lowerLetter"/>
      <w:start w:val="2"/>
    </w:lvl>
  </w:abstractNum>
  <w:abstractNum w:abstractNumId="165">
    <w:nsid w:val="2E17ECA7"/>
    <w:multiLevelType w:val="hybridMultilevel"/>
    <w:lvl w:ilvl="0">
      <w:lvlJc w:val="left"/>
      <w:lvlText w:val="%1"/>
      <w:numFmt w:val="decimal"/>
      <w:start w:val="1"/>
    </w:lvl>
    <w:lvl w:ilvl="1">
      <w:lvlJc w:val="left"/>
      <w:lvlText w:val="(%2)"/>
      <w:numFmt w:val="lowerLetter"/>
      <w:start w:val="1"/>
    </w:lvl>
  </w:abstractNum>
  <w:abstractNum w:abstractNumId="166">
    <w:nsid w:val="53B2564F"/>
    <w:multiLevelType w:val="hybridMultilevel"/>
    <w:lvl w:ilvl="0">
      <w:lvlJc w:val="left"/>
      <w:lvlText w:val="(%1)"/>
      <w:numFmt w:val="decimal"/>
      <w:start w:val="2"/>
    </w:lvl>
    <w:lvl w:ilvl="1">
      <w:lvlJc w:val="left"/>
      <w:lvlText w:val="(%2)"/>
      <w:numFmt w:val="lowerLetter"/>
      <w:start w:val="2"/>
    </w:lvl>
  </w:abstractNum>
  <w:abstractNum w:abstractNumId="167">
    <w:nsid w:val="75509D76"/>
    <w:multiLevelType w:val="hybridMultilevel"/>
    <w:lvl w:ilvl="0">
      <w:lvlJc w:val="left"/>
      <w:lvlText w:val="(%1)"/>
      <w:numFmt w:val="lowerLetter"/>
      <w:start w:val="3"/>
    </w:lvl>
  </w:abstractNum>
  <w:abstractNum w:abstractNumId="168">
    <w:nsid w:val="1AF7F0EA"/>
    <w:multiLevelType w:val="hybridMultilevel"/>
    <w:lvl w:ilvl="0">
      <w:lvlJc w:val="left"/>
      <w:lvlText w:val="(%1)"/>
      <w:numFmt w:val="decimal"/>
      <w:start w:val="10"/>
    </w:lvl>
  </w:abstractNum>
  <w:abstractNum w:abstractNumId="169">
    <w:nsid w:val="4DA32C7E"/>
    <w:multiLevelType w:val="hybridMultilevel"/>
    <w:lvl w:ilvl="0">
      <w:lvlJc w:val="left"/>
      <w:lvlText w:val="(%1)"/>
      <w:numFmt w:val="lowerRoman"/>
      <w:start w:val="3"/>
    </w:lvl>
  </w:abstractNum>
  <w:abstractNum w:abstractNumId="170">
    <w:nsid w:val="6EC68664"/>
    <w:multiLevelType w:val="hybridMultilevel"/>
    <w:lvl w:ilvl="0">
      <w:lvlJc w:val="left"/>
      <w:lvlText w:val="%1."/>
      <w:numFmt w:val="decimal"/>
      <w:start w:val="1"/>
    </w:lvl>
  </w:abstractNum>
  <w:abstractNum w:abstractNumId="171">
    <w:nsid w:val="E0D31FF"/>
    <w:multiLevelType w:val="hybridMultilevel"/>
    <w:lvl w:ilvl="0">
      <w:lvlJc w:val="left"/>
      <w:lvlText w:val="%1."/>
      <w:numFmt w:val="decimal"/>
      <w:start w:val="2"/>
    </w:lvl>
    <w:lvl w:ilvl="1">
      <w:lvlJc w:val="left"/>
      <w:lvlText w:val="(%2)"/>
      <w:numFmt w:val="lowerLetter"/>
      <w:start w:val="1"/>
    </w:lvl>
  </w:abstractNum>
  <w:abstractNum w:abstractNumId="172">
    <w:nsid w:val="2FD0AD81"/>
    <w:multiLevelType w:val="hybridMultilevel"/>
    <w:lvl w:ilvl="0">
      <w:lvlJc w:val="left"/>
      <w:lvlText w:val="(%1)"/>
      <w:numFmt w:val="lowerLetter"/>
      <w:start w:val="2"/>
    </w:lvl>
  </w:abstractNum>
  <w:abstractNum w:abstractNumId="173">
    <w:nsid w:val="1978EBEB"/>
    <w:multiLevelType w:val="hybridMultilevel"/>
    <w:lvl w:ilvl="0">
      <w:lvlJc w:val="left"/>
      <w:lvlText w:val="%1"/>
      <w:numFmt w:val="decimal"/>
      <w:start w:val="1"/>
    </w:lvl>
    <w:lvl w:ilvl="1">
      <w:lvlJc w:val="left"/>
      <w:lvlText w:val="(%2)"/>
      <w:numFmt w:val="lowerLetter"/>
      <w:start w:val="4"/>
    </w:lvl>
  </w:abstractNum>
  <w:abstractNum w:abstractNumId="174">
    <w:nsid w:val="52C12C61"/>
    <w:multiLevelType w:val="hybridMultilevel"/>
    <w:lvl w:ilvl="0">
      <w:lvlJc w:val="left"/>
      <w:lvlText w:val="(%1)"/>
      <w:numFmt w:val="decimal"/>
      <w:start w:val="180"/>
    </w:lvl>
    <w:lvl w:ilvl="1">
      <w:lvlJc w:val="left"/>
      <w:lvlText w:val="%2"/>
      <w:numFmt w:val="lowerLetter"/>
      <w:start w:val="1"/>
    </w:lvl>
  </w:abstractNum>
  <w:abstractNum w:abstractNumId="175">
    <w:nsid w:val="4BDD53FD"/>
    <w:multiLevelType w:val="hybridMultilevel"/>
    <w:lvl w:ilvl="0">
      <w:lvlJc w:val="left"/>
      <w:lvlText w:val="(%1)"/>
      <w:numFmt w:val="lowerLetter"/>
      <w:start w:val="1"/>
    </w:lvl>
  </w:abstractNum>
  <w:abstractNum w:abstractNumId="176">
    <w:nsid w:val="569951FE"/>
    <w:multiLevelType w:val="hybridMultilevel"/>
    <w:lvl w:ilvl="0">
      <w:lvlJc w:val="left"/>
      <w:lvlText w:val="(%1)"/>
      <w:numFmt w:val="lowerLetter"/>
      <w:start w:val="2"/>
    </w:lvl>
  </w:abstractNum>
  <w:abstractNum w:abstractNumId="177">
    <w:nsid w:val="4C54E2C3"/>
    <w:multiLevelType w:val="hybridMultilevel"/>
    <w:lvl w:ilvl="0">
      <w:lvlJc w:val="left"/>
      <w:lvlText w:val="(%1)"/>
      <w:numFmt w:val="lowerLetter"/>
      <w:start w:val="1"/>
    </w:lvl>
  </w:abstractNum>
  <w:abstractNum w:abstractNumId="178">
    <w:nsid w:val="788BD9B"/>
    <w:multiLevelType w:val="hybridMultilevel"/>
    <w:lvl w:ilvl="0">
      <w:lvlJc w:val="left"/>
      <w:lvlText w:val="(%1)"/>
      <w:numFmt w:val="lowerLetter"/>
      <w:start w:val="2"/>
    </w:lvl>
  </w:abstractNum>
  <w:abstractNum w:abstractNumId="179">
    <w:nsid w:val="47CAA567"/>
    <w:multiLevelType w:val="hybridMultilevel"/>
    <w:lvl w:ilvl="0">
      <w:lvlJc w:val="left"/>
      <w:lvlText w:val="(%1)"/>
      <w:numFmt w:val="lowerLetter"/>
      <w:start w:val="1"/>
    </w:lvl>
  </w:abstractNum>
  <w:abstractNum w:abstractNumId="180">
    <w:nsid w:val="48249DBF"/>
    <w:multiLevelType w:val="hybridMultilevel"/>
    <w:lvl w:ilvl="0">
      <w:lvlJc w:val="left"/>
      <w:lvlText w:val="(%1)"/>
      <w:numFmt w:val="lowerLetter"/>
      <w:start w:val="2"/>
    </w:lvl>
  </w:abstractNum>
  <w:abstractNum w:abstractNumId="181">
    <w:nsid w:val="1F0E5D0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82">
    <w:nsid w:val="26BAAE9"/>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abstractNum>
  <w:abstractNum w:abstractNumId="183">
    <w:nsid w:val="2C02FE8C"/>
    <w:multiLevelType w:val="hybridMultilevel"/>
    <w:lvl w:ilvl="0">
      <w:lvlJc w:val="left"/>
      <w:lvlText w:val="(%1)"/>
      <w:numFmt w:val="lowerLetter"/>
      <w:start w:val="1"/>
    </w:lvl>
  </w:abstractNum>
  <w:abstractNum w:abstractNumId="184">
    <w:nsid w:val="129517E"/>
    <w:multiLevelType w:val="hybridMultilevel"/>
    <w:lvl w:ilvl="0">
      <w:lvlJc w:val="left"/>
      <w:lvlText w:val="(%1)"/>
      <w:numFmt w:val="lowerLetter"/>
      <w:start w:val="2"/>
    </w:lvl>
  </w:abstractNum>
  <w:abstractNum w:abstractNumId="185">
    <w:nsid w:val="763B8C4E"/>
    <w:multiLevelType w:val="hybridMultilevel"/>
    <w:lvl w:ilvl="0">
      <w:lvlJc w:val="left"/>
      <w:lvlText w:val="(%1)"/>
      <w:numFmt w:val="lowerLetter"/>
      <w:start w:val="1"/>
    </w:lvl>
  </w:abstractNum>
  <w:abstractNum w:abstractNumId="186">
    <w:nsid w:val="4CFB8D32"/>
    <w:multiLevelType w:val="hybridMultilevel"/>
    <w:lvl w:ilvl="0">
      <w:lvlJc w:val="left"/>
      <w:lvlText w:val="(%1)"/>
      <w:numFmt w:val="lowerLetter"/>
      <w:start w:val="3"/>
    </w:lvl>
  </w:abstractNum>
  <w:abstractNum w:abstractNumId="187">
    <w:nsid w:val="62A5D5BD"/>
    <w:multiLevelType w:val="hybridMultilevel"/>
    <w:lvl w:ilvl="0">
      <w:lvlJc w:val="left"/>
      <w:lvlText w:val="%1"/>
      <w:numFmt w:val="decimal"/>
      <w:start w:val="1"/>
    </w:lvl>
    <w:lvl w:ilvl="1">
      <w:lvlJc w:val="left"/>
      <w:lvlText w:val="(%2)"/>
      <w:numFmt w:val="lowerLetter"/>
      <w:start w:val="1"/>
    </w:lvl>
  </w:abstractNum>
  <w:abstractNum w:abstractNumId="188">
    <w:nsid w:val="718FABF9"/>
    <w:multiLevelType w:val="hybridMultilevel"/>
    <w:lvl w:ilvl="0">
      <w:lvlJc w:val="left"/>
      <w:lvlText w:val="%1."/>
      <w:numFmt w:val="decimal"/>
      <w:start w:val="3"/>
    </w:lvl>
    <w:lvl w:ilvl="1">
      <w:lvlJc w:val="left"/>
      <w:lvlText w:val="%2"/>
      <w:numFmt w:val="lowerLetter"/>
      <w:start w:val="1"/>
    </w:lvl>
  </w:abstractNum>
  <w:abstractNum w:abstractNumId="189">
    <w:nsid w:val="7775797C"/>
    <w:multiLevelType w:val="hybridMultilevel"/>
    <w:lvl w:ilvl="0">
      <w:lvlJc w:val="left"/>
      <w:lvlText w:val="(%1)"/>
      <w:numFmt w:val="lowerLetter"/>
      <w:start w:val="1"/>
    </w:lvl>
  </w:abstractNum>
  <w:abstractNum w:abstractNumId="190">
    <w:nsid w:val="1626FB8C"/>
    <w:multiLevelType w:val="hybridMultilevel"/>
    <w:lvl w:ilvl="0">
      <w:lvlJc w:val="left"/>
      <w:lvlText w:val="(%1)"/>
      <w:numFmt w:val="lowerLetter"/>
      <w:start w:val="2"/>
    </w:lvl>
  </w:abstractNum>
  <w:abstractNum w:abstractNumId="191">
    <w:nsid w:val="3957756A"/>
    <w:multiLevelType w:val="hybridMultilevel"/>
    <w:lvl w:ilvl="0">
      <w:lvlJc w:val="left"/>
      <w:lvlText w:val="(%1)"/>
      <w:numFmt w:val="lowerLetter"/>
      <w:start w:val="1"/>
    </w:lvl>
  </w:abstractNum>
  <w:abstractNum w:abstractNumId="192">
    <w:nsid w:val="3E6DA1C7"/>
    <w:multiLevelType w:val="hybridMultilevel"/>
    <w:lvl w:ilvl="0">
      <w:lvlJc w:val="left"/>
      <w:lvlText w:val="%1."/>
      <w:numFmt w:val="decimal"/>
      <w:start w:val="4"/>
    </w:lvl>
  </w:abstractNum>
  <w:abstractNum w:abstractNumId="193">
    <w:nsid w:val="65CA235B"/>
    <w:multiLevelType w:val="hybridMultilevel"/>
    <w:lvl w:ilvl="0">
      <w:lvlJc w:val="left"/>
      <w:lvlText w:val="(%1)"/>
      <w:numFmt w:val="lowerLetter"/>
      <w:start w:val="1"/>
    </w:lvl>
  </w:abstractNum>
  <w:abstractNum w:abstractNumId="194">
    <w:nsid w:val="51CB0DA4"/>
    <w:multiLevelType w:val="hybridMultilevel"/>
    <w:lvl w:ilvl="0">
      <w:lvlJc w:val="left"/>
      <w:lvlText w:val="%1."/>
      <w:numFmt w:val="decimal"/>
      <w:start w:val="5"/>
    </w:lvl>
  </w:abstractNum>
  <w:abstractNum w:abstractNumId="195">
    <w:nsid w:val="7B9B743C"/>
    <w:multiLevelType w:val="hybridMultilevel"/>
    <w:lvl w:ilvl="0">
      <w:lvlJc w:val="left"/>
      <w:lvlText w:val="%1."/>
      <w:numFmt w:val="decimal"/>
      <w:start w:val="6"/>
    </w:lvl>
  </w:abstractNum>
  <w:abstractNum w:abstractNumId="196">
    <w:nsid w:val="13E21002"/>
    <w:multiLevelType w:val="hybridMultilevel"/>
    <w:lvl w:ilvl="0">
      <w:lvlJc w:val="left"/>
      <w:lvlText w:val="%1."/>
      <w:numFmt w:val="decimal"/>
      <w:start w:val="1"/>
    </w:lvl>
  </w:abstractNum>
  <w:abstractNum w:abstractNumId="197">
    <w:nsid w:val="257D63F4"/>
    <w:multiLevelType w:val="hybridMultilevel"/>
    <w:lvl w:ilvl="0">
      <w:lvlJc w:val="left"/>
      <w:lvlText w:val="%1."/>
      <w:numFmt w:val="decimal"/>
      <w:start w:val="2"/>
    </w:lvl>
  </w:abstractNum>
  <w:abstractNum w:abstractNumId="198">
    <w:nsid w:val="70EC11B2"/>
    <w:multiLevelType w:val="hybridMultilevel"/>
    <w:lvl w:ilvl="0">
      <w:lvlJc w:val="left"/>
      <w:lvlText w:val="%1."/>
      <w:numFmt w:val="decimal"/>
      <w:start w:val="3"/>
    </w:lvl>
    <w:lvl w:ilvl="1">
      <w:lvlJc w:val="left"/>
      <w:lvlText w:val="(%2)"/>
      <w:numFmt w:val="lowerLetter"/>
      <w:start w:val="1"/>
    </w:lvl>
  </w:abstractNum>
  <w:abstractNum w:abstractNumId="199">
    <w:nsid w:val="2EDA00ED"/>
    <w:multiLevelType w:val="hybridMultilevel"/>
    <w:lvl w:ilvl="0">
      <w:lvlJc w:val="left"/>
      <w:lvlText w:val="%1"/>
      <w:numFmt w:val="decimal"/>
      <w:start w:val="1"/>
    </w:lvl>
    <w:lvl w:ilvl="1">
      <w:lvlJc w:val="left"/>
      <w:lvlText w:val="(%2)"/>
      <w:numFmt w:val="lowerLetter"/>
      <w:start w:val="3"/>
    </w:lvl>
  </w:abstractNum>
  <w:abstractNum w:abstractNumId="200">
    <w:nsid w:val="73209072"/>
    <w:multiLevelType w:val="hybridMultilevel"/>
    <w:lvl w:ilvl="0">
      <w:lvlJc w:val="left"/>
      <w:lvlText w:val="%1."/>
      <w:numFmt w:val="decimal"/>
      <w:start w:val="4"/>
    </w:lvl>
    <w:lvl w:ilvl="1">
      <w:lvlJc w:val="left"/>
      <w:lvlText w:val="(%2)"/>
      <w:numFmt w:val="lowerLetter"/>
      <w:start w:val="1"/>
    </w:lvl>
  </w:abstractNum>
  <w:abstractNum w:abstractNumId="201">
    <w:nsid w:val="5FB29816"/>
    <w:multiLevelType w:val="hybridMultilevel"/>
    <w:lvl w:ilvl="0">
      <w:lvlJc w:val="left"/>
      <w:lvlText w:val="1"/>
      <w:numFmt w:val="bullet"/>
      <w:start w:val="1"/>
    </w:lvl>
  </w:abstractNum>
  <w:abstractNum w:abstractNumId="202">
    <w:nsid w:val="3CE732EC"/>
    <w:multiLevelType w:val="hybridMultilevel"/>
    <w:lvl w:ilvl="0">
      <w:lvlJc w:val="left"/>
      <w:lvlText w:val="%1"/>
      <w:numFmt w:val="decimal"/>
      <w:start w:val="1"/>
    </w:lvl>
    <w:lvl w:ilvl="1">
      <w:lvlJc w:val="left"/>
      <w:lvlText w:val="(%2)"/>
      <w:numFmt w:val="lowerLetter"/>
      <w:start w:val="2"/>
    </w:lvl>
  </w:abstractNum>
  <w:abstractNum w:abstractNumId="203">
    <w:nsid w:val="22F13DF3"/>
    <w:multiLevelType w:val="hybridMultilevel"/>
    <w:lvl w:ilvl="0">
      <w:lvlJc w:val="left"/>
      <w:lvlText w:val="%1."/>
      <w:numFmt w:val="decimal"/>
      <w:start w:val="5"/>
    </w:lvl>
    <w:lvl w:ilvl="1">
      <w:lvlJc w:val="left"/>
      <w:lvlText w:val="(%2)"/>
      <w:numFmt w:val="lowerLetter"/>
      <w:start w:val="1"/>
    </w:lvl>
  </w:abstractNum>
  <w:abstractNum w:abstractNumId="204">
    <w:nsid w:val="792B8401"/>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05">
    <w:nsid w:val="FA85F4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6">
    <w:nsid w:val="6ECE91F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07">
    <w:nsid w:val="4FC4D600"/>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08">
    <w:nsid w:val="5BFD4210"/>
    <w:multiLevelType w:val="hybridMultilevel"/>
    <w:lvl w:ilvl="0">
      <w:lvlJc w:val="left"/>
      <w:lvlText w:val="%1."/>
      <w:numFmt w:val="decimal"/>
      <w:start w:val="8"/>
    </w:lvl>
    <w:lvl w:ilvl="1">
      <w:lvlJc w:val="left"/>
      <w:lvlText w:val="(%2)"/>
      <w:numFmt w:val="lowerLetter"/>
      <w:start w:val="1"/>
    </w:lvl>
  </w:abstractNum>
  <w:abstractNum w:abstractNumId="209">
    <w:nsid w:val="76574F8B"/>
    <w:multiLevelType w:val="hybridMultilevel"/>
    <w:lvl w:ilvl="0">
      <w:lvlJc w:val="left"/>
      <w:lvlText w:val="(%1)"/>
      <w:numFmt w:val="lowerLetter"/>
      <w:start w:val="2"/>
    </w:lvl>
    <w:lvl w:ilvl="1">
      <w:lvlJc w:val="left"/>
      <w:lvlText w:val="(%2)"/>
      <w:numFmt w:val="decimal"/>
      <w:start w:val="1"/>
    </w:lvl>
  </w:abstractNum>
  <w:abstractNum w:abstractNumId="210">
    <w:nsid w:val="178F7B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11">
    <w:nsid w:val="2421DFCF"/>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212">
    <w:nsid w:val="1565AC99"/>
    <w:multiLevelType w:val="hybridMultilevel"/>
    <w:lvl w:ilvl="0">
      <w:lvlJc w:val="left"/>
      <w:lvlText w:val="(%1)"/>
      <w:numFmt w:val="lowerLetter"/>
      <w:start w:val="3"/>
    </w:lvl>
    <w:lvl w:ilvl="1">
      <w:lvlJc w:val="left"/>
      <w:lvlText w:val="(%2)"/>
      <w:numFmt w:val="decimal"/>
      <w:start w:val="1"/>
    </w:lvl>
  </w:abstractNum>
  <w:abstractNum w:abstractNumId="213">
    <w:nsid w:val="19FB2650"/>
    <w:multiLevelType w:val="hybridMultilevel"/>
    <w:lvl w:ilvl="0">
      <w:lvlJc w:val="left"/>
      <w:lvlText w:val="%1"/>
      <w:numFmt w:val="decimal"/>
      <w:start w:val="1"/>
    </w:lvl>
    <w:lvl w:ilvl="1">
      <w:lvlJc w:val="left"/>
      <w:lvlText w:val="(%2)"/>
      <w:numFmt w:val="lowerLetter"/>
      <w:start w:val="7"/>
    </w:lvl>
  </w:abstractNum>
  <w:abstractNum w:abstractNumId="214">
    <w:nsid w:val="5024DE5B"/>
    <w:multiLevelType w:val="hybridMultilevel"/>
    <w:lvl w:ilvl="0">
      <w:lvlJc w:val="left"/>
      <w:lvlText w:val="%1."/>
      <w:numFmt w:val="decimal"/>
      <w:start w:val="10"/>
    </w:lvl>
    <w:lvl w:ilvl="1">
      <w:lvlJc w:val="left"/>
      <w:lvlText w:val="(%2)"/>
      <w:numFmt w:val="lowerLetter"/>
      <w:start w:val="1"/>
    </w:lvl>
  </w:abstractNum>
  <w:abstractNum w:abstractNumId="215">
    <w:nsid w:val="168EFE17"/>
    <w:multiLevelType w:val="hybridMultilevel"/>
    <w:lvl w:ilvl="0">
      <w:lvlJc w:val="left"/>
      <w:lvlText w:val="%1"/>
      <w:numFmt w:val="decimal"/>
      <w:start w:val="1"/>
    </w:lvl>
    <w:lvl w:ilvl="1">
      <w:lvlJc w:val="left"/>
      <w:lvlText w:val="(%2)"/>
      <w:numFmt w:val="lowerLetter"/>
      <w:start w:val="5"/>
    </w:lvl>
  </w:abstractNum>
  <w:abstractNum w:abstractNumId="216">
    <w:nsid w:val="1036B29F"/>
    <w:multiLevelType w:val="hybridMultilevel"/>
    <w:lvl w:ilvl="0">
      <w:lvlJc w:val="left"/>
      <w:lvlText w:val="(%1)"/>
      <w:numFmt w:val="decimal"/>
      <w:start w:val="6"/>
    </w:lvl>
    <w:lvl w:ilvl="1">
      <w:lvlJc w:val="left"/>
      <w:lvlText w:val="(%2)"/>
      <w:numFmt w:val="lowerLetter"/>
      <w:start w:val="7"/>
    </w:lvl>
  </w:abstractNum>
  <w:abstractNum w:abstractNumId="217">
    <w:nsid w:val="1D206B8E"/>
    <w:multiLevelType w:val="hybridMultilevel"/>
    <w:lvl w:ilvl="0">
      <w:lvlJc w:val="left"/>
      <w:lvlText w:val="%1."/>
      <w:numFmt w:val="decimal"/>
      <w:start w:val="1"/>
    </w:lvl>
    <w:lvl w:ilvl="1">
      <w:lvlJc w:val="left"/>
      <w:lvlText w:val="(%2)"/>
      <w:numFmt w:val="lowerLetter"/>
      <w:start w:val="1"/>
    </w:lvl>
  </w:abstractNum>
  <w:abstractNum w:abstractNumId="218">
    <w:nsid w:val="7934D3D4"/>
    <w:multiLevelType w:val="hybridMultilevel"/>
    <w:lvl w:ilvl="0">
      <w:lvlJc w:val="left"/>
      <w:lvlText w:val="%1"/>
      <w:numFmt w:val="decimal"/>
      <w:start w:val="1"/>
    </w:lvl>
    <w:lvl w:ilvl="1">
      <w:lvlJc w:val="left"/>
      <w:lvlText w:val="(%2)"/>
      <w:numFmt w:val="lowerLetter"/>
      <w:start w:val="5"/>
    </w:lvl>
  </w:abstractNum>
  <w:abstractNum w:abstractNumId="219">
    <w:nsid w:val="1C65E98"/>
    <w:multiLevelType w:val="hybridMultilevel"/>
    <w:lvl w:ilvl="0">
      <w:lvlJc w:val="left"/>
      <w:lvlText w:val="%1."/>
      <w:numFmt w:val="decimal"/>
      <w:start w:val="2"/>
    </w:lvl>
    <w:lvl w:ilvl="1">
      <w:lvlJc w:val="left"/>
      <w:lvlText w:val="(%2)"/>
      <w:numFmt w:val="lowerLetter"/>
      <w:start w:val="1"/>
    </w:lvl>
  </w:abstractNum>
  <w:abstractNum w:abstractNumId="220">
    <w:nsid w:val="1495E50A"/>
    <w:multiLevelType w:val="hybridMultilevel"/>
    <w:lvl w:ilvl="0">
      <w:lvlJc w:val="left"/>
      <w:lvlText w:val="%1."/>
      <w:numFmt w:val="decimal"/>
      <w:start w:val="1"/>
    </w:lvl>
  </w:abstractNum>
  <w:abstractNum w:abstractNumId="221">
    <w:nsid w:val="F5BCF61"/>
    <w:multiLevelType w:val="hybridMultilevel"/>
    <w:lvl w:ilvl="0">
      <w:lvlJc w:val="left"/>
      <w:lvlText w:val="%1."/>
      <w:numFmt w:val="decimal"/>
      <w:start w:val="2"/>
    </w:lvl>
  </w:abstractNum>
  <w:abstractNum w:abstractNumId="222">
    <w:nsid w:val="3B1DD403"/>
    <w:multiLevelType w:val="hybridMultilevel"/>
    <w:lvl w:ilvl="0">
      <w:lvlJc w:val="left"/>
      <w:lvlText w:val="%1."/>
      <w:numFmt w:val="decimal"/>
      <w:start w:val="3"/>
    </w:lvl>
    <w:lvl w:ilvl="1">
      <w:lvlJc w:val="left"/>
      <w:lvlText w:val="(%2)"/>
      <w:numFmt w:val="lowerLetter"/>
      <w:start w:val="1"/>
    </w:lvl>
  </w:abstractNum>
  <w:abstractNum w:abstractNumId="223">
    <w:nsid w:val="530386D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24">
    <w:nsid w:val="7525F2B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25">
    <w:nsid w:val="CE8E1A7"/>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26">
    <w:nsid w:val="4E9EFB0D"/>
    <w:multiLevelType w:val="hybridMultilevel"/>
    <w:lvl w:ilvl="0">
      <w:lvlJc w:val="left"/>
      <w:lvlText w:val="(%1)"/>
      <w:numFmt w:val="decimal"/>
      <w:start w:val="3"/>
    </w:lvl>
  </w:abstractNum>
  <w:abstractNum w:abstractNumId="227">
    <w:nsid w:val="90802BE"/>
    <w:multiLevelType w:val="hybridMultilevel"/>
    <w:lvl w:ilvl="0">
      <w:lvlJc w:val="left"/>
      <w:lvlText w:val="(%1)"/>
      <w:numFmt w:val="lowerLetter"/>
      <w:start w:val="6"/>
    </w:lvl>
    <w:lvl w:ilvl="1">
      <w:lvlJc w:val="left"/>
      <w:lvlText w:val="(%2)"/>
      <w:numFmt w:val="decimal"/>
      <w:start w:val="1"/>
    </w:lvl>
  </w:abstractNum>
  <w:abstractNum w:abstractNumId="228">
    <w:nsid w:val="3266459B"/>
    <w:multiLevelType w:val="hybridMultilevel"/>
    <w:lvl w:ilvl="0">
      <w:lvlJc w:val="left"/>
      <w:lvlText w:val="%1."/>
      <w:numFmt w:val="decimal"/>
      <w:start w:val="5"/>
    </w:lvl>
  </w:abstractNum>
  <w:abstractNum w:abstractNumId="229">
    <w:nsid w:val="3F8B0CBF"/>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30">
    <w:nsid w:val="37E203AB"/>
    <w:multiLevelType w:val="hybridMultilevel"/>
    <w:lvl w:ilvl="0">
      <w:lvlJc w:val="left"/>
      <w:lvlText w:val="%1."/>
      <w:numFmt w:val="decimal"/>
      <w:start w:val="8"/>
    </w:lvl>
  </w:abstractNum>
  <w:abstractNum w:abstractNumId="231">
    <w:nsid w:val="2586D60E"/>
    <w:multiLevelType w:val="hybridMultilevel"/>
    <w:lvl w:ilvl="0">
      <w:lvlJc w:val="left"/>
      <w:lvlText w:val="1"/>
      <w:numFmt w:val="bullet"/>
      <w:start w:val="1"/>
    </w:lvl>
  </w:abstractNum>
  <w:abstractNum w:abstractNumId="232">
    <w:nsid w:val="1F3DA4D5"/>
    <w:multiLevelType w:val="hybridMultilevel"/>
    <w:lvl w:ilvl="0">
      <w:lvlJc w:val="left"/>
      <w:lvlText w:val="2"/>
      <w:numFmt w:val="bullet"/>
      <w:start w:val="1"/>
    </w:lvl>
  </w:abstractNum>
  <w:abstractNum w:abstractNumId="233">
    <w:nsid w:val="74C93698"/>
    <w:multiLevelType w:val="hybridMultilevel"/>
    <w:lvl w:ilvl="0">
      <w:lvlJc w:val="left"/>
      <w:lvlText w:val="3"/>
      <w:numFmt w:val="bullet"/>
      <w:start w:val="1"/>
    </w:lvl>
  </w:abstractNum>
  <w:abstractNum w:abstractNumId="234">
    <w:nsid w:val="48781401"/>
    <w:multiLevelType w:val="hybridMultilevel"/>
    <w:lvl w:ilvl="0">
      <w:lvlJc w:val="left"/>
      <w:lvlText w:val="4"/>
      <w:numFmt w:val="bullet"/>
      <w:start w:val="1"/>
    </w:lvl>
  </w:abstractNum>
  <w:abstractNum w:abstractNumId="235">
    <w:nsid w:val="186928D6"/>
    <w:multiLevelType w:val="hybridMultilevel"/>
    <w:lvl w:ilvl="0">
      <w:lvlJc w:val="left"/>
      <w:lvlText w:val="5"/>
      <w:numFmt w:val="bullet"/>
      <w:start w:val="1"/>
    </w:lvl>
  </w:abstractNum>
  <w:abstractNum w:abstractNumId="236">
    <w:nsid w:val="47195E5"/>
    <w:multiLevelType w:val="hybridMultilevel"/>
    <w:lvl w:ilvl="0">
      <w:lvlJc w:val="left"/>
      <w:lvlText w:val="6"/>
      <w:numFmt w:val="bullet"/>
      <w:start w:val="1"/>
    </w:lvl>
  </w:abstractNum>
  <w:abstractNum w:abstractNumId="237">
    <w:nsid w:val="3746A5F2"/>
    <w:multiLevelType w:val="hybridMultilevel"/>
    <w:lvl w:ilvl="0">
      <w:lvlJc w:val="left"/>
      <w:lvlText w:val="7"/>
      <w:numFmt w:val="bullet"/>
      <w:start w:val="1"/>
    </w:lvl>
  </w:abstractNum>
  <w:abstractNum w:abstractNumId="238">
    <w:nsid w:val="682DFED6"/>
    <w:multiLevelType w:val="hybridMultilevel"/>
    <w:lvl w:ilvl="0">
      <w:lvlJc w:val="left"/>
      <w:lvlText w:val="8"/>
      <w:numFmt w:val="bullet"/>
      <w:start w:val="1"/>
    </w:lvl>
  </w:abstractNum>
  <w:abstractNum w:abstractNumId="239">
    <w:nsid w:val="606ED7F6"/>
    <w:multiLevelType w:val="hybridMultilevel"/>
    <w:lvl w:ilvl="0">
      <w:lvlJc w:val="left"/>
      <w:lvlText w:val="9"/>
      <w:numFmt w:val="bullet"/>
      <w:start w:val="1"/>
    </w:lvl>
  </w:abstractNum>
  <w:abstractNum w:abstractNumId="240">
    <w:nsid w:val="2D9DF57D"/>
    <w:multiLevelType w:val="hybridMultilevel"/>
    <w:lvl w:ilvl="0">
      <w:lvlJc w:val="left"/>
      <w:lvlText w:val="%1"/>
      <w:numFmt w:val="decimal"/>
      <w:start w:val="10"/>
    </w:lvl>
  </w:abstractNum>
  <w:abstractNum w:abstractNumId="241">
    <w:nsid w:val="7FBD7A3E"/>
    <w:multiLevelType w:val="hybridMultilevel"/>
    <w:lvl w:ilvl="0">
      <w:lvlJc w:val="left"/>
      <w:lvlText w:val="%1."/>
      <w:numFmt w:val="decimal"/>
      <w:start w:val="1"/>
    </w:lvl>
  </w:abstractNum>
  <w:abstractNum w:abstractNumId="242">
    <w:nsid w:val="490B7C5"/>
    <w:multiLevelType w:val="hybridMultilevel"/>
    <w:lvl w:ilvl="0">
      <w:lvlJc w:val="left"/>
      <w:lvlText w:val="•"/>
      <w:numFmt w:val="bullet"/>
      <w:start w:val="1"/>
    </w:lvl>
  </w:abstractNum>
  <w:abstractNum w:abstractNumId="243">
    <w:nsid w:val="4303A216"/>
    <w:multiLevelType w:val="hybridMultilevel"/>
    <w:lvl w:ilvl="0">
      <w:lvlJc w:val="left"/>
      <w:lvlText w:val="(%1)"/>
      <w:numFmt w:val="lowerLetter"/>
      <w:start w:val="1"/>
    </w:lvl>
    <w:lvl w:ilvl="1">
      <w:lvlJc w:val="left"/>
      <w:lvlText w:val="(%2)"/>
      <w:numFmt w:val="lowerRoman"/>
      <w:start w:val="1"/>
    </w:lvl>
  </w:abstractNum>
  <w:abstractNum w:abstractNumId="244">
    <w:nsid w:val="19B8A08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245">
    <w:nsid w:val="54B59621"/>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246">
    <w:nsid w:val="5992A02E"/>
    <w:multiLevelType w:val="hybridMultilevel"/>
    <w:lvl w:ilvl="0">
      <w:lvlJc w:val="left"/>
      <w:lvlText w:val="(%1)"/>
      <w:numFmt w:val="lowerRoman"/>
      <w:start w:val="2"/>
    </w:lvl>
  </w:abstractNum>
  <w:abstractNum w:abstractNumId="247">
    <w:nsid w:val="29EF532D"/>
    <w:multiLevelType w:val="hybridMultilevel"/>
    <w:lvl w:ilvl="0">
      <w:lvlJc w:val="left"/>
      <w:lvlText w:val="(%1)"/>
      <w:numFmt w:val="lowerLetter"/>
      <w:start w:val="1"/>
    </w:lvl>
  </w:abstractNum>
  <w:abstractNum w:abstractNumId="248">
    <w:nsid w:val="71D601AF"/>
    <w:multiLevelType w:val="hybridMultilevel"/>
    <w:lvl w:ilvl="0">
      <w:lvlJc w:val="left"/>
      <w:lvlText w:val="(%1)"/>
      <w:numFmt w:val="lowerLetter"/>
      <w:start w:val="1"/>
    </w:lvl>
  </w:abstractNum>
  <w:abstractNum w:abstractNumId="249">
    <w:nsid w:val="52C77402"/>
    <w:multiLevelType w:val="hybridMultilevel"/>
    <w:lvl w:ilvl="0">
      <w:lvlJc w:val="left"/>
      <w:lvlText w:val="(%1)"/>
      <w:numFmt w:val="lowerLetter"/>
      <w:start w:val="1"/>
    </w:lvl>
    <w:lvl w:ilvl="1">
      <w:lvlJc w:val="left"/>
      <w:lvlText w:val="(%2)"/>
      <w:numFmt w:val="lowerRoman"/>
      <w:start w:val="1"/>
    </w:lvl>
  </w:abstractNum>
  <w:abstractNum w:abstractNumId="250">
    <w:nsid w:val="2BB5B1C6"/>
    <w:multiLevelType w:val="hybridMultilevel"/>
    <w:lvl w:ilvl="0">
      <w:lvlJc w:val="left"/>
      <w:lvlText w:val="(%1)"/>
      <w:numFmt w:val="lowerLetter"/>
      <w:start w:val="1"/>
    </w:lvl>
  </w:abstractNum>
  <w:abstractNum w:abstractNumId="251">
    <w:nsid w:val="66BE6B9"/>
    <w:multiLevelType w:val="hybridMultilevel"/>
    <w:lvl w:ilvl="0">
      <w:lvlJc w:val="left"/>
      <w:lvlText w:val="(%1)"/>
      <w:numFmt w:val="lowerRoman"/>
      <w:start w:val="1"/>
    </w:lvl>
  </w:abstractNum>
  <w:abstractNum w:abstractNumId="252">
    <w:nsid w:val="62234363"/>
    <w:multiLevelType w:val="hybridMultilevel"/>
    <w:lvl w:ilvl="0">
      <w:lvlJc w:val="left"/>
      <w:lvlText w:val="(%1)"/>
      <w:numFmt w:val="lowerRoman"/>
      <w:start w:val="1"/>
    </w:lvl>
  </w:abstractNum>
  <w:abstractNum w:abstractNumId="253">
    <w:nsid w:val="66D385C9"/>
    <w:multiLevelType w:val="hybridMultilevel"/>
    <w:lvl w:ilvl="0">
      <w:lvlJc w:val="left"/>
      <w:lvlText w:val="(%1)"/>
      <w:numFmt w:val="lowerLetter"/>
      <w:start w:val="1"/>
    </w:lvl>
    <w:lvl w:ilvl="1">
      <w:lvlJc w:val="left"/>
      <w:lvlText w:val="%2."/>
      <w:numFmt w:val="decimal"/>
      <w:start w:val="1"/>
    </w:lvl>
  </w:abstractNum>
  <w:abstractNum w:abstractNumId="254">
    <w:nsid w:val="596F6D8A"/>
    <w:multiLevelType w:val="hybridMultilevel"/>
    <w:lvl w:ilvl="0">
      <w:lvlJc w:val="left"/>
      <w:lvlText w:val="(%1)"/>
      <w:numFmt w:val="lowerRoman"/>
      <w:start w:val="1"/>
    </w:lvl>
  </w:abstractNum>
  <w:abstractNum w:abstractNumId="255">
    <w:nsid w:val="5749361F"/>
    <w:multiLevelType w:val="hybridMultilevel"/>
    <w:lvl w:ilvl="0">
      <w:lvlJc w:val="left"/>
      <w:lvlText w:val="(%1)"/>
      <w:numFmt w:val="lowerLetter"/>
      <w:start w:val="1"/>
    </w:lvl>
    <w:lvl w:ilvl="1">
      <w:lvlJc w:val="left"/>
      <w:lvlText w:val="(%2)"/>
      <w:numFmt w:val="lowerRoman"/>
      <w:start w:val="1"/>
    </w:lvl>
  </w:abstractNum>
  <w:abstractNum w:abstractNumId="256">
    <w:nsid w:val="73BC6770"/>
    <w:multiLevelType w:val="hybridMultilevel"/>
    <w:lvl w:ilvl="0">
      <w:lvlJc w:val="left"/>
      <w:lvlText w:val="[***]"/>
      <w:numFmt w:val="bullet"/>
      <w:start w:val="1"/>
    </w:lvl>
    <w:lvl w:ilvl="1">
      <w:lvlJc w:val="left"/>
      <w:lvlText w:val="(%2)"/>
      <w:numFmt w:val="lowerLetter"/>
      <w:start w:val="1"/>
    </w:lvl>
  </w:abstractNum>
  <w:abstractNum w:abstractNumId="257">
    <w:nsid w:val="280E6897"/>
    <w:multiLevelType w:val="hybridMultilevel"/>
    <w:lvl w:ilvl="0">
      <w:lvlJc w:val="left"/>
      <w:lvlText w:val="(%1)"/>
      <w:numFmt w:val="upperLetter"/>
      <w:start w:val="1"/>
    </w:lvl>
    <w:lvl w:ilvl="1">
      <w:lvlJc w:val="left"/>
      <w:lvlText w:val="(%2)"/>
      <w:numFmt w:val="lowerRoman"/>
      <w:start w:val="1"/>
    </w:lvl>
  </w:abstractNum>
  <w:abstractNum w:abstractNumId="258">
    <w:nsid w:val="605138DE"/>
    <w:multiLevelType w:val="hybridMultilevel"/>
    <w:lvl w:ilvl="0">
      <w:lvlJc w:val="left"/>
      <w:lvlText w:val="%1"/>
      <w:numFmt w:val="upperLetter"/>
      <w:start w:val="1"/>
    </w:lvl>
    <w:lvl w:ilvl="1">
      <w:lvlJc w:val="left"/>
      <w:lvlText w:val="(%2)"/>
      <w:numFmt w:val="lowerRoman"/>
      <w:start w:val="2"/>
    </w:lvl>
  </w:abstractNum>
  <w:abstractNum w:abstractNumId="259">
    <w:nsid w:val="2622AD0C"/>
    <w:multiLevelType w:val="hybridMultilevel"/>
    <w:lvl w:ilvl="0">
      <w:lvlJc w:val="left"/>
      <w:lvlText w:val="(%1)"/>
      <w:numFmt w:val="upperLetter"/>
      <w:start w:val="2"/>
    </w:lvl>
    <w:lvl w:ilvl="1">
      <w:lvlJc w:val="left"/>
      <w:lvlText w:val="%2"/>
      <w:numFmt w:val="lowerRoman"/>
      <w:start w:val="1"/>
    </w:lvl>
  </w:abstractNum>
  <w:abstractNum w:abstractNumId="260">
    <w:nsid w:val="67997556"/>
    <w:multiLevelType w:val="hybridMultilevel"/>
    <w:lvl w:ilvl="0">
      <w:lvlJc w:val="left"/>
      <w:lvlText w:val="%1"/>
      <w:numFmt w:val="upperLetter"/>
      <w:start w:val="1"/>
    </w:lvl>
    <w:lvl w:ilvl="1">
      <w:lvlJc w:val="left"/>
      <w:lvlText w:val="(%2)"/>
      <w:numFmt w:val="upperLetter"/>
      <w:start w:val="3"/>
    </w:lvl>
  </w:abstractNum>
  <w:abstractNum w:abstractNumId="261">
    <w:nsid w:val="18333C89"/>
    <w:multiLevelType w:val="hybridMultilevel"/>
    <w:lvl w:ilvl="0">
      <w:lvlJc w:val="left"/>
      <w:lvlText w:val="(%1)"/>
      <w:numFmt w:val="upperLetter"/>
      <w:start w:val="4"/>
    </w:lvl>
    <w:lvl w:ilvl="1">
      <w:lvlJc w:val="left"/>
      <w:lvlText w:val="%2"/>
      <w:numFmt w:val="upperLetter"/>
      <w:start w:val="1"/>
    </w:lvl>
  </w:abstractNum>
  <w:abstractNum w:abstractNumId="262">
    <w:nsid w:val="4BA9831A"/>
    <w:multiLevelType w:val="hybridMultilevel"/>
    <w:lvl w:ilvl="0">
      <w:lvlJc w:val="left"/>
      <w:lvlText w:val="(%1)"/>
      <w:numFmt w:val="upperLetter"/>
      <w:start w:val="5"/>
    </w:lvl>
  </w:abstractNum>
  <w:abstractNum w:abstractNumId="263">
    <w:nsid w:val="6D71A2B"/>
    <w:multiLevelType w:val="hybridMultilevel"/>
    <w:lvl w:ilvl="0">
      <w:lvlJc w:val="left"/>
      <w:lvlText w:val="(%1)"/>
      <w:numFmt w:val="lowerRoman"/>
      <w:start w:val="1"/>
    </w:lvl>
  </w:abstractNum>
  <w:abstractNum w:abstractNumId="264">
    <w:nsid w:val="CFC7321"/>
    <w:multiLevelType w:val="hybridMultilevel"/>
    <w:lvl w:ilvl="0">
      <w:lvlJc w:val="left"/>
      <w:lvlText w:val="(%1)"/>
      <w:numFmt w:val="lowerRoman"/>
      <w:start w:val="3"/>
    </w:lvl>
  </w:abstractNum>
  <w:abstractNum w:abstractNumId="265">
    <w:nsid w:val="1421971B"/>
    <w:multiLevelType w:val="hybridMultilevel"/>
    <w:lvl w:ilvl="0">
      <w:lvlJc w:val="left"/>
      <w:lvlText w:val="(%1)"/>
      <w:numFmt w:val="upperLetter"/>
      <w:start w:val="6"/>
    </w:lvl>
  </w:abstractNum>
  <w:abstractNum w:abstractNumId="266">
    <w:nsid w:val="1F404301"/>
    <w:multiLevelType w:val="hybridMultilevel"/>
    <w:lvl w:ilvl="0">
      <w:lvlJc w:val="left"/>
      <w:lvlText w:val="(%1)"/>
      <w:numFmt w:val="lowerLetter"/>
      <w:start w:val="2"/>
    </w:lvl>
  </w:abstractNum>
  <w:abstractNum w:abstractNumId="267">
    <w:nsid w:val="116E0907"/>
    <w:multiLevelType w:val="hybridMultilevel"/>
    <w:lvl w:ilvl="0">
      <w:lvlJc w:val="left"/>
      <w:lvlText w:val="(%1)"/>
      <w:numFmt w:val="lowerLetter"/>
      <w:start w:val="1"/>
    </w:lvl>
  </w:abstractNum>
  <w:abstractNum w:abstractNumId="268">
    <w:nsid w:val="4B683D0D"/>
    <w:multiLevelType w:val="hybridMultilevel"/>
    <w:lvl w:ilvl="0">
      <w:lvlJc w:val="left"/>
      <w:lvlText w:val="[***]"/>
      <w:numFmt w:val="bullet"/>
      <w:start w:val="1"/>
    </w:lvl>
  </w:abstractNum>
  <w:abstractNum w:abstractNumId="269">
    <w:nsid w:val="76E41D8"/>
    <w:multiLevelType w:val="hybridMultilevel"/>
    <w:lvl w:ilvl="0">
      <w:lvlJc w:val="left"/>
      <w:lvlText w:val="(%1)"/>
      <w:numFmt w:val="lowerLetter"/>
      <w:start w:val="1"/>
    </w:lvl>
  </w:abstractNum>
  <w:abstractNum w:abstractNumId="270">
    <w:nsid w:val="71DCE0FD"/>
    <w:multiLevelType w:val="hybridMultilevel"/>
    <w:lvl w:ilvl="0">
      <w:lvlJc w:val="left"/>
      <w:lvlText w:val="[***]"/>
      <w:numFmt w:val="bullet"/>
      <w:start w:val="1"/>
    </w:lvl>
  </w:abstractNum>
  <w:abstractNum w:abstractNumId="271">
    <w:nsid w:val="7906328B"/>
    <w:multiLevelType w:val="hybridMultilevel"/>
    <w:lvl w:ilvl="0">
      <w:lvlJc w:val="left"/>
      <w:lvlText w:val="(%1)"/>
      <w:numFmt w:val="lowerLetter"/>
      <w:start w:val="1"/>
    </w:lvl>
    <w:lvl w:ilvl="1">
      <w:lvlJc w:val="left"/>
      <w:lvlText w:val="(%2)"/>
      <w:numFmt w:val="lowerLetter"/>
      <w:start w:val="35"/>
    </w:lvl>
  </w:abstractNum>
  <w:abstractNum w:abstractNumId="272">
    <w:nsid w:val="72BBC16"/>
    <w:multiLevelType w:val="hybridMultilevel"/>
    <w:lvl w:ilvl="0">
      <w:lvlJc w:val="left"/>
      <w:lvlText w:val="(%1)"/>
      <w:numFmt w:val="lowerLetter"/>
      <w:start w:val="1"/>
    </w:lvl>
  </w:abstractNum>
  <w:abstractNum w:abstractNumId="273">
    <w:nsid w:val="766D98C2"/>
    <w:multiLevelType w:val="hybridMultilevel"/>
    <w:lvl w:ilvl="0">
      <w:lvlJc w:val="left"/>
      <w:lvlText w:val="(%1)"/>
      <w:numFmt w:val="lowerLetter"/>
      <w:start w:val="1"/>
    </w:lvl>
  </w:abstractNum>
  <w:abstractNum w:abstractNumId="274">
    <w:nsid w:val="3C09D4A1"/>
    <w:multiLevelType w:val="hybridMultilevel"/>
    <w:lvl w:ilvl="0">
      <w:lvlJc w:val="left"/>
      <w:lvlText w:val="(%1)"/>
      <w:numFmt w:val="lowerLetter"/>
      <w:start w:val="2"/>
    </w:lvl>
  </w:abstractNum>
  <w:abstractNum w:abstractNumId="275">
    <w:nsid w:val="20E45CA4"/>
    <w:multiLevelType w:val="hybridMultilevel"/>
    <w:lvl w:ilvl="0">
      <w:lvlJc w:val="left"/>
      <w:lvlText w:val="(%1)"/>
      <w:numFmt w:val="lowerLetter"/>
      <w:start w:val="1"/>
    </w:lvl>
  </w:abstractNum>
  <w:abstractNum w:abstractNumId="276">
    <w:nsid w:val="4B232EE3"/>
    <w:multiLevelType w:val="hybridMultilevel"/>
    <w:lvl w:ilvl="0">
      <w:lvlJc w:val="left"/>
      <w:lvlText w:val="(%1)"/>
      <w:numFmt w:val="lowerLetter"/>
      <w:start w:val="1"/>
    </w:lvl>
  </w:abstractNum>
  <w:abstractNum w:abstractNumId="277">
    <w:nsid w:val="159C74CF"/>
    <w:multiLevelType w:val="hybridMultilevel"/>
    <w:lvl w:ilvl="0">
      <w:lvlJc w:val="left"/>
      <w:lvlText w:val="(%1)"/>
      <w:numFmt w:val="lowerRoman"/>
      <w:start w:val="2"/>
    </w:lvl>
  </w:abstractNum>
  <w:abstractNum w:abstractNumId="278">
    <w:nsid w:val="4AD3AFD2"/>
    <w:multiLevelType w:val="hybridMultilevel"/>
    <w:lvl w:ilvl="0">
      <w:lvlJc w:val="left"/>
      <w:lvlText w:val="%1."/>
      <w:numFmt w:val="decimal"/>
      <w:start w:val="1"/>
    </w:lvl>
  </w:abstractNum>
  <w:abstractNum w:abstractNumId="279">
    <w:nsid w:val="3CF93092"/>
    <w:multiLevelType w:val="hybridMultilevel"/>
    <w:lvl w:ilvl="0">
      <w:lvlJc w:val="left"/>
      <w:lvlText w:val="%1."/>
      <w:numFmt w:val="decimal"/>
      <w:start w:val="1"/>
    </w:lvl>
  </w:abstractNum>
  <w:abstractNum w:abstractNumId="280">
    <w:nsid w:val="6863E8D2"/>
    <w:multiLevelType w:val="hybridMultilevel"/>
    <w:lvl w:ilvl="0">
      <w:lvlJc w:val="left"/>
      <w:lvlText w:val="%1."/>
      <w:numFmt w:val="decimal"/>
      <w:start w:val="5"/>
    </w:lvl>
  </w:abstractNum>
  <w:abstractNum w:abstractNumId="281">
    <w:nsid w:val="76896198"/>
    <w:multiLevelType w:val="hybridMultilevel"/>
    <w:lvl w:ilvl="0">
      <w:lvlJc w:val="left"/>
      <w:lvlText w:val="%1."/>
      <w:numFmt w:val="decimal"/>
      <w:start w:val="1"/>
    </w:lvl>
  </w:abstractNum>
  <w:abstractNum w:abstractNumId="282">
    <w:nsid w:val="4365174B"/>
    <w:multiLevelType w:val="hybridMultilevel"/>
    <w:lvl w:ilvl="0">
      <w:lvlJc w:val="left"/>
      <w:lvlText w:val="%1."/>
      <w:numFmt w:val="decimal"/>
      <w:start w:val="1"/>
    </w:lvl>
  </w:abstractNum>
  <w:abstractNum w:abstractNumId="283">
    <w:nsid w:val="4A872C35"/>
    <w:multiLevelType w:val="hybridMultilevel"/>
    <w:lvl w:ilvl="0">
      <w:lvlJc w:val="left"/>
      <w:lvlText w:val="[***]"/>
      <w:numFmt w:val="bullet"/>
      <w:start w:val="1"/>
    </w:lvl>
  </w:abstractNum>
  <w:abstractNum w:abstractNumId="284">
    <w:nsid w:val="5D5CE761"/>
    <w:multiLevelType w:val="hybridMultilevel"/>
    <w:lvl w:ilvl="0">
      <w:lvlJc w:val="left"/>
      <w:lvlText w:val="(%1)"/>
      <w:numFmt w:val="lowerLetter"/>
      <w:start w:val="1"/>
    </w:lvl>
  </w:abstractNum>
  <w:abstractNum w:abstractNumId="285">
    <w:nsid w:val="1CD484D5"/>
    <w:multiLevelType w:val="hybridMultilevel"/>
    <w:lvl w:ilvl="0">
      <w:lvlJc w:val="left"/>
      <w:lvlText w:val="(%1)"/>
      <w:numFmt w:val="lowerLetter"/>
      <w:start w:val="1"/>
    </w:lvl>
  </w:abstractNum>
  <w:abstractNum w:abstractNumId="286">
    <w:nsid w:val="21D06255"/>
    <w:multiLevelType w:val="hybridMultilevel"/>
    <w:lvl w:ilvl="0">
      <w:lvlJc w:val="left"/>
      <w:lvlText w:val="(%1)"/>
      <w:numFmt w:val="lowerLetter"/>
      <w:start w:val="1"/>
    </w:lvl>
  </w:abstractNum>
  <w:abstractNum w:abstractNumId="287">
    <w:nsid w:val="51194ED1"/>
    <w:multiLevelType w:val="hybridMultilevel"/>
    <w:lvl w:ilvl="0">
      <w:lvlJc w:val="left"/>
      <w:lvlText w:val="(%1)"/>
      <w:numFmt w:val="lowerLetter"/>
      <w:start w:val="3"/>
    </w:lvl>
  </w:abstractNum>
  <w:abstractNum w:abstractNumId="288">
    <w:nsid w:val="44E2ED6C"/>
    <w:multiLevelType w:val="hybridMultilevel"/>
    <w:lvl w:ilvl="0">
      <w:lvlJc w:val="left"/>
      <w:lvlText w:val="(%1)"/>
      <w:numFmt w:val="lowerLetter"/>
      <w:start w:val="1"/>
    </w:lvl>
  </w:abstractNum>
  <w:abstractNum w:abstractNumId="289">
    <w:nsid w:val="2219B33"/>
    <w:multiLevelType w:val="hybridMultilevel"/>
    <w:lvl w:ilvl="0">
      <w:lvlJc w:val="left"/>
      <w:lvlText w:val="[***]"/>
      <w:numFmt w:val="bullet"/>
      <w:start w:val="1"/>
    </w:lvl>
    <w:lvl w:ilvl="1">
      <w:lvlJc w:val="left"/>
      <w:lvlText w:val="(%2)"/>
      <w:numFmt w:val="lowerLetter"/>
      <w:start w:val="1"/>
    </w:lvl>
  </w:abstractNum>
  <w:abstractNum w:abstractNumId="290">
    <w:nsid w:val="773BFBDD"/>
    <w:multiLevelType w:val="hybridMultilevel"/>
    <w:lvl w:ilvl="0">
      <w:lvlJc w:val="left"/>
      <w:lvlText w:val="(%1)"/>
      <w:numFmt w:val="lowerLetter"/>
      <w:start w:val="3"/>
    </w:lvl>
  </w:abstractNum>
  <w:abstractNum w:abstractNumId="291">
    <w:nsid w:val="2C7C62C2"/>
    <w:multiLevelType w:val="hybridMultilevel"/>
    <w:lvl w:ilvl="0">
      <w:lvlJc w:val="left"/>
      <w:lvlText w:val="(%1)"/>
      <w:numFmt w:val="lowerLetter"/>
      <w:start w:val="1"/>
    </w:lvl>
  </w:abstractNum>
  <w:abstractNum w:abstractNumId="292">
    <w:nsid w:val="1A54D7BC"/>
    <w:multiLevelType w:val="hybridMultilevel"/>
    <w:lvl w:ilvl="0">
      <w:lvlJc w:val="left"/>
      <w:lvlText w:val="(%1)"/>
      <w:numFmt w:val="lowerLetter"/>
      <w:start w:val="1"/>
    </w:lvl>
  </w:abstractNum>
  <w:abstractNum w:abstractNumId="293">
    <w:nsid w:val="42E57EF7"/>
    <w:multiLevelType w:val="hybridMultilevel"/>
    <w:lvl w:ilvl="0">
      <w:lvlJc w:val="left"/>
      <w:lvlText w:val="(%1)"/>
      <w:numFmt w:val="lowerLetter"/>
      <w:start w:val="3"/>
    </w:lvl>
    <w:lvl w:ilvl="1">
      <w:lvlJc w:val="left"/>
      <w:lvlText w:val="(%2)"/>
      <w:numFmt w:val="lowerRoman"/>
      <w:start w:val="1"/>
    </w:lvl>
  </w:abstractNum>
  <w:abstractNum w:abstractNumId="294">
    <w:nsid w:val="33537CED"/>
    <w:multiLevelType w:val="hybridMultilevel"/>
    <w:lvl w:ilvl="0">
      <w:lvlJc w:val="left"/>
      <w:lvlText w:val="(%1)"/>
      <w:numFmt w:val="lowerRoman"/>
      <w:start w:val="6"/>
    </w:lvl>
  </w:abstractNum>
  <w:abstractNum w:abstractNumId="295">
    <w:nsid w:val="27514ADE"/>
    <w:multiLevelType w:val="hybridMultilevel"/>
    <w:lvl w:ilvl="0">
      <w:lvlJc w:val="left"/>
      <w:lvlText w:val="(%1)"/>
      <w:numFmt w:val="lowerRoman"/>
      <w:start w:val="7"/>
    </w:lvl>
  </w:abstractNum>
  <w:abstractNum w:abstractNumId="296">
    <w:nsid w:val="57071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97">
    <w:nsid w:val="5293BFE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8">
    <w:nsid w:val="38BF53E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99">
    <w:nsid w:val="226F5320"/>
    <w:multiLevelType w:val="hybridMultilevel"/>
    <w:lvl w:ilvl="0">
      <w:lvlJc w:val="left"/>
      <w:lvlText w:val="(%1)"/>
      <w:numFmt w:val="lowerLetter"/>
      <w:start w:val="8"/>
    </w:lvl>
  </w:abstractNum>
  <w:abstractNum w:abstractNumId="300">
    <w:nsid w:val="5A0201C7"/>
    <w:multiLevelType w:val="hybridMultilevel"/>
    <w:lvl w:ilvl="0">
      <w:lvlJc w:val="left"/>
      <w:lvlText w:val="(%1)"/>
      <w:numFmt w:val="lowerLetter"/>
      <w:start w:val="1"/>
    </w:lvl>
  </w:abstractNum>
  <w:abstractNum w:abstractNumId="301">
    <w:nsid w:val="2A9C34E2"/>
    <w:multiLevelType w:val="hybridMultilevel"/>
    <w:lvl w:ilvl="0">
      <w:lvlJc w:val="left"/>
      <w:lvlText w:val="(%1)"/>
      <w:numFmt w:val="lowerLetter"/>
      <w:start w:val="3"/>
    </w:lvl>
  </w:abstractNum>
  <w:abstractNum w:abstractNumId="302">
    <w:nsid w:val="1B7585AB"/>
    <w:multiLevelType w:val="hybridMultilevel"/>
    <w:lvl w:ilvl="0">
      <w:lvlJc w:val="left"/>
      <w:lvlText w:val="(%1)"/>
      <w:numFmt w:val="lowerLetter"/>
      <w:start w:val="1"/>
    </w:lvl>
  </w:abstractNum>
  <w:abstractNum w:abstractNumId="303">
    <w:nsid w:val="612DBDDD"/>
    <w:multiLevelType w:val="hybridMultilevel"/>
    <w:lvl w:ilvl="0">
      <w:lvlJc w:val="left"/>
      <w:lvlText w:val="(%1)"/>
      <w:numFmt w:val="lowerLetter"/>
      <w:start w:val="1"/>
    </w:lvl>
  </w:abstractNum>
  <w:abstractNum w:abstractNumId="304">
    <w:nsid w:val="2109CDA4"/>
    <w:multiLevelType w:val="hybridMultilevel"/>
    <w:lvl w:ilvl="0">
      <w:lvlJc w:val="left"/>
      <w:lvlText w:val="(%1)"/>
      <w:numFmt w:val="lowerLetter"/>
      <w:start w:val="1"/>
    </w:lvl>
  </w:abstractNum>
  <w:abstractNum w:abstractNumId="305">
    <w:nsid w:val="577F5A4D"/>
    <w:multiLevelType w:val="hybridMultilevel"/>
    <w:lvl w:ilvl="0">
      <w:lvlJc w:val="left"/>
      <w:lvlText w:val="(%1)"/>
      <w:numFmt w:val="lowerLetter"/>
      <w:start w:val="1"/>
    </w:lvl>
  </w:abstractNum>
  <w:abstractNum w:abstractNumId="306">
    <w:nsid w:val="2121A81"/>
    <w:multiLevelType w:val="hybridMultilevel"/>
    <w:lvl w:ilvl="0">
      <w:lvlJc w:val="left"/>
      <w:lvlText w:val="(%1)"/>
      <w:numFmt w:val="lowerLetter"/>
      <w:start w:val="2"/>
    </w:lvl>
  </w:abstractNum>
  <w:abstractNum w:abstractNumId="307">
    <w:nsid w:val="6C2CFC88"/>
    <w:multiLevelType w:val="hybridMultilevel"/>
    <w:lvl w:ilvl="0">
      <w:lvlJc w:val="left"/>
      <w:lvlText w:val="(%1)"/>
      <w:numFmt w:val="lowerLetter"/>
      <w:start w:val="1"/>
    </w:lvl>
  </w:abstractNum>
  <w:abstractNum w:abstractNumId="308">
    <w:nsid w:val="6D1BCF1C"/>
    <w:multiLevelType w:val="hybridMultilevel"/>
    <w:lvl w:ilvl="0">
      <w:lvlJc w:val="left"/>
      <w:lvlText w:val="(%1)"/>
      <w:numFmt w:val="lowerLetter"/>
      <w:start w:val="2"/>
    </w:lvl>
  </w:abstractNum>
  <w:abstractNum w:abstractNumId="309">
    <w:nsid w:val="4CE5CA53"/>
    <w:multiLevelType w:val="hybridMultilevel"/>
    <w:lvl w:ilvl="0">
      <w:lvlJc w:val="left"/>
      <w:lvlText w:val="(%1)"/>
      <w:numFmt w:val="lowerLetter"/>
      <w:start w:val="1"/>
    </w:lvl>
  </w:abstractNum>
  <w:abstractNum w:abstractNumId="310">
    <w:nsid w:val="29262D1A"/>
    <w:multiLevelType w:val="hybridMultilevel"/>
    <w:lvl w:ilvl="0">
      <w:lvlJc w:val="left"/>
      <w:lvlText w:val="(%1)"/>
      <w:numFmt w:val="lowerLetter"/>
      <w:start w:val="2"/>
    </w:lvl>
  </w:abstractNum>
  <w:abstractNum w:abstractNumId="311">
    <w:nsid w:val="557FB7EE"/>
    <w:multiLevelType w:val="hybridMultilevel"/>
    <w:lvl w:ilvl="0">
      <w:lvlJc w:val="left"/>
      <w:lvlText w:val="(%1)"/>
      <w:numFmt w:val="lowerLetter"/>
      <w:start w:val="1"/>
    </w:lvl>
  </w:abstractNum>
  <w:abstractNum w:abstractNumId="312">
    <w:nsid w:val="436F2BEB"/>
    <w:multiLevelType w:val="hybridMultilevel"/>
    <w:lvl w:ilvl="0">
      <w:lvlJc w:val="left"/>
      <w:lvlText w:val="(%1)"/>
      <w:numFmt w:val="lowerLetter"/>
      <w:start w:val="5"/>
    </w:lvl>
    <w:lvl w:ilvl="1">
      <w:lvlJc w:val="left"/>
      <w:lvlText w:val="(%2)"/>
      <w:numFmt w:val="lowerRoman"/>
      <w:start w:val="1"/>
    </w:lvl>
  </w:abstractNum>
  <w:abstractNum w:abstractNumId="313">
    <w:nsid w:val="6C8B4466"/>
    <w:multiLevelType w:val="hybridMultilevel"/>
    <w:lvl w:ilvl="0">
      <w:lvlJc w:val="left"/>
      <w:lvlText w:val="(%1)"/>
      <w:numFmt w:val="lowerRoman"/>
      <w:start w:val="7"/>
    </w:lvl>
  </w:abstractNum>
  <w:abstractNum w:abstractNumId="314">
    <w:nsid w:val="2006E424"/>
    <w:multiLevelType w:val="hybridMultilevel"/>
    <w:lvl w:ilvl="0">
      <w:lvlJc w:val="left"/>
      <w:lvlText w:val="(%1)"/>
      <w:numFmt w:val="lowerLetter"/>
      <w:start w:val="1"/>
    </w:lvl>
  </w:abstractNum>
  <w:abstractNum w:abstractNumId="315">
    <w:nsid w:val="20CC134C"/>
    <w:multiLevelType w:val="hybridMultilevel"/>
    <w:lvl w:ilvl="0">
      <w:lvlJc w:val="left"/>
      <w:lvlText w:val="(%1)"/>
      <w:numFmt w:val="lowerLetter"/>
      <w:start w:val="1"/>
    </w:lvl>
  </w:abstractNum>
  <w:abstractNum w:abstractNumId="316">
    <w:nsid w:val="95FC93B"/>
    <w:multiLevelType w:val="hybridMultilevel"/>
    <w:lvl w:ilvl="0">
      <w:lvlJc w:val="left"/>
      <w:lvlText w:val="(%1)"/>
      <w:numFmt w:val="lowerLetter"/>
      <w:start w:val="3"/>
    </w:lvl>
  </w:abstractNum>
  <w:abstractNum w:abstractNumId="317">
    <w:nsid w:val="41D7467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18">
    <w:nsid w:val="71E5621E"/>
    <w:multiLevelType w:val="hybridMultilevel"/>
    <w:lvl w:ilvl="0">
      <w:lvlJc w:val="left"/>
      <w:lvlText w:val="(%1)"/>
      <w:numFmt w:val="lowerRoman"/>
      <w:start w:val="3"/>
    </w:lvl>
  </w:abstractNum>
  <w:abstractNum w:abstractNumId="319">
    <w:nsid w:val="4E42B6A8"/>
    <w:multiLevelType w:val="hybridMultilevel"/>
    <w:lvl w:ilvl="0">
      <w:lvlJc w:val="left"/>
      <w:lvlText w:val="(%1)"/>
      <w:numFmt w:val="lowerLetter"/>
      <w:start w:val="2"/>
    </w:lvl>
  </w:abstractNum>
  <w:abstractNum w:abstractNumId="320">
    <w:nsid w:val="43F8E1AC"/>
    <w:multiLevelType w:val="hybridMultilevel"/>
    <w:lvl w:ilvl="0">
      <w:lvlJc w:val="left"/>
      <w:lvlText w:val="(%1)"/>
      <w:numFmt w:val="lowerLetter"/>
      <w:start w:val="1"/>
    </w:lvl>
  </w:abstractNum>
  <w:abstractNum w:abstractNumId="321">
    <w:nsid w:val="69215DFB"/>
    <w:multiLevelType w:val="hybridMultilevel"/>
    <w:lvl w:ilvl="0">
      <w:lvlJc w:val="left"/>
      <w:lvlText w:val="(%1)"/>
      <w:numFmt w:val="lowerLetter"/>
      <w:start w:val="2"/>
    </w:lvl>
  </w:abstractNum>
  <w:abstractNum w:abstractNumId="322">
    <w:nsid w:val="7ABF196A"/>
    <w:multiLevelType w:val="hybridMultilevel"/>
    <w:lvl w:ilvl="0">
      <w:lvlJc w:val="left"/>
      <w:lvlText w:val="(%1)"/>
      <w:numFmt w:val="lowerLetter"/>
      <w:start w:val="1"/>
    </w:lvl>
  </w:abstractNum>
  <w:abstractNum w:abstractNumId="323">
    <w:nsid w:val="5E4DB968"/>
    <w:multiLevelType w:val="hybridMultilevel"/>
    <w:lvl w:ilvl="0">
      <w:lvlJc w:val="left"/>
      <w:lvlText w:val="(%1)"/>
      <w:numFmt w:val="lowerLetter"/>
      <w:start w:val="1"/>
    </w:lvl>
  </w:abstractNum>
  <w:abstractNum w:abstractNumId="324">
    <w:nsid w:val="2C06DCF3"/>
    <w:multiLevelType w:val="hybridMultilevel"/>
    <w:lvl w:ilvl="0">
      <w:lvlJc w:val="left"/>
      <w:lvlText w:val="(%1)"/>
      <w:numFmt w:val="lowerLetter"/>
      <w:start w:val="3"/>
    </w:lvl>
  </w:abstractNum>
  <w:abstractNum w:abstractNumId="325">
    <w:nsid w:val="2E129658"/>
    <w:multiLevelType w:val="hybridMultilevel"/>
    <w:lvl w:ilvl="0">
      <w:lvlJc w:val="left"/>
      <w:lvlText w:val="(%1)"/>
      <w:numFmt w:val="lowerLetter"/>
      <w:start w:val="1"/>
    </w:lvl>
  </w:abstractNum>
  <w:abstractNum w:abstractNumId="326">
    <w:nsid w:val="59F0446"/>
    <w:multiLevelType w:val="hybridMultilevel"/>
    <w:lvl w:ilvl="0">
      <w:lvlJc w:val="left"/>
      <w:lvlText w:val="(%1)"/>
      <w:numFmt w:val="lowerLetter"/>
      <w:start w:val="1"/>
    </w:lvl>
  </w:abstractNum>
  <w:abstractNum w:abstractNumId="327">
    <w:nsid w:val="30DF306"/>
    <w:multiLevelType w:val="hybridMultilevel"/>
    <w:lvl w:ilvl="0">
      <w:lvlJc w:val="left"/>
      <w:lvlText w:val="[***]"/>
      <w:numFmt w:val="bullet"/>
      <w:start w:val="1"/>
    </w:lvl>
  </w:abstractNum>
  <w:abstractNum w:abstractNumId="328">
    <w:nsid w:val="A65647"/>
    <w:multiLevelType w:val="hybridMultilevel"/>
    <w:lvl w:ilvl="0">
      <w:lvlJc w:val="left"/>
      <w:lvlText w:val="(%1)"/>
      <w:numFmt w:val="lowerLetter"/>
      <w:start w:val="1"/>
    </w:lvl>
    <w:lvl w:ilvl="1">
      <w:lvlJc w:val="left"/>
      <w:lvlText w:val="(%2)"/>
      <w:numFmt w:val="lowerRoman"/>
      <w:start w:val="1"/>
    </w:lvl>
  </w:abstractNum>
  <w:abstractNum w:abstractNumId="329">
    <w:nsid w:val="3E5E582B"/>
    <w:multiLevelType w:val="hybridMultilevel"/>
    <w:lvl w:ilvl="0">
      <w:lvlJc w:val="left"/>
      <w:lvlText w:val="(%1)"/>
      <w:numFmt w:val="lowerLetter"/>
      <w:start w:val="1"/>
    </w:lvl>
  </w:abstractNum>
  <w:abstractNum w:abstractNumId="330">
    <w:nsid w:val="257D4626"/>
    <w:multiLevelType w:val="hybridMultilevel"/>
    <w:lvl w:ilvl="0">
      <w:lvlJc w:val="left"/>
      <w:lvlText w:val="(%1)"/>
      <w:numFmt w:val="lowerLetter"/>
      <w:start w:val="2"/>
    </w:lvl>
  </w:abstractNum>
  <w:abstractNum w:abstractNumId="331">
    <w:nsid w:val="5AA8580E"/>
    <w:multiLevelType w:val="hybridMultilevel"/>
    <w:lvl w:ilvl="0">
      <w:lvlJc w:val="left"/>
      <w:lvlText w:val="(%1)"/>
      <w:numFmt w:val="lowerLetter"/>
      <w:start w:val="1"/>
    </w:lvl>
  </w:abstractNum>
  <w:abstractNum w:abstractNumId="332">
    <w:nsid w:val="68FA8D0D"/>
    <w:multiLevelType w:val="hybridMultilevel"/>
    <w:lvl w:ilvl="0">
      <w:lvlJc w:val="left"/>
      <w:lvlText w:val="(%1)"/>
      <w:numFmt w:val="lowerLetter"/>
      <w:start w:val="1"/>
    </w:lvl>
  </w:abstractNum>
  <w:abstractNum w:abstractNumId="333">
    <w:nsid w:val="40F2CBD2"/>
    <w:multiLevelType w:val="hybridMultilevel"/>
    <w:lvl w:ilvl="0">
      <w:lvlJc w:val="left"/>
      <w:lvlText w:val="(%1)"/>
      <w:numFmt w:val="lowerLetter"/>
      <w:start w:val="3"/>
    </w:lvl>
  </w:abstractNum>
  <w:abstractNum w:abstractNumId="334">
    <w:nsid w:val="3BD615EB"/>
    <w:multiLevelType w:val="hybridMultilevel"/>
    <w:lvl w:ilvl="0">
      <w:lvlJc w:val="left"/>
      <w:lvlText w:val="(%1)"/>
      <w:numFmt w:val="lowerLetter"/>
      <w:start w:val="1"/>
    </w:lvl>
  </w:abstractNum>
  <w:abstractNum w:abstractNumId="335">
    <w:nsid w:val="A045AB2"/>
    <w:multiLevelType w:val="hybridMultilevel"/>
    <w:lvl w:ilvl="0">
      <w:lvlJc w:val="left"/>
      <w:lvlText w:val="(%1)"/>
      <w:numFmt w:val="lowerLetter"/>
      <w:start w:val="1"/>
    </w:lvl>
    <w:lvl w:ilvl="1">
      <w:lvlJc w:val="left"/>
      <w:lvlText w:val="(%2)"/>
      <w:numFmt w:val="lowerRoman"/>
      <w:start w:val="1"/>
    </w:lvl>
  </w:abstractNum>
  <w:abstractNum w:abstractNumId="336">
    <w:nsid w:val="1872261F"/>
    <w:multiLevelType w:val="hybridMultilevel"/>
    <w:lvl w:ilvl="0">
      <w:lvlJc w:val="left"/>
      <w:lvlText w:val="(%1)"/>
      <w:numFmt w:val="lowerLetter"/>
      <w:start w:val="2"/>
    </w:lvl>
  </w:abstractNum>
  <w:abstractNum w:abstractNumId="337">
    <w:nsid w:val="3DE8306C"/>
    <w:multiLevelType w:val="hybridMultilevel"/>
    <w:lvl w:ilvl="0">
      <w:lvlJc w:val="left"/>
      <w:lvlText w:val="(%1)"/>
      <w:numFmt w:val="lowerLetter"/>
      <w:start w:val="1"/>
    </w:lvl>
  </w:abstractNum>
  <w:abstractNum w:abstractNumId="338">
    <w:nsid w:val="7631573A"/>
    <w:multiLevelType w:val="hybridMultilevel"/>
    <w:lvl w:ilvl="0">
      <w:lvlJc w:val="left"/>
      <w:lvlText w:val="(%1)"/>
      <w:numFmt w:val="lowerLetter"/>
      <w:start w:val="4"/>
    </w:lvl>
  </w:abstractNum>
  <w:abstractNum w:abstractNumId="339">
    <w:nsid w:val="58DF53B"/>
    <w:multiLevelType w:val="hybridMultilevel"/>
    <w:lvl w:ilvl="0">
      <w:lvlJc w:val="left"/>
      <w:lvlText w:val="(%1)"/>
      <w:numFmt w:val="lowerLetter"/>
      <w:start w:val="1"/>
    </w:lvl>
  </w:abstractNum>
  <w:abstractNum w:abstractNumId="340">
    <w:nsid w:val="ACDFAC0"/>
    <w:multiLevelType w:val="hybridMultilevel"/>
    <w:lvl w:ilvl="0">
      <w:lvlJc w:val="left"/>
      <w:lvlText w:val="•"/>
      <w:numFmt w:val="bullet"/>
      <w:start w:val="1"/>
    </w:lvl>
    <w:lvl w:ilvl="1">
      <w:lvlJc w:val="left"/>
      <w:lvlText w:val="•"/>
      <w:numFmt w:val="bullet"/>
      <w:start w:val="1"/>
    </w:lvl>
  </w:abstractNum>
  <w:abstractNum w:abstractNumId="341">
    <w:nsid w:val="1F578454"/>
    <w:multiLevelType w:val="hybridMultilevel"/>
    <w:lvl w:ilvl="0">
      <w:lvlJc w:val="left"/>
      <w:lvlText w:val="*"/>
      <w:numFmt w:val="bullet"/>
      <w:start w:val="1"/>
    </w:lvl>
  </w:abstractNum>
  <w:abstractNum w:abstractNumId="342">
    <w:nsid w:val="5B0DAD2A"/>
    <w:multiLevelType w:val="hybridMultilevel"/>
    <w:lvl w:ilvl="0">
      <w:lvlJc w:val="left"/>
      <w:lvlText w:val="(%1)"/>
      <w:numFmt w:val="lowerLetter"/>
      <w:start w:val="1"/>
    </w:lvl>
  </w:abstractNum>
  <w:abstractNum w:abstractNumId="343">
    <w:nsid w:val="4E3D26AB"/>
    <w:multiLevelType w:val="hybridMultilevel"/>
    <w:lvl w:ilvl="0">
      <w:lvlJc w:val="left"/>
      <w:lvlText w:val="(%1)"/>
      <w:numFmt w:val="lowerLetter"/>
      <w:start w:val="2"/>
    </w:lvl>
  </w:abstractNum>
  <w:abstractNum w:abstractNumId="344">
    <w:nsid w:val="BE2C8BA"/>
    <w:multiLevelType w:val="hybridMultilevel"/>
    <w:lvl w:ilvl="0">
      <w:lvlJc w:val="left"/>
      <w:lvlText w:val="(%1)"/>
      <w:numFmt w:val="lowerLetter"/>
      <w:start w:val="4"/>
    </w:lvl>
    <w:lvl w:ilvl="1">
      <w:lvlJc w:val="left"/>
      <w:lvlText w:val="(%2)"/>
      <w:numFmt w:val="lowerRoman"/>
      <w:start w:val="1"/>
    </w:lvl>
  </w:abstractNum>
  <w:abstractNum w:abstractNumId="345">
    <w:nsid w:val="7B14914E"/>
    <w:multiLevelType w:val="hybridMultilevel"/>
    <w:lvl w:ilvl="0">
      <w:lvlJc w:val="left"/>
      <w:lvlText w:val="(%1)"/>
      <w:numFmt w:val="lowerLetter"/>
      <w:start w:val="1"/>
    </w:lvl>
  </w:abstractNum>
  <w:abstractNum w:abstractNumId="346">
    <w:nsid w:val="6F0939F8"/>
    <w:multiLevelType w:val="hybridMultilevel"/>
    <w:lvl w:ilvl="0">
      <w:lvlJc w:val="left"/>
      <w:lvlText w:val="(%1)"/>
      <w:numFmt w:val="lowerLetter"/>
      <w:start w:val="2"/>
    </w:lvl>
  </w:abstractNum>
  <w:abstractNum w:abstractNumId="347">
    <w:nsid w:val="154291F6"/>
    <w:multiLevelType w:val="hybridMultilevel"/>
    <w:lvl w:ilvl="0">
      <w:lvlJc w:val="left"/>
      <w:lvlText w:val="%1"/>
      <w:numFmt w:val="lowerLetter"/>
      <w:start w:val="1"/>
    </w:lvl>
    <w:lvl w:ilvl="1">
      <w:lvlJc w:val="left"/>
      <w:lvlText w:val="(%2)"/>
      <w:numFmt w:val="lowerLetter"/>
      <w:start w:val="5"/>
    </w:lvl>
  </w:abstractNum>
  <w:abstractNum w:abstractNumId="348">
    <w:nsid w:val="3CEBD7C7"/>
    <w:multiLevelType w:val="hybridMultilevel"/>
    <w:lvl w:ilvl="0">
      <w:lvlJc w:val="left"/>
      <w:lvlText w:val="(%1)"/>
      <w:numFmt w:val="lowerLetter"/>
      <w:start w:val="3"/>
    </w:lvl>
    <w:lvl w:ilvl="1">
      <w:lvlJc w:val="left"/>
      <w:lvlText w:val="(%2)"/>
      <w:numFmt w:val="lowerLetter"/>
      <w:start w:val="7"/>
    </w:lvl>
  </w:abstractNum>
  <w:abstractNum w:abstractNumId="349">
    <w:nsid w:val="60EE9C16"/>
    <w:multiLevelType w:val="hybridMultilevel"/>
    <w:lvl w:ilvl="0">
      <w:lvlJc w:val="left"/>
      <w:lvlText w:val="%1"/>
      <w:numFmt w:val="lowerLetter"/>
      <w:start w:val="1"/>
    </w:lvl>
    <w:lvl w:ilvl="1">
      <w:lvlJc w:val="left"/>
      <w:lvlText w:val="(%2)"/>
      <w:numFmt w:val="lowerLetter"/>
      <w:start w:val="1"/>
    </w:lvl>
  </w:abstractNum>
  <w:abstractNum w:abstractNumId="350">
    <w:nsid w:val="6385489E"/>
    <w:multiLevelType w:val="hybridMultilevel"/>
    <w:lvl w:ilvl="0">
      <w:lvlJc w:val="left"/>
      <w:lvlText w:val="(%1)"/>
      <w:numFmt w:val="lowerLetter"/>
      <w:start w:val="35"/>
    </w:lvl>
    <w:lvl w:ilvl="1">
      <w:lvlJc w:val="left"/>
      <w:lvlText w:val="(%2)"/>
      <w:numFmt w:val="lowerLetter"/>
      <w:start w:val="2"/>
    </w:lvl>
  </w:abstractNum>
  <w:abstractNum w:abstractNumId="351">
    <w:nsid w:val="E4B973"/>
    <w:multiLevelType w:val="hybridMultilevel"/>
    <w:lvl w:ilvl="0">
      <w:lvlJc w:val="left"/>
      <w:lvlText w:val="(%1)"/>
      <w:numFmt w:val="lowerLetter"/>
      <w:start w:val="3"/>
    </w:lvl>
  </w:abstractNum>
  <w:abstractNum w:abstractNumId="352">
    <w:nsid w:val="4A0FFA11"/>
    <w:multiLevelType w:val="hybridMultilevel"/>
    <w:lvl w:ilvl="0">
      <w:lvlJc w:val="left"/>
      <w:lvlText w:val="(%1)"/>
      <w:numFmt w:val="lowerLetter"/>
      <w:start w:val="1"/>
    </w:lvl>
  </w:abstractNum>
  <w:abstractNum w:abstractNumId="353">
    <w:nsid w:val="5E446208"/>
    <w:multiLevelType w:val="hybridMultilevel"/>
    <w:lvl w:ilvl="0">
      <w:lvlJc w:val="left"/>
      <w:lvlText w:val="(%1)"/>
      <w:numFmt w:val="lowerLetter"/>
      <w:start w:val="3"/>
    </w:lvl>
  </w:abstractNum>
  <w:abstractNum w:abstractNumId="354">
    <w:nsid w:val="5F3272DB"/>
    <w:multiLevelType w:val="hybridMultilevel"/>
    <w:lvl w:ilvl="0">
      <w:lvlJc w:val="left"/>
      <w:lvlText w:val="(%1)"/>
      <w:numFmt w:val="lowerLetter"/>
      <w:start w:val="1"/>
    </w:lvl>
  </w:abstractNum>
  <w:abstractNum w:abstractNumId="355">
    <w:nsid w:val="7616D704"/>
    <w:multiLevelType w:val="hybridMultilevel"/>
    <w:lvl w:ilvl="0">
      <w:lvlJc w:val="left"/>
      <w:lvlText w:val="(%1)"/>
      <w:numFmt w:val="lowerLetter"/>
      <w:start w:val="3"/>
    </w:lvl>
  </w:abstractNum>
  <w:abstractNum w:abstractNumId="356">
    <w:nsid w:val="C56F860"/>
    <w:multiLevelType w:val="hybridMultilevel"/>
    <w:lvl w:ilvl="0">
      <w:lvlJc w:val="left"/>
      <w:lvlText w:val="(%1)"/>
      <w:numFmt w:val="lowerLetter"/>
      <w:start w:val="1"/>
    </w:lvl>
  </w:abstractNum>
  <w:abstractNum w:abstractNumId="357">
    <w:nsid w:val="64D17722"/>
    <w:multiLevelType w:val="hybridMultilevel"/>
    <w:lvl w:ilvl="0">
      <w:lvlJc w:val="left"/>
      <w:lvlText w:val="(%1)"/>
      <w:numFmt w:val="lowerLetter"/>
      <w:start w:val="6"/>
    </w:lvl>
  </w:abstractNum>
  <w:abstractNum w:abstractNumId="358">
    <w:nsid w:val="7924CA0A"/>
    <w:multiLevelType w:val="hybridMultilevel"/>
    <w:lvl w:ilvl="0">
      <w:lvlJc w:val="left"/>
      <w:lvlText w:val="(%1)"/>
      <w:numFmt w:val="lowerRoman"/>
      <w:start w:val="2"/>
    </w:lvl>
  </w:abstractNum>
  <w:abstractNum w:abstractNumId="359">
    <w:nsid w:val="CFD4EA7"/>
    <w:multiLevelType w:val="hybridMultilevel"/>
    <w:lvl w:ilvl="0">
      <w:lvlJc w:val="left"/>
      <w:lvlText w:val="(%1)"/>
      <w:numFmt w:val="lowerLetter"/>
      <w:start w:val="1"/>
    </w:lvl>
  </w:abstractNum>
  <w:abstractNum w:abstractNumId="360">
    <w:nsid w:val="232FCF4D"/>
    <w:multiLevelType w:val="hybridMultilevel"/>
    <w:lvl w:ilvl="0">
      <w:lvlJc w:val="left"/>
      <w:lvlText w:val="(%1)"/>
      <w:numFmt w:val="lowerRoman"/>
      <w:start w:val="4"/>
    </w:lvl>
    <w:lvl w:ilvl="1">
      <w:lvlJc w:val="left"/>
      <w:lvlText w:val="(%2)"/>
      <w:numFmt w:val="lowerLetter"/>
      <w:start w:val="2"/>
    </w:lvl>
  </w:abstractNum>
  <w:abstractNum w:abstractNumId="361">
    <w:nsid w:val="1EA21031"/>
    <w:multiLevelType w:val="hybridMultilevel"/>
    <w:lvl w:ilvl="0">
      <w:lvlJc w:val="left"/>
      <w:lvlText w:val="(%1)"/>
      <w:numFmt w:val="lowerRoman"/>
      <w:start w:val="4"/>
    </w:lvl>
  </w:abstractNum>
  <w:abstractNum w:abstractNumId="362">
    <w:nsid w:val="67A5A6B5"/>
    <w:multiLevelType w:val="hybridMultilevel"/>
    <w:lvl w:ilvl="0">
      <w:lvlJc w:val="left"/>
      <w:lvlText w:val="(%1)"/>
      <w:numFmt w:val="lowerRoman"/>
      <w:start w:val="1"/>
    </w:lvl>
  </w:abstractNum>
  <w:abstractNum w:abstractNumId="363">
    <w:nsid w:val="C2A5C5B"/>
    <w:multiLevelType w:val="hybridMultilevel"/>
    <w:lvl w:ilvl="0">
      <w:lvlJc w:val="left"/>
      <w:lvlText w:val="(%1)"/>
      <w:numFmt w:val="lowerRoman"/>
      <w:start w:val="1"/>
    </w:lvl>
  </w:abstractNum>
  <w:abstractNum w:abstractNumId="364">
    <w:nsid w:val="5F94DC03"/>
    <w:multiLevelType w:val="hybridMultilevel"/>
    <w:lvl w:ilvl="0">
      <w:lvlJc w:val="left"/>
      <w:lvlText w:val="(%1)"/>
      <w:numFmt w:val="decimal"/>
      <w:start w:val="2"/>
    </w:lvl>
  </w:abstractNum>
  <w:abstractNum w:abstractNumId="365">
    <w:nsid w:val="237BBCA0"/>
    <w:multiLevelType w:val="hybridMultilevel"/>
    <w:lvl w:ilvl="0">
      <w:lvlJc w:val="left"/>
      <w:lvlText w:val="(%1)"/>
      <w:numFmt w:val="lowerLetter"/>
      <w:start w:val="1"/>
    </w:lvl>
  </w:abstractNum>
  <w:abstractNum w:abstractNumId="366">
    <w:nsid w:val="162EB70D"/>
    <w:multiLevelType w:val="hybridMultilevel"/>
    <w:lvl w:ilvl="0">
      <w:lvlJc w:val="left"/>
      <w:lvlText w:val="(%1)"/>
      <w:numFmt w:val="lowerLetter"/>
      <w:start w:val="2"/>
    </w:lvl>
  </w:abstractNum>
  <w:abstractNum w:abstractNumId="367">
    <w:nsid w:val="78070222"/>
    <w:multiLevelType w:val="hybridMultilevel"/>
    <w:lvl w:ilvl="0">
      <w:lvlJc w:val="left"/>
      <w:lvlText w:val="(%1)"/>
      <w:numFmt w:val="lowerLetter"/>
      <w:start w:val="1"/>
    </w:lvl>
  </w:abstractNum>
  <w:abstractNum w:abstractNumId="368">
    <w:nsid w:val="6163ED0D"/>
    <w:multiLevelType w:val="hybridMultilevel"/>
    <w:lvl w:ilvl="0">
      <w:lvlJc w:val="left"/>
      <w:lvlText w:val="(%1)"/>
      <w:numFmt w:val="lowerLetter"/>
      <w:start w:val="1"/>
    </w:lvl>
  </w:abstractNum>
  <w:abstractNum w:abstractNumId="369">
    <w:nsid w:val="C600E47"/>
    <w:multiLevelType w:val="hybridMultilevel"/>
    <w:lvl w:ilvl="0">
      <w:lvlJc w:val="left"/>
      <w:lvlText w:val="(%1)"/>
      <w:numFmt w:val="lowerLetter"/>
      <w:start w:val="1"/>
    </w:lvl>
  </w:abstractNum>
  <w:abstractNum w:abstractNumId="370">
    <w:nsid w:val="7D94F75D"/>
    <w:multiLevelType w:val="hybridMultilevel"/>
    <w:lvl w:ilvl="0">
      <w:lvlJc w:val="left"/>
      <w:lvlText w:val="(%1)"/>
      <w:numFmt w:val="lowerLetter"/>
      <w:start w:val="2"/>
    </w:lvl>
  </w:abstractNum>
  <w:abstractNum w:abstractNumId="371">
    <w:nsid w:val="6C31E7CD"/>
    <w:multiLevelType w:val="hybridMultilevel"/>
    <w:lvl w:ilvl="0">
      <w:lvlJc w:val="left"/>
      <w:lvlText w:val="(%1)"/>
      <w:numFmt w:val="lowerRoman"/>
      <w:start w:val="5"/>
    </w:lvl>
  </w:abstractNum>
  <w:abstractNum w:abstractNumId="372">
    <w:nsid w:val="2BB7929B"/>
    <w:multiLevelType w:val="hybridMultilevel"/>
    <w:lvl w:ilvl="0">
      <w:lvlJc w:val="left"/>
      <w:lvlText w:val="(%1)"/>
      <w:numFmt w:val="lowerLetter"/>
      <w:start w:val="4"/>
    </w:lvl>
    <w:lvl w:ilvl="1">
      <w:lvlJc w:val="left"/>
      <w:lvlText w:val="(%2)"/>
      <w:numFmt w:val="lowerRoman"/>
      <w:start w:val="1"/>
    </w:lvl>
  </w:abstractNum>
  <w:abstractNum w:abstractNumId="373">
    <w:nsid w:val="58A2A487"/>
    <w:multiLevelType w:val="hybridMultilevel"/>
    <w:lvl w:ilvl="0">
      <w:lvlJc w:val="left"/>
      <w:lvlText w:val="(%1)"/>
      <w:numFmt w:val="lowerRoman"/>
      <w:start w:val="3"/>
    </w:lvl>
  </w:abstractNum>
  <w:abstractNum w:abstractNumId="374">
    <w:nsid w:val="3A6F0E78"/>
    <w:multiLevelType w:val="hybridMultilevel"/>
    <w:lvl w:ilvl="0">
      <w:lvlJc w:val="left"/>
      <w:lvlText w:val="(%1)"/>
      <w:numFmt w:val="decimal"/>
      <w:start w:val="14"/>
    </w:lvl>
  </w:abstractNum>
  <w:abstractNum w:abstractNumId="375">
    <w:nsid w:val="379A5B56"/>
    <w:multiLevelType w:val="hybridMultilevel"/>
    <w:lvl w:ilvl="0">
      <w:lvlJc w:val="left"/>
      <w:lvlText w:val="(%1)"/>
      <w:numFmt w:val="decimal"/>
      <w:start w:val="6"/>
    </w:lvl>
  </w:abstractNum>
  <w:abstractNum w:abstractNumId="376">
    <w:nsid w:val="53B735D5"/>
    <w:multiLevelType w:val="hybridMultilevel"/>
    <w:lvl w:ilvl="0">
      <w:lvlJc w:val="left"/>
      <w:lvlText w:val="(%1)"/>
      <w:numFmt w:val="decimal"/>
      <w:start w:val="30"/>
    </w:lvl>
  </w:abstractNum>
  <w:abstractNum w:abstractNumId="377">
    <w:nsid w:val="29784870"/>
    <w:multiLevelType w:val="hybridMultilevel"/>
    <w:lvl w:ilvl="0">
      <w:lvlJc w:val="left"/>
      <w:lvlText w:val="(%1)"/>
      <w:numFmt w:val="lowerRoman"/>
      <w:start w:val="2"/>
    </w:lvl>
  </w:abstractNum>
  <w:abstractNum w:abstractNumId="378">
    <w:nsid w:val="4CDCED4C"/>
    <w:multiLevelType w:val="hybridMultilevel"/>
    <w:lvl w:ilvl="0">
      <w:lvlJc w:val="left"/>
      <w:lvlText w:val="(%1)"/>
      <w:numFmt w:val="lowerLetter"/>
      <w:start w:val="2"/>
    </w:lvl>
  </w:abstractNum>
  <w:abstractNum w:abstractNumId="379">
    <w:nsid w:val="10A30D9C"/>
    <w:multiLevelType w:val="hybridMultilevel"/>
    <w:lvl w:ilvl="0">
      <w:lvlJc w:val="left"/>
      <w:lvlText w:val="(%1)"/>
      <w:numFmt w:val="decimal"/>
      <w:start w:val="30"/>
    </w:lvl>
  </w:abstractNum>
  <w:abstractNum w:abstractNumId="380">
    <w:nsid w:val="A66E486"/>
    <w:multiLevelType w:val="hybridMultilevel"/>
    <w:lvl w:ilvl="0">
      <w:lvlJc w:val="left"/>
      <w:lvlText w:val="(%1)"/>
      <w:numFmt w:val="lowerRoman"/>
      <w:start w:val="4"/>
    </w:lvl>
  </w:abstractNum>
  <w:abstractNum w:abstractNumId="381">
    <w:nsid w:val="306235EA"/>
    <w:multiLevelType w:val="hybridMultilevel"/>
    <w:lvl w:ilvl="0">
      <w:lvlJc w:val="left"/>
      <w:lvlText w:val="(%1)"/>
      <w:numFmt w:val="decimal"/>
      <w:start w:val="30"/>
    </w:lvl>
  </w:abstractNum>
  <w:abstractNum w:abstractNumId="382">
    <w:nsid w:val="1187C70F"/>
    <w:multiLevelType w:val="hybridMultilevel"/>
    <w:lvl w:ilvl="0">
      <w:lvlJc w:val="left"/>
      <w:lvlText w:val="%1."/>
      <w:numFmt w:val="decimal"/>
      <w:start w:val="1"/>
    </w:lvl>
  </w:abstractNum>
  <w:abstractNum w:abstractNumId="383">
    <w:nsid w:val="5476DE98"/>
    <w:multiLevelType w:val="hybridMultilevel"/>
    <w:lvl w:ilvl="0">
      <w:lvlJc w:val="left"/>
      <w:lvlText w:val="%1."/>
      <w:numFmt w:val="decimal"/>
      <w:start w:val="10"/>
    </w:lvl>
  </w:abstractNum>
  <w:abstractNum w:abstractNumId="384">
    <w:nsid w:val="EA697F2"/>
    <w:multiLevelType w:val="hybridMultilevel"/>
    <w:lvl w:ilvl="0">
      <w:lvlJc w:val="left"/>
      <w:lvlText w:val="%1."/>
      <w:numFmt w:val="decimal"/>
      <w:start w:val="17"/>
    </w:lvl>
  </w:abstractNum>
  <w:abstractNum w:abstractNumId="385">
    <w:nsid w:val="70BA39EB"/>
    <w:multiLevelType w:val="hybridMultilevel"/>
    <w:lvl w:ilvl="0">
      <w:lvlJc w:val="left"/>
      <w:lvlText w:val="%1."/>
      <w:numFmt w:val="decimal"/>
      <w:start w:val="1"/>
    </w:lvl>
  </w:abstractNum>
  <w:abstractNum w:abstractNumId="386">
    <w:nsid w:val="4A8DB59C"/>
    <w:multiLevelType w:val="hybridMultilevel"/>
    <w:lvl w:ilvl="0">
      <w:lvlJc w:val="left"/>
      <w:lvlText w:val="%1."/>
      <w:numFmt w:val="decimal"/>
      <w:start w:val="2"/>
    </w:lvl>
  </w:abstractNum>
  <w:abstractNum w:abstractNumId="387">
    <w:nsid w:val="1AFD9053"/>
    <w:multiLevelType w:val="hybridMultilevel"/>
    <w:lvl w:ilvl="0">
      <w:lvlJc w:val="left"/>
      <w:lvlText w:val="%1."/>
      <w:numFmt w:val="decimal"/>
      <w:start w:val="3"/>
    </w:lvl>
  </w:abstractNum>
  <w:abstractNum w:abstractNumId="388">
    <w:nsid w:val="558BB10D"/>
    <w:multiLevelType w:val="hybridMultilevel"/>
    <w:lvl w:ilvl="0">
      <w:lvlJc w:val="left"/>
      <w:lvlText w:val="%1)"/>
      <w:numFmt w:val="upperLetter"/>
      <w:start w:val="1"/>
    </w:lvl>
  </w:abstractNum>
  <w:abstractNum w:abstractNumId="389">
    <w:nsid w:val="43B27FA7"/>
    <w:multiLevelType w:val="hybridMultilevel"/>
    <w:lvl w:ilvl="0">
      <w:lvlJc w:val="left"/>
      <w:lvlText w:val="%1)"/>
      <w:numFmt w:val="upperLetter"/>
      <w:start w:val="1"/>
    </w:lvl>
  </w:abstractNum>
  <w:abstractNum w:abstractNumId="390">
    <w:nsid w:val="27FADEFA"/>
    <w:multiLevelType w:val="hybridMultilevel"/>
    <w:lvl w:ilvl="0">
      <w:lvlJc w:val="left"/>
      <w:lvlText w:val="%1."/>
      <w:numFmt w:val="decimal"/>
      <w:start w:val="5"/>
    </w:lvl>
  </w:abstractNum>
  <w:abstractNum w:abstractNumId="391">
    <w:nsid w:val="78BB805A"/>
    <w:multiLevelType w:val="hybridMultilevel"/>
    <w:lvl w:ilvl="0">
      <w:lvlJc w:val="left"/>
      <w:lvlText w:val="%1)"/>
      <w:numFmt w:val="upperLetter"/>
      <w:start w:val="1"/>
    </w:lvl>
  </w:abstractNum>
  <w:abstractNum w:abstractNumId="392">
    <w:nsid w:val="62548FD8"/>
    <w:multiLevelType w:val="hybridMultilevel"/>
    <w:lvl w:ilvl="0">
      <w:lvlJc w:val="left"/>
      <w:lvlText w:val="%1)"/>
      <w:numFmt w:val="upperLetter"/>
      <w:start w:val="1"/>
    </w:lvl>
  </w:abstractNum>
  <w:abstractNum w:abstractNumId="393">
    <w:nsid w:val="FA085B0"/>
    <w:multiLevelType w:val="hybridMultilevel"/>
    <w:lvl w:ilvl="0">
      <w:lvlJc w:val="left"/>
      <w:lvlText w:val="%1."/>
      <w:numFmt w:val="decimal"/>
      <w:start w:val="1"/>
    </w:lvl>
  </w:abstractNum>
  <w:abstractNum w:abstractNumId="394">
    <w:nsid w:val="4E5DCB5"/>
    <w:multiLevelType w:val="hybridMultilevel"/>
    <w:lvl w:ilvl="0">
      <w:lvlJc w:val="left"/>
      <w:lvlText w:val="%1."/>
      <w:numFmt w:val="decimal"/>
      <w:start w:val="3"/>
    </w:lvl>
  </w:abstractNum>
  <w:abstractNum w:abstractNumId="395">
    <w:nsid w:val="41E96BDB"/>
    <w:multiLevelType w:val="hybridMultilevel"/>
    <w:lvl w:ilvl="0">
      <w:lvlJc w:val="left"/>
      <w:lvlText w:val="%1"/>
      <w:numFmt w:val="decimal"/>
      <w:start w:val="1"/>
    </w:lvl>
    <w:lvl w:ilvl="1">
      <w:lvlJc w:val="left"/>
      <w:lvlText w:val="%2)"/>
      <w:numFmt w:val="upperLetter"/>
      <w:start w:val="3"/>
    </w:lvl>
  </w:abstractNum>
  <w:abstractNum w:abstractNumId="396">
    <w:nsid w:val="331C4250"/>
    <w:multiLevelType w:val="hybridMultilevel"/>
    <w:lvl w:ilvl="0">
      <w:lvlJc w:val="left"/>
      <w:lvlText w:val="%1."/>
      <w:numFmt w:val="decimal"/>
      <w:start w:val="6"/>
    </w:lvl>
    <w:lvl w:ilvl="1">
      <w:lvlJc w:val="left"/>
      <w:lvlText w:val="%2"/>
      <w:numFmt w:val="upperLetter"/>
      <w:start w:val="1"/>
    </w:lvl>
  </w:abstractNum>
  <w:abstractNum w:abstractNumId="397">
    <w:nsid w:val="1B1493C2"/>
    <w:multiLevelType w:val="hybridMultilevel"/>
    <w:lvl w:ilvl="0">
      <w:lvlJc w:val="left"/>
      <w:lvlText w:val="%1)"/>
      <w:numFmt w:val="upperLetter"/>
      <w:start w:val="1"/>
    </w:lvl>
  </w:abstractNum>
  <w:abstractNum w:abstractNumId="398">
    <w:nsid w:val="39F06DFD"/>
    <w:multiLevelType w:val="hybridMultilevel"/>
    <w:lvl w:ilvl="0">
      <w:lvlJc w:val="left"/>
      <w:lvlText w:val="%1)"/>
      <w:numFmt w:val="upperLetter"/>
      <w:start w:val="1"/>
    </w:lvl>
  </w:abstractNum>
  <w:abstractNum w:abstractNumId="399">
    <w:nsid w:val="14802F5D"/>
    <w:multiLevelType w:val="hybridMultilevel"/>
    <w:lvl w:ilvl="0">
      <w:lvlJc w:val="left"/>
      <w:lvlText w:val="%1)"/>
      <w:numFmt w:val="upperLetter"/>
      <w:start w:val="1"/>
    </w:lvl>
  </w:abstractNum>
  <w:abstractNum w:abstractNumId="400">
    <w:nsid w:val="2774A209"/>
    <w:multiLevelType w:val="hybridMultilevel"/>
    <w:lvl w:ilvl="0">
      <w:lvlJc w:val="left"/>
      <w:lvlText w:val="%1)"/>
      <w:numFmt w:val="upperLetter"/>
      <w:start w:val="1"/>
    </w:lvl>
  </w:abstractNum>
  <w:abstractNum w:abstractNumId="401">
    <w:nsid w:val="3785655A"/>
    <w:multiLevelType w:val="hybridMultilevel"/>
    <w:lvl w:ilvl="0">
      <w:lvlJc w:val="left"/>
      <w:lvlText w:val="%1)"/>
      <w:numFmt w:val="upperLetter"/>
      <w:start w:val="3"/>
    </w:lvl>
  </w:abstractNum>
  <w:abstractNum w:abstractNumId="402">
    <w:nsid w:val="B2172A"/>
    <w:multiLevelType w:val="hybridMultilevel"/>
    <w:lvl w:ilvl="0">
      <w:lvlJc w:val="left"/>
      <w:lvlText w:val="%1"/>
      <w:numFmt w:val="decimal"/>
      <w:start w:val="1"/>
    </w:lvl>
    <w:lvl w:ilvl="1">
      <w:lvlJc w:val="left"/>
      <w:lvlText w:val="%2)"/>
      <w:numFmt w:val="upperLetter"/>
      <w:start w:val="1"/>
    </w:lvl>
  </w:abstractNum>
  <w:abstractNum w:abstractNumId="403">
    <w:nsid w:val="532C34A5"/>
    <w:multiLevelType w:val="hybridMultilevel"/>
    <w:lvl w:ilvl="0">
      <w:lvlJc w:val="left"/>
      <w:lvlText w:val="%1."/>
      <w:numFmt w:val="decimal"/>
      <w:start w:val="7"/>
    </w:lvl>
    <w:lvl w:ilvl="1">
      <w:lvlJc w:val="left"/>
      <w:lvlText w:val="%2"/>
      <w:numFmt w:val="upperLetter"/>
      <w:start w:val="1"/>
    </w:lvl>
  </w:abstractNum>
  <w:abstractNum w:abstractNumId="404">
    <w:nsid w:val="102809E2"/>
    <w:multiLevelType w:val="hybridMultilevel"/>
    <w:lvl w:ilvl="0">
      <w:lvlJc w:val="left"/>
      <w:lvlText w:val="%1)"/>
      <w:numFmt w:val="upperLetter"/>
      <w:start w:val="1"/>
    </w:lvl>
  </w:abstractNum>
  <w:abstractNum w:abstractNumId="405">
    <w:nsid w:val="3B2125A3"/>
    <w:multiLevelType w:val="hybridMultilevel"/>
    <w:lvl w:ilvl="0">
      <w:lvlJc w:val="left"/>
      <w:lvlText w:val="%1)"/>
      <w:numFmt w:val="upperLetter"/>
      <w:start w:val="1"/>
    </w:lvl>
  </w:abstractNum>
  <w:abstractNum w:abstractNumId="406">
    <w:nsid w:val="AC68FFB"/>
    <w:multiLevelType w:val="hybridMultilevel"/>
    <w:lvl w:ilvl="0">
      <w:lvlJc w:val="left"/>
      <w:lvlText w:val="%1)"/>
      <w:numFmt w:val="upperLetter"/>
      <w:start w:val="1"/>
    </w:lvl>
  </w:abstractNum>
  <w:abstractNum w:abstractNumId="407">
    <w:nsid w:val="63DF3FB7"/>
    <w:multiLevelType w:val="hybridMultilevel"/>
    <w:lvl w:ilvl="0">
      <w:lvlJc w:val="left"/>
      <w:lvlText w:val="(%1)"/>
      <w:numFmt w:val="lowerRoman"/>
      <w:start w:val="1"/>
    </w:lvl>
  </w:abstractNum>
  <w:abstractNum w:abstractNumId="408">
    <w:nsid w:val="64996E13"/>
    <w:multiLevelType w:val="hybridMultilevel"/>
    <w:lvl w:ilvl="0">
      <w:lvlJc w:val="left"/>
      <w:lvlText w:val="%1)"/>
      <w:numFmt w:val="upperLetter"/>
      <w:start w:val="3"/>
    </w:lvl>
  </w:abstractNum>
  <w:abstractNum w:abstractNumId="409">
    <w:nsid w:val="57A37D47"/>
    <w:multiLevelType w:val="hybridMultilevel"/>
    <w:lvl w:ilvl="0">
      <w:lvlJc w:val="left"/>
      <w:lvlText w:val="%1)"/>
      <w:numFmt w:val="upperLetter"/>
      <w:start w:val="1"/>
    </w:lvl>
  </w:abstractNum>
  <w:abstractNum w:abstractNumId="410">
    <w:nsid w:val="74824D54"/>
    <w:multiLevelType w:val="hybridMultilevel"/>
    <w:lvl w:ilvl="0">
      <w:lvlJc w:val="left"/>
      <w:lvlText w:val="%1."/>
      <w:numFmt w:val="decimal"/>
      <w:start w:val="8"/>
    </w:lvl>
  </w:abstractNum>
  <w:abstractNum w:abstractNumId="411">
    <w:nsid w:val="6F00529A"/>
    <w:multiLevelType w:val="hybridMultilevel"/>
    <w:lvl w:ilvl="0">
      <w:lvlJc w:val="left"/>
      <w:lvlText w:val="%1."/>
      <w:numFmt w:val="decimal"/>
      <w:start w:val="9"/>
    </w:lvl>
  </w:abstractNum>
  <w:abstractNum w:abstractNumId="412">
    <w:nsid w:val="805B331"/>
    <w:multiLevelType w:val="hybridMultilevel"/>
    <w:lvl w:ilvl="0">
      <w:lvlJc w:val="left"/>
      <w:lvlText w:val="%1."/>
      <w:numFmt w:val="decimal"/>
      <w:start w:val="10"/>
    </w:lvl>
  </w:abstractNum>
  <w:abstractNum w:abstractNumId="413">
    <w:nsid w:val="60A1463"/>
    <w:multiLevelType w:val="hybridMultilevel"/>
    <w:lvl w:ilvl="0">
      <w:lvlJc w:val="left"/>
      <w:lvlText w:val="%1)"/>
      <w:numFmt w:val="upperLetter"/>
      <w:start w:val="1"/>
    </w:lvl>
  </w:abstractNum>
  <w:abstractNum w:abstractNumId="414">
    <w:nsid w:val="43773132"/>
    <w:multiLevelType w:val="hybridMultilevel"/>
    <w:lvl w:ilvl="0">
      <w:lvlJc w:val="left"/>
      <w:lvlText w:val="%1)"/>
      <w:numFmt w:val="upperLetter"/>
      <w:start w:val="1"/>
    </w:lvl>
  </w:abstractNum>
  <w:abstractNum w:abstractNumId="415">
    <w:nsid w:val="16AC4B23"/>
    <w:multiLevelType w:val="hybridMultilevel"/>
    <w:lvl w:ilvl="0">
      <w:lvlJc w:val="left"/>
      <w:lvlText w:val="%1)"/>
      <w:numFmt w:val="upperLetter"/>
      <w:start w:val="5"/>
    </w:lvl>
  </w:abstractNum>
  <w:abstractNum w:abstractNumId="416">
    <w:nsid w:val="76C44E4E"/>
    <w:multiLevelType w:val="hybridMultilevel"/>
    <w:lvl w:ilvl="0">
      <w:lvlJc w:val="left"/>
      <w:lvlText w:val="%1)"/>
      <w:numFmt w:val="upperLetter"/>
      <w:start w:val="1"/>
    </w:lvl>
  </w:abstractNum>
  <w:abstractNum w:abstractNumId="417">
    <w:nsid w:val="E04E6CE"/>
    <w:multiLevelType w:val="hybridMultilevel"/>
    <w:lvl w:ilvl="0">
      <w:lvlJc w:val="left"/>
      <w:lvlText w:val="%1."/>
      <w:numFmt w:val="decimal"/>
      <w:start w:val="1"/>
    </w:lvl>
  </w:abstractNum>
  <w:abstractNum w:abstractNumId="418">
    <w:nsid w:val="31A9DB76"/>
    <w:multiLevelType w:val="hybridMultilevel"/>
    <w:lvl w:ilvl="0">
      <w:lvlJc w:val="left"/>
      <w:lvlText w:val="%1)"/>
      <w:numFmt w:val="upperLetter"/>
      <w:start w:val="1"/>
    </w:lvl>
  </w:abstractNum>
  <w:abstractNum w:abstractNumId="419">
    <w:nsid w:val="4C4FFF5B"/>
    <w:multiLevelType w:val="hybridMultilevel"/>
    <w:lvl w:ilvl="0">
      <w:lvlJc w:val="left"/>
      <w:lvlText w:val="%1)"/>
      <w:numFmt w:val="upperLetter"/>
      <w:start w:val="8"/>
    </w:lvl>
  </w:abstractNum>
  <w:abstractNum w:abstractNumId="420">
    <w:nsid w:val="51B76675"/>
    <w:multiLevelType w:val="hybridMultilevel"/>
    <w:lvl w:ilvl="0">
      <w:lvlJc w:val="left"/>
      <w:lvlText w:val="(%1)"/>
      <w:numFmt w:val="decimal"/>
      <w:start w:val="1"/>
    </w:lvl>
  </w:abstractNum>
  <w:abstractNum w:abstractNumId="421">
    <w:nsid w:val="59A4BA71"/>
    <w:multiLevelType w:val="hybridMultilevel"/>
    <w:lvl w:ilvl="0">
      <w:lvlJc w:val="left"/>
      <w:lvlText w:val="(%1)"/>
      <w:numFmt w:val="lowerLetter"/>
      <w:start w:val="2"/>
    </w:lvl>
  </w:abstractNum>
  <w:abstractNum w:abstractNumId="422">
    <w:nsid w:val="450B7FB6"/>
    <w:multiLevelType w:val="hybridMultilevel"/>
    <w:lvl w:ilvl="0">
      <w:lvlJc w:val="left"/>
      <w:lvlText w:val="%1"/>
      <w:numFmt w:val="decimal"/>
      <w:start w:val="1"/>
    </w:lvl>
    <w:lvl w:ilvl="1">
      <w:lvlJc w:val="left"/>
      <w:lvlText w:val="(%2)"/>
      <w:numFmt w:val="lowerLetter"/>
      <w:start w:val="5"/>
    </w:lvl>
  </w:abstractNum>
  <w:abstractNum w:abstractNumId="423">
    <w:nsid w:val="340BF64D"/>
    <w:multiLevelType w:val="hybridMultilevel"/>
    <w:lvl w:ilvl="0">
      <w:lvlJc w:val="left"/>
      <w:lvlText w:val="(%1)"/>
      <w:numFmt w:val="decimal"/>
      <w:start w:val="3"/>
    </w:lvl>
    <w:lvl w:ilvl="1">
      <w:lvlJc w:val="left"/>
      <w:lvlText w:val="%2"/>
      <w:numFmt w:val="lowerLetter"/>
      <w:start w:val="1"/>
    </w:lvl>
  </w:abstractNum>
  <w:abstractNum w:abstractNumId="424">
    <w:nsid w:val="694540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5">
    <w:nsid w:val="49F15C6B"/>
    <w:multiLevelType w:val="hybridMultilevel"/>
    <w:lvl w:ilvl="0">
      <w:lvlJc w:val="left"/>
      <w:lvlText w:val="(%1)"/>
      <w:numFmt w:val="decimal"/>
      <w:start w:val="1"/>
    </w:lvl>
  </w:abstractNum>
  <w:abstractNum w:abstractNumId="426">
    <w:nsid w:val="75F56228"/>
    <w:multiLevelType w:val="hybridMultilevel"/>
    <w:lvl w:ilvl="0">
      <w:lvlJc w:val="left"/>
      <w:lvlText w:val="(%1)"/>
      <w:numFmt w:val="decimal"/>
      <w:start w:val="4"/>
    </w:lvl>
  </w:abstractNum>
  <w:abstractNum w:abstractNumId="427">
    <w:nsid w:val="1C618271"/>
    <w:multiLevelType w:val="hybridMultilevel"/>
    <w:lvl w:ilvl="0">
      <w:lvlJc w:val="left"/>
      <w:lvlText w:val="(%1)"/>
      <w:numFmt w:val="decimal"/>
      <w:start w:val="1"/>
    </w:lvl>
  </w:abstractNum>
  <w:abstractNum w:abstractNumId="428">
    <w:nsid w:val="6505F02E"/>
    <w:multiLevelType w:val="hybridMultilevel"/>
    <w:lvl w:ilvl="0">
      <w:lvlJc w:val="left"/>
      <w:lvlText w:val="(%1)"/>
      <w:numFmt w:val="decimal"/>
      <w:start w:val="1"/>
    </w:lvl>
  </w:abstractNum>
  <w:abstractNum w:abstractNumId="429">
    <w:nsid w:val="2FE5D025"/>
    <w:multiLevelType w:val="hybridMultilevel"/>
    <w:lvl w:ilvl="0">
      <w:lvlJc w:val="left"/>
      <w:lvlText w:val="(%1)"/>
      <w:numFmt w:val="decimal"/>
      <w:start w:val="1"/>
    </w:lvl>
  </w:abstractNum>
  <w:abstractNum w:abstractNumId="430">
    <w:nsid w:val="30E1B1CF"/>
    <w:multiLevelType w:val="hybridMultilevel"/>
    <w:lvl w:ilvl="0">
      <w:lvlJc w:val="left"/>
      <w:lvlText w:val="(%1)"/>
      <w:numFmt w:val="decimal"/>
      <w:start w:val="1"/>
    </w:lvl>
  </w:abstractNum>
  <w:abstractNum w:abstractNumId="431">
    <w:nsid w:val="C7A9237"/>
    <w:multiLevelType w:val="hybridMultilevel"/>
    <w:lvl w:ilvl="0">
      <w:lvlJc w:val="left"/>
      <w:lvlText w:val="(%1)"/>
      <w:numFmt w:val="decimal"/>
      <w:start w:val="2"/>
    </w:lvl>
  </w:abstractNum>
  <w:abstractNum w:abstractNumId="432">
    <w:nsid w:val="676B3580"/>
    <w:multiLevelType w:val="hybridMultilevel"/>
    <w:lvl w:ilvl="0">
      <w:lvlJc w:val="left"/>
      <w:lvlText w:val="(%1)"/>
      <w:numFmt w:val="decimal"/>
      <w:start w:val="1"/>
    </w:lvl>
  </w:abstractNum>
  <w:abstractNum w:abstractNumId="433">
    <w:nsid w:val="3193C8F9"/>
    <w:multiLevelType w:val="hybridMultilevel"/>
    <w:lvl w:ilvl="0">
      <w:lvlJc w:val="left"/>
      <w:lvlText w:val="(%1)"/>
      <w:numFmt w:val="decimal"/>
      <w:start w:val="2"/>
    </w:lvl>
  </w:abstractNum>
  <w:abstractNum w:abstractNumId="434">
    <w:nsid w:val="5FA6C6DC"/>
    <w:multiLevelType w:val="hybridMultilevel"/>
    <w:lvl w:ilvl="0">
      <w:lvlJc w:val="left"/>
      <w:lvlText w:val="%1."/>
      <w:numFmt w:val="decimal"/>
      <w:start w:val="2"/>
    </w:lvl>
  </w:abstractNum>
  <w:abstractNum w:abstractNumId="435">
    <w:nsid w:val="77933F62"/>
    <w:multiLevelType w:val="hybridMultilevel"/>
    <w:lvl w:ilvl="0">
      <w:lvlJc w:val="left"/>
      <w:lvlText w:val="%1."/>
      <w:numFmt w:val="decimal"/>
      <w:start w:val="1"/>
    </w:lvl>
    <w:lvl w:ilvl="1">
      <w:lvlJc w:val="left"/>
      <w:lvlText w:val="(%2)"/>
      <w:numFmt w:val="upperLetter"/>
      <w:start w:val="1"/>
    </w:lvl>
  </w:abstractNum>
  <w:abstractNum w:abstractNumId="436">
    <w:nsid w:val="6CB4EE9C"/>
    <w:multiLevelType w:val="hybridMultilevel"/>
    <w:lvl w:ilvl="0">
      <w:lvlJc w:val="left"/>
      <w:lvlText w:val="(%1)"/>
      <w:numFmt w:val="upperLetter"/>
      <w:start w:val="2"/>
    </w:lvl>
  </w:abstractNum>
  <w:abstractNum w:abstractNumId="437">
    <w:nsid w:val="6A6D56D7"/>
    <w:multiLevelType w:val="hybridMultilevel"/>
    <w:lvl w:ilvl="0">
      <w:lvlJc w:val="left"/>
      <w:lvlText w:val="%1."/>
      <w:numFmt w:val="decimal"/>
      <w:start w:val="1"/>
    </w:lvl>
  </w:abstractNum>
  <w:abstractNum w:abstractNumId="438">
    <w:nsid w:val="5B727F19"/>
    <w:multiLevelType w:val="hybridMultilevel"/>
    <w:lvl w:ilvl="0">
      <w:lvlJc w:val="left"/>
      <w:lvlText w:val="%1."/>
      <w:numFmt w:val="decimal"/>
      <w:start w:val="1"/>
    </w:lvl>
  </w:abstractNum>
  <w:abstractNum w:abstractNumId="439">
    <w:nsid w:val="514E5CB0"/>
    <w:multiLevelType w:val="hybridMultilevel"/>
    <w:lvl w:ilvl="0">
      <w:lvlJc w:val="left"/>
      <w:lvlText w:val="(%1)"/>
      <w:numFmt w:val="lowerLetter"/>
      <w:start w:val="1"/>
    </w:lvl>
  </w:abstractNum>
  <w:abstractNum w:abstractNumId="440">
    <w:nsid w:val="4210D41E"/>
    <w:multiLevelType w:val="hybridMultilevel"/>
    <w:lvl w:ilvl="0">
      <w:lvlJc w:val="left"/>
      <w:lvlText w:val="%1."/>
      <w:numFmt w:val="decimal"/>
      <w:start w:val="2"/>
    </w:lvl>
  </w:abstractNum>
  <w:abstractNum w:abstractNumId="441">
    <w:nsid w:val="4FF4CC6D"/>
    <w:multiLevelType w:val="hybridMultilevel"/>
    <w:lvl w:ilvl="0">
      <w:lvlJc w:val="left"/>
      <w:lvlText w:val="*"/>
      <w:numFmt w:val="bullet"/>
      <w:start w:val="1"/>
    </w:lvl>
    <w:lvl w:ilvl="1">
      <w:lvlJc w:val="left"/>
      <w:lvlText w:val="%2."/>
      <w:numFmt w:val="decimal"/>
      <w:start w:val="4"/>
    </w:lvl>
  </w:abstractNum>
  <w:abstractNum w:abstractNumId="442">
    <w:nsid w:val="404EAF4A"/>
    <w:multiLevelType w:val="hybridMultilevel"/>
    <w:lvl w:ilvl="0">
      <w:lvlJc w:val="left"/>
      <w:lvlText w:val="%1"/>
      <w:numFmt w:val="decimal"/>
      <w:start w:val="1"/>
    </w:lvl>
    <w:lvl w:ilvl="1">
      <w:lvlJc w:val="left"/>
      <w:lvlText w:val="%2."/>
      <w:numFmt w:val="decimal"/>
      <w:start w:val="6"/>
    </w:lvl>
  </w:abstractNum>
  <w:abstractNum w:abstractNumId="443">
    <w:nsid w:val="4A16874F"/>
    <w:multiLevelType w:val="hybridMultilevel"/>
    <w:lvl w:ilvl="0">
      <w:lvlJc w:val="left"/>
      <w:lvlText w:val="(%1)"/>
      <w:numFmt w:val="decimal"/>
      <w:start w:val="13"/>
    </w:lvl>
    <w:lvl w:ilvl="1">
      <w:lvlJc w:val="left"/>
      <w:lvlText w:val="%2."/>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2020-03-16T23:05:14Z</dcterms:created>
  <dcterms:modified xsi:type="dcterms:W3CDTF">2020-03-16T23:05:14Z</dcterms:modified>
</cp:coreProperties>
</file>