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3, 2026, Keros Therapeutics, Inc. (the “Company”) issued a press release announcing its financial results for the quarter ended June 30, 2026. A copy of the press release is furnished hereto as Exhibit 99.1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that section. The information contained in this Item 2.02 and in the accompanying exhibit is not incorporated by reference in any filing of the Company under the Securities Act of 1933, as amended (the “Securities Act”), or the Exchange Act, whether made before or after the date hereof, regardless of any general incorporation language in such filing, except as shall be expressly set forth by specific reference in such filing.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3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7"/>
        <w:gridCol w:w="2647"/>
        <w:gridCol w:w="376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exhibit991q2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q22026.htm">
              <w:r>
                <w:rPr>
                  <w:rStyle w:val="InternetLink"/>
                  <w:rFonts w:ascii="Times New Roman;serif" w:hAnsi="Times New Roman;serif"/>
                  <w:b w:val="false"/>
                  <w:color w:val="000080"/>
                  <w:sz w:val="20"/>
                  <w:u w:val="single"/>
                </w:rPr>
                <w:t xml:space="preserve">Press Release dated </w:t>
              </w:r>
            </w:hyperlink>
            <w:hyperlink w:anchor="exhibit991q22026.htm">
              <w:r>
                <w:rPr>
                  <w:rStyle w:val="InternetLink"/>
                  <w:rFonts w:ascii="Times New Roman;serif" w:hAnsi="Times New Roman;serif"/>
                  <w:b w:val="false"/>
                  <w:color w:val="000080"/>
                  <w:sz w:val="20"/>
                  <w:u w:val="single"/>
                </w:rPr>
                <w:t>August 3</w:t>
              </w:r>
            </w:hyperlink>
            <w:hyperlink w:anchor="exhibit991q22026.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Keros Therapeutics Reports Second Quarter 2026 Financial Results</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2"/>
        </w:rPr>
        <w:t xml:space="preserve">LEXINGTON, Mass., August 3, 2026 (GLOBE NEWSWIRE) </w:t>
      </w:r>
      <w:r>
        <w:rPr>
          <w:rFonts w:ascii="sans-serif" w:hAnsi="sans-serif"/>
          <w:b w:val="false"/>
          <w:color w:val="000000"/>
          <w:sz w:val="22"/>
        </w:rPr>
        <w:t>-- Keros Therapeutics, Inc. (“Keros” or the “Company”) (Nasdaq: KROS), a clinical-stage biopharmaceutical company focused on developing and commercializing novel therapeutics to treat a wide range of patients with disorders that are linked to dysfunctional signaling of the transforming growth factor-beta (“TGF-ß”) family of proteins, today provided a business update and reported financial results for the quarter ended June 30,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2"/>
        </w:rPr>
        <w:t>We are excited to have initiated our Phase 2 clinical trial evaluating the treatment of rinvatercept in patients with Duchenne muscular dystrophy (“DMD”), marking an important milestone in the development of our program,” said Jasbir S. Seehra, Ph.D., President and Chief Executive Officer. “In our Phase 1 clinical trial in healthy volunteers, rinvatercept demonstrated robust pharmacological activity observed through increases in muscle mass and bone mineral density, alongside a decrease in fat mass. We look forward to the progression of the Phase 2 clinical trial, and continue to expect to present initial data in the first half of 2027.”</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Keros reported a net loss of $28.7 million in the second quarter of 2026 as compared to a net loss of $30.7 million in the second quarter of 2025. The decrease of $2.0 million was primarily due to revenue recognized in 2025 related to Keros' license agreement with Takeda and decreased research and development efforts.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Research and development expenses were $22.3 million for the second quarter of 2026 as compared to $43.5 million for the same period in 2025. The decrease of $21.2 million was primarily due to the transition of elritercept-related research and development expenses to Takeda and the corporate restructuring that was completed in 2025.</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General and administrative expenses were $8.6 million for the second quarter of 2026 as compared to $14.5 million for the same period in 2025. The decrease of $5.9 million was primarily due to a decrease in professional fees and a decrease in compensation costs in connection with the 2025 corporate restructuring.</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Keros’ cash and cash equivalents as of June 30, 2026 was $257.6 million compared to $287.4 million as of December 31, 2025. Based on current operating assumptions, Keros expects that its cash and cash equivalents as of June 30, 2026 will enable Keros to fund its operating expenses and capital expenditure requirements into the first half of 2028.</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About Keros Therapeutics, Inc.</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skeletal muscle, bone, adipose, heart tissue and blood. By leveraging this understanding, Keros has discovered and is developing protein therapeutics that have the potential to provide meaningful and potentially disease-modifying benefit to patients. Keros’ lead product candidate, rinvatercept, is being developed for the treatment of DMD and for the treatment of amyotrophic lateral sclerosis. Keros’ most advanced product candidate, elritercept, is being developed for the treatment of cytopenias, including anemia and thrombocytopenia, in patients with myelodysplastic syndrome and in patients with myelofibrosis. </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Statements contained in this press release regarding matters that are not historical facts are “forward-looking statements” within the meaning of the Private Securities Litigation Reform Act of 1995, as amended. Words such as “continue”, “expect”, “plan”, “look forward to”, “will”, “potential” or similar expressions are intended to identify forward-looking statements. Examples of these forward-looking statements include statements concerning: Keros’ expectations regarding its growth, strategy, progress and the design, objectives and timing of its clinical trials for rinvatercept; and Keros’ expected cash runway.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These and other risks are described more fully in Keros’ filings with the Securities and Exchange Commission (“SEC”), including the “Risk Factors” section of the Company’s Quarterly Report on Form 10-Q, filed with the SEC on May 14, 2026, and its other documents subsequently filed with or furnished to the SEC.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 </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Investor Contact: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Justin Frantz</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jfrantz@kerostx.com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617-221-6042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KEROS THERAPEUTICS,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Operations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(In thousands, except share and per share data)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86"/>
        <w:gridCol w:w="1243"/>
        <w:gridCol w:w="1250"/>
        <w:gridCol w:w="253"/>
        <w:gridCol w:w="900"/>
        <w:gridCol w:w="121"/>
        <w:gridCol w:w="121"/>
        <w:gridCol w:w="121"/>
        <w:gridCol w:w="121"/>
        <w:gridCol w:w="253"/>
        <w:gridCol w:w="900"/>
        <w:gridCol w:w="121"/>
        <w:gridCol w:w="109"/>
        <w:gridCol w:w="109"/>
        <w:gridCol w:w="109"/>
        <w:gridCol w:w="240"/>
        <w:gridCol w:w="842"/>
        <w:gridCol w:w="112"/>
        <w:gridCol w:w="112"/>
        <w:gridCol w:w="112"/>
        <w:gridCol w:w="112"/>
        <w:gridCol w:w="223"/>
        <w:gridCol w:w="867"/>
        <w:gridCol w:w="168"/>
      </w:tblGrid>
      <w:tr>
        <w:trPr/>
        <w:tc>
          <w:tcPr>
            <w:tcW w:w="168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79"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REVENUE: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18,168 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34,059 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License revenue</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195,355 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revenue</w:t>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18,168 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229,414 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EXPENSES: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(22,331)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(43,503)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(38,428)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(92,212)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(8,606)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(14,482)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(18,753)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(24,979)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(30,937)</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(57,985)</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(57,181)</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(117,191)</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(30,937)</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(39,817)</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(56,814)</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112,223 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1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1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Dividend income</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7,120 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4,622 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13,912 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expense, net</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2,227 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6,899 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4,396 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13,353 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(28,710)</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(32,918)</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(52,418)</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125,576 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(7,821)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(loss)</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(28,710)</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(30,696)</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(52,418)</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117,755 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(loss) attributable to common stockholders—basic and diluted</w:t>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(28,710)</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(30,696)</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(52,418)</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117,755 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basic</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19,800,322 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40,612,907 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19,715,585 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40,586,279 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diluted</w:t>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19,800,322 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40,612,907 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19,715,585 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41,153,758 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(loss) per share of common stock — basic</w:t>
            </w:r>
          </w:p>
        </w:tc>
        <w:tc>
          <w:tcPr>
            <w:tcW w:w="25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7"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(loss) per share of common stock — diluted</w:t>
            </w:r>
          </w:p>
        </w:tc>
        <w:tc>
          <w:tcPr>
            <w:tcW w:w="25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0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2"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67" w:type="dxa"/>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(In thousands, except share and per share data)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14"/>
        <w:gridCol w:w="2122"/>
        <w:gridCol w:w="2135"/>
        <w:gridCol w:w="487"/>
        <w:gridCol w:w="489"/>
        <w:gridCol w:w="224"/>
        <w:gridCol w:w="109"/>
        <w:gridCol w:w="109"/>
        <w:gridCol w:w="109"/>
        <w:gridCol w:w="508"/>
        <w:gridCol w:w="468"/>
        <w:gridCol w:w="531"/>
      </w:tblGrid>
      <w:tr>
        <w:trPr/>
        <w:tc>
          <w:tcPr>
            <w:tcW w:w="2914"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w:t>
              <w:br/>
              <w:t>2025</w:t>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257,606 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287,415 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Accounts receivable </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3,567 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7,027 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22,202 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income tax receivable</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2,250 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2,250 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current assets</w:t>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266,883 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315,434 </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15,553 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16,841 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3,715 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4,297 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Restricted cash</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1,449 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ASSETS</w:t>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287,600 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338,021 </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LIABILITIES AND STOCKHOLDERS' EQUITY </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LIABILITIES: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1,816 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1,967 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2,597 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2,408 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7,740 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16,039 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Total current liabilities </w:t>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12,153 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20,414 </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13,127 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14,475 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Total liabilities </w:t>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25,280 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34,889 </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STOCKHOLDERS' EQUITY: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Preferred stock, par value of $0.0001 per share; 10,000,000 shares authorized as of June 30, 2026 and December 31, 2025; no shares issued and outstanding</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Series A junior participating preferred stock, par value of $0.0001 per share; 500,000 authorized as of June 30, 2026 and December 31, 2025; no shares issued and outstanding</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Common stock, par value of $0.0001 per share; 200,000,000 shares authorized as of June 30, 2026 and December 31, 2025; 40,953,948 shares issued and 19,827,188 shares outstanding as of June 30, 2026 and 40,670,466 shares issued and 19,543,706 shares outstanding as of December 31, 2025</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Treasury stock, at cost; 21,126,760 shares as of June 30, 2026 and December 31, 2025</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(384,558)</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(384,558)</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1,181,057 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1,169,451 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deficit</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(534,183)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(481,765)</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Total stockholders' equity </w:t>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262,320 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303,132 </w:t>
            </w:r>
          </w:p>
        </w:tc>
        <w:tc>
          <w:tcPr>
            <w:tcW w:w="5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9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287,600 </w:t>
            </w:r>
          </w:p>
        </w:tc>
        <w:tc>
          <w:tcPr>
            <w:tcW w:w="2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338,021 </w:t>
            </w:r>
          </w:p>
        </w:tc>
        <w:tc>
          <w:tcPr>
            <w:tcW w:w="5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1870</Words>
  <Characters>10749</Characters>
  <CharactersWithSpaces>12487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