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 xml:space="preserve">For the quarterly period ended March 31, 2025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Commission File Number: 001-39264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KEROS THERAPEUTICS, INC.</w:t>
      </w:r>
    </w:p>
    <w:p>
      <w:pPr>
        <w:pStyle w:val="TextBody"/>
        <w:bidi w:val="0"/>
        <w:spacing w:lineRule="auto" w:line="288" w:before="120" w:after="283"/>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________________________________________</w:t>
      </w:r>
    </w:p>
    <w:tbl>
      <w:tblPr>
        <w:tblW w:w="5278" w:type="dxa"/>
        <w:jc w:val="center"/>
        <w:tblInd w:w="0" w:type="dxa"/>
        <w:tblLayout w:type="fixed"/>
        <w:tblCellMar>
          <w:top w:w="28" w:type="dxa"/>
          <w:left w:w="28" w:type="dxa"/>
          <w:bottom w:w="28" w:type="dxa"/>
          <w:right w:w="28" w:type="dxa"/>
        </w:tblCellMar>
      </w:tblPr>
      <w:tblGrid>
        <w:gridCol w:w="708"/>
        <w:gridCol w:w="621"/>
        <w:gridCol w:w="621"/>
        <w:gridCol w:w="535"/>
        <w:gridCol w:w="434"/>
        <w:gridCol w:w="457"/>
        <w:gridCol w:w="109"/>
        <w:gridCol w:w="109"/>
        <w:gridCol w:w="109"/>
        <w:gridCol w:w="460"/>
        <w:gridCol w:w="460"/>
        <w:gridCol w:w="655"/>
      </w:tblGrid>
      <w:tr>
        <w:trPr/>
        <w:tc>
          <w:tcPr>
            <w:tcW w:w="70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81-1173868</w:t>
            </w:r>
          </w:p>
        </w:tc>
      </w:tr>
      <w:tr>
        <w:trPr/>
        <w:tc>
          <w:tcPr>
            <w:tcW w:w="3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Identification Number)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1050 Waltham Street,</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Suite 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02421</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Lexington,</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Tel: (617) 314-6297</w:t>
      </w:r>
    </w:p>
    <w:p>
      <w:pPr>
        <w:pStyle w:val="TextBody"/>
        <w:bidi w:val="0"/>
        <w:spacing w:lineRule="auto" w:line="288" w:before="120" w:after="283"/>
        <w:jc w:val="center"/>
        <w:rPr>
          <w:rFonts w:ascii="Arial;sans-serif" w:hAnsi="Arial;sans-serif"/>
          <w:b w:val="false"/>
          <w:color w:val="000000"/>
          <w:sz w:val="14"/>
        </w:rPr>
      </w:pPr>
      <w:r>
        <w:rPr>
          <w:rFonts w:ascii="Arial;sans-serif" w:hAnsi="Arial;sans-serif"/>
          <w:b w:val="false"/>
          <w:color w:val="000000"/>
          <w:sz w:val="14"/>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871" w:type="dxa"/>
        <w:jc w:val="center"/>
        <w:tblInd w:w="0" w:type="dxa"/>
        <w:tblLayout w:type="fixed"/>
        <w:tblCellMar>
          <w:top w:w="28" w:type="dxa"/>
          <w:left w:w="28" w:type="dxa"/>
          <w:bottom w:w="28" w:type="dxa"/>
          <w:right w:w="28" w:type="dxa"/>
        </w:tblCellMar>
      </w:tblPr>
      <w:tblGrid>
        <w:gridCol w:w="1292"/>
        <w:gridCol w:w="1131"/>
        <w:gridCol w:w="1146"/>
        <w:gridCol w:w="109"/>
        <w:gridCol w:w="109"/>
        <w:gridCol w:w="109"/>
        <w:gridCol w:w="414"/>
        <w:gridCol w:w="414"/>
        <w:gridCol w:w="416"/>
        <w:gridCol w:w="109"/>
        <w:gridCol w:w="109"/>
        <w:gridCol w:w="109"/>
        <w:gridCol w:w="995"/>
        <w:gridCol w:w="995"/>
        <w:gridCol w:w="1414"/>
      </w:tblGrid>
      <w:tr>
        <w:trPr/>
        <w:tc>
          <w:tcPr>
            <w:tcW w:w="12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Stock Market LLC</w:t>
            </w:r>
          </w:p>
        </w:tc>
      </w:tr>
      <w:tr>
        <w:trPr/>
        <w:tc>
          <w:tcPr>
            <w:tcW w:w="35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The Nasdaq Stock Market LLC</w:t>
            </w:r>
          </w:p>
        </w:tc>
      </w:tr>
    </w:tbl>
    <w:p>
      <w:pPr>
        <w:pStyle w:val="TextBody"/>
        <w:bidi w:val="0"/>
        <w:spacing w:lineRule="auto" w:line="288" w:before="140" w:after="283"/>
        <w:ind w:left="0" w:right="0" w:firstLine="36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6"/>
        </w:rPr>
        <w:t>Yes   </w:t>
      </w:r>
      <w:r>
        <w:rPr>
          <w:color w:val="000000"/>
        </w:rPr>
        <w:t xml:space="preserve">☐ </w:t>
      </w:r>
      <w:r>
        <w:rPr>
          <w:rFonts w:ascii="Arial;sans-serif" w:hAnsi="Arial;sans-serif"/>
          <w:b w:val="false"/>
          <w:color w:val="000000"/>
          <w:sz w:val="16"/>
        </w:rPr>
        <w:t>No</w:t>
      </w:r>
    </w:p>
    <w:p>
      <w:pPr>
        <w:pStyle w:val="TextBody"/>
        <w:bidi w:val="0"/>
        <w:spacing w:lineRule="auto" w:line="288" w:before="120" w:after="283"/>
        <w:ind w:left="0" w:right="0" w:firstLine="36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Arial;sans-serif" w:hAnsi="Arial;sans-serif"/>
          <w:b w:val="false"/>
          <w:color w:val="000000"/>
          <w:sz w:val="16"/>
        </w:rPr>
        <w:t>Yes  </w:t>
      </w:r>
      <w:r>
        <w:rPr>
          <w:color w:val="000000"/>
        </w:rPr>
        <w:t>☐  </w:t>
      </w:r>
      <w:r>
        <w:rPr>
          <w:rFonts w:ascii="Arial;sans-serif" w:hAnsi="Arial;sans-serif"/>
          <w:b w:val="false"/>
          <w:color w:val="000000"/>
          <w:sz w:val="16"/>
        </w:rPr>
        <w:t>No</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85" w:type="dxa"/>
        <w:jc w:val="center"/>
        <w:tblInd w:w="0" w:type="dxa"/>
        <w:tblLayout w:type="fixed"/>
        <w:tblCellMar>
          <w:top w:w="28" w:type="dxa"/>
          <w:left w:w="28" w:type="dxa"/>
          <w:bottom w:w="28" w:type="dxa"/>
          <w:right w:w="28" w:type="dxa"/>
        </w:tblCellMar>
      </w:tblPr>
      <w:tblGrid>
        <w:gridCol w:w="657"/>
        <w:gridCol w:w="577"/>
        <w:gridCol w:w="580"/>
        <w:gridCol w:w="109"/>
        <w:gridCol w:w="109"/>
        <w:gridCol w:w="109"/>
        <w:gridCol w:w="109"/>
        <w:gridCol w:w="109"/>
        <w:gridCol w:w="109"/>
        <w:gridCol w:w="714"/>
        <w:gridCol w:w="714"/>
        <w:gridCol w:w="717"/>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36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Arial;sans-serif" w:hAnsi="Arial;sans-serif"/>
          <w:b w:val="false"/>
          <w:color w:val="000000"/>
          <w:sz w:val="16"/>
        </w:rPr>
        <w:t>Indicate by check mark whether the registrant is a shell company (as defined in Rule 12b-2 of the Exchange Act).   </w:t>
      </w:r>
      <w:r>
        <w:rPr>
          <w:color w:val="000000"/>
        </w:rPr>
        <w:t xml:space="preserve">☐ </w:t>
      </w:r>
      <w:r>
        <w:rPr>
          <w:rFonts w:ascii="Arial;sans-serif" w:hAnsi="Arial;sans-serif"/>
          <w:b w:val="false"/>
          <w:color w:val="000000"/>
          <w:sz w:val="16"/>
        </w:rPr>
        <w:t xml:space="preserve">Yes </w:t>
      </w:r>
      <w:r>
        <w:rPr>
          <w:color w:val="000000"/>
        </w:rPr>
        <w:t>☑ </w:t>
      </w:r>
      <w:r>
        <w:rPr>
          <w:rFonts w:ascii="Arial;sans-serif" w:hAnsi="Arial;sans-serif"/>
          <w:b w:val="false"/>
          <w:color w:val="000000"/>
          <w:sz w:val="16"/>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As of May 1, 2025, there were 40,615,414 outstanding shares of the registrant's common stock, par value $0.0001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1070"/>
        <w:gridCol w:w="941"/>
        <w:gridCol w:w="941"/>
        <w:gridCol w:w="2263"/>
        <w:gridCol w:w="2176"/>
        <w:gridCol w:w="2196"/>
        <w:gridCol w:w="180"/>
        <w:gridCol w:w="180"/>
        <w:gridCol w:w="258"/>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0">
              <w:r>
                <w:rPr>
                  <w:rStyle w:val="InternetLink"/>
                  <w:rFonts w:ascii="Arial;sans-serif" w:hAnsi="Arial;sans-serif"/>
                  <w:b/>
                  <w:strike w:val="false"/>
                  <w:dstrike w:val="false"/>
                  <w:color w:val="000000"/>
                  <w:sz w:val="20"/>
                  <w:u w:val="none"/>
                  <w:effect w:val="none"/>
                </w:rPr>
                <w:t>SPECIAL NOTE REGARDING FORWARD-LOOKING STATEMENTS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0">
              <w:r>
                <w:rPr>
                  <w:rStyle w:val="InternetLink"/>
                  <w:rFonts w:ascii="Arial;sans-serif" w:hAnsi="Arial;sans-serif"/>
                  <w:b w:val="false"/>
                  <w:strike w:val="false"/>
                  <w:dstrike w:val="false"/>
                  <w:color w:val="000000"/>
                  <w:sz w:val="20"/>
                  <w:u w:val="none"/>
                  <w:effect w:val="none"/>
                </w:rPr>
                <w:t>2</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3">
              <w:r>
                <w:rPr>
                  <w:rStyle w:val="InternetLink"/>
                  <w:rFonts w:ascii="Arial;sans-serif" w:hAnsi="Arial;sans-serif"/>
                  <w:b/>
                  <w:strike w:val="false"/>
                  <w:dstrike w:val="false"/>
                  <w:color w:val="000000"/>
                  <w:sz w:val="20"/>
                  <w:u w:val="none"/>
                  <w:effect w:val="none"/>
                </w:rPr>
                <w:t>SPECIAL NOTE REGARDING COMPANY REFERENCES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3">
              <w:r>
                <w:rPr>
                  <w:rStyle w:val="InternetLink"/>
                  <w:rFonts w:ascii="Arial;sans-serif" w:hAnsi="Arial;sans-serif"/>
                  <w:b w:val="false"/>
                  <w:strike w:val="false"/>
                  <w:dstrike w:val="false"/>
                  <w:color w:val="000000"/>
                  <w:sz w:val="20"/>
                  <w:u w:val="none"/>
                  <w:effect w:val="none"/>
                </w:rPr>
                <w:t>3</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6">
              <w:r>
                <w:rPr>
                  <w:rStyle w:val="InternetLink"/>
                  <w:rFonts w:ascii="Arial;sans-serif" w:hAnsi="Arial;sans-serif"/>
                  <w:b/>
                  <w:strike w:val="false"/>
                  <w:dstrike w:val="false"/>
                  <w:color w:val="000000"/>
                  <w:sz w:val="20"/>
                  <w:u w:val="none"/>
                  <w:effect w:val="none"/>
                </w:rPr>
                <w:t>SPECIAL NOTE REGARDING TRADEMARKS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6">
              <w:r>
                <w:rPr>
                  <w:rStyle w:val="InternetLink"/>
                  <w:rFonts w:ascii="Arial;sans-serif" w:hAnsi="Arial;sans-serif"/>
                  <w:b w:val="false"/>
                  <w:strike w:val="false"/>
                  <w:dstrike w:val="false"/>
                  <w:color w:val="000000"/>
                  <w:sz w:val="20"/>
                  <w:u w:val="none"/>
                  <w:effect w:val="none"/>
                </w:rPr>
                <w:t>3</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SUMMARY OF SELECTED RISKS ASSOCIATED WITH OUR BUSINESS</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9">
              <w:r>
                <w:rPr>
                  <w:rStyle w:val="InternetLink"/>
                  <w:rFonts w:ascii="Arial;sans-serif" w:hAnsi="Arial;sans-serif"/>
                  <w:b w:val="false"/>
                  <w:strike w:val="false"/>
                  <w:dstrike w:val="false"/>
                  <w:color w:val="000000"/>
                  <w:sz w:val="20"/>
                  <w:u w:val="none"/>
                  <w:effect w:val="none"/>
                </w:rPr>
                <w:t>4</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PART I.</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22">
              <w:r>
                <w:rPr>
                  <w:rStyle w:val="InternetLink"/>
                  <w:rFonts w:ascii="Arial;sans-serif" w:hAnsi="Arial;sans-serif"/>
                  <w:b w:val="false"/>
                  <w:strike w:val="false"/>
                  <w:dstrike w:val="false"/>
                  <w:color w:val="000000"/>
                  <w:sz w:val="20"/>
                  <w:u w:val="none"/>
                  <w:effect w:val="none"/>
                </w:rPr>
                <w:t>FINANCIAL INFORMATION</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22">
              <w:r>
                <w:rPr>
                  <w:rStyle w:val="InternetLink"/>
                  <w:rFonts w:ascii="Arial;sans-serif" w:hAnsi="Arial;sans-serif"/>
                  <w:b w:val="false"/>
                  <w:strike w:val="false"/>
                  <w:dstrike w:val="false"/>
                  <w:color w:val="000000"/>
                  <w:sz w:val="20"/>
                  <w:u w:val="none"/>
                  <w:effect w:val="none"/>
                </w:rPr>
                <w:t>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22">
              <w:r>
                <w:rPr>
                  <w:rStyle w:val="InternetLink"/>
                  <w:rFonts w:ascii="Arial;sans-serif" w:hAnsi="Arial;sans-serif"/>
                  <w:b w:val="false"/>
                  <w:strike w:val="false"/>
                  <w:dstrike w:val="false"/>
                  <w:color w:val="000000"/>
                  <w:sz w:val="20"/>
                  <w:u w:val="none"/>
                  <w:effect w:val="none"/>
                </w:rPr>
                <w:t>Financial Statements (Unaudited)</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22">
              <w:r>
                <w:rPr>
                  <w:rStyle w:val="InternetLink"/>
                  <w:rFonts w:ascii="Arial;sans-serif" w:hAnsi="Arial;sans-serif"/>
                  <w:b w:val="false"/>
                  <w:strike w:val="false"/>
                  <w:dstrike w:val="false"/>
                  <w:color w:val="000000"/>
                  <w:sz w:val="20"/>
                  <w:u w:val="none"/>
                  <w:effect w:val="none"/>
                </w:rPr>
                <w:t>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25">
              <w:r>
                <w:rPr>
                  <w:rStyle w:val="InternetLink"/>
                  <w:rFonts w:ascii="Arial;sans-serif" w:hAnsi="Arial;sans-serif"/>
                  <w:b w:val="false"/>
                  <w:strike w:val="false"/>
                  <w:dstrike w:val="false"/>
                  <w:color w:val="000000"/>
                  <w:sz w:val="20"/>
                  <w:u w:val="none"/>
                  <w:effect w:val="none"/>
                </w:rPr>
                <w:t>Condensed Consolidated Balance Sheets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25">
              <w:r>
                <w:rPr>
                  <w:rStyle w:val="InternetLink"/>
                  <w:rFonts w:ascii="Arial;sans-serif" w:hAnsi="Arial;sans-serif"/>
                  <w:b w:val="false"/>
                  <w:strike w:val="false"/>
                  <w:dstrike w:val="false"/>
                  <w:color w:val="000000"/>
                  <w:sz w:val="20"/>
                  <w:u w:val="none"/>
                  <w:effect w:val="none"/>
                </w:rPr>
                <w:t>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28">
              <w:r>
                <w:rPr>
                  <w:rStyle w:val="InternetLink"/>
                  <w:rFonts w:ascii="Arial;sans-serif" w:hAnsi="Arial;sans-serif"/>
                  <w:b w:val="false"/>
                  <w:strike w:val="false"/>
                  <w:dstrike w:val="false"/>
                  <w:color w:val="000000"/>
                  <w:sz w:val="20"/>
                  <w:u w:val="none"/>
                  <w:effect w:val="none"/>
                </w:rPr>
                <w:t>Condensed Consolidated Statements of Operations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28">
              <w:r>
                <w:rPr>
                  <w:rStyle w:val="InternetLink"/>
                  <w:rFonts w:ascii="Arial;sans-serif" w:hAnsi="Arial;sans-serif"/>
                  <w:b w:val="false"/>
                  <w:strike w:val="false"/>
                  <w:dstrike w:val="false"/>
                  <w:color w:val="000000"/>
                  <w:sz w:val="20"/>
                  <w:u w:val="none"/>
                  <w:effect w:val="none"/>
                </w:rPr>
                <w:t>6</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31">
              <w:r>
                <w:rPr>
                  <w:rStyle w:val="InternetLink"/>
                  <w:rFonts w:ascii="Arial;sans-serif" w:hAnsi="Arial;sans-serif"/>
                  <w:b w:val="false"/>
                  <w:strike w:val="false"/>
                  <w:dstrike w:val="false"/>
                  <w:color w:val="000000"/>
                  <w:sz w:val="20"/>
                  <w:u w:val="none"/>
                  <w:effect w:val="none"/>
                </w:rPr>
                <w:t>Condensed Consolidated Statements of Stockholders’ Equity</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31">
              <w:r>
                <w:rPr>
                  <w:rStyle w:val="InternetLink"/>
                  <w:rFonts w:ascii="Arial;sans-serif" w:hAnsi="Arial;sans-serif"/>
                  <w:b w:val="false"/>
                  <w:strike w:val="false"/>
                  <w:dstrike w:val="false"/>
                  <w:color w:val="000000"/>
                  <w:sz w:val="20"/>
                  <w:u w:val="none"/>
                  <w:effect w:val="none"/>
                </w:rPr>
                <w:t>7</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34">
              <w:r>
                <w:rPr>
                  <w:rStyle w:val="InternetLink"/>
                  <w:rFonts w:ascii="Arial;sans-serif" w:hAnsi="Arial;sans-serif"/>
                  <w:b w:val="false"/>
                  <w:strike w:val="false"/>
                  <w:dstrike w:val="false"/>
                  <w:color w:val="000000"/>
                  <w:sz w:val="20"/>
                  <w:u w:val="none"/>
                  <w:effect w:val="none"/>
                </w:rPr>
                <w:t>Condensed Consolidated Statements of Cash Flows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34">
              <w:r>
                <w:rPr>
                  <w:rStyle w:val="InternetLink"/>
                  <w:rFonts w:ascii="Arial;sans-serif" w:hAnsi="Arial;sans-serif"/>
                  <w:b w:val="false"/>
                  <w:strike w:val="false"/>
                  <w:dstrike w:val="false"/>
                  <w:color w:val="000000"/>
                  <w:sz w:val="20"/>
                  <w:u w:val="none"/>
                  <w:effect w:val="none"/>
                </w:rPr>
                <w:t>8</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37">
              <w:r>
                <w:rPr>
                  <w:rStyle w:val="InternetLink"/>
                  <w:rFonts w:ascii="Arial;sans-serif" w:hAnsi="Arial;sans-serif"/>
                  <w:b w:val="false"/>
                  <w:strike w:val="false"/>
                  <w:dstrike w:val="false"/>
                  <w:color w:val="000000"/>
                  <w:sz w:val="20"/>
                  <w:u w:val="none"/>
                  <w:effect w:val="none"/>
                </w:rPr>
                <w:t>Notes to Condensed Consolidated Financial Statements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37">
              <w:r>
                <w:rPr>
                  <w:rStyle w:val="InternetLink"/>
                  <w:rFonts w:ascii="Arial;sans-serif" w:hAnsi="Arial;sans-serif"/>
                  <w:b w:val="false"/>
                  <w:strike w:val="false"/>
                  <w:dstrike w:val="false"/>
                  <w:color w:val="000000"/>
                  <w:sz w:val="20"/>
                  <w:u w:val="none"/>
                  <w:effect w:val="none"/>
                </w:rPr>
                <w:t>9</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70">
              <w:r>
                <w:rPr>
                  <w:rStyle w:val="InternetLink"/>
                  <w:rFonts w:ascii="Arial;sans-serif" w:hAnsi="Arial;sans-serif"/>
                  <w:b w:val="false"/>
                  <w:strike w:val="false"/>
                  <w:dstrike w:val="false"/>
                  <w:color w:val="000000"/>
                  <w:sz w:val="20"/>
                  <w:u w:val="none"/>
                  <w:effect w:val="none"/>
                </w:rPr>
                <w:t>Management’s Discussion and Analysis of Financial Condition and Results of Operations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70">
              <w:r>
                <w:rPr>
                  <w:rStyle w:val="InternetLink"/>
                  <w:rFonts w:ascii="Arial;sans-serif" w:hAnsi="Arial;sans-serif"/>
                  <w:b w:val="false"/>
                  <w:strike w:val="false"/>
                  <w:dstrike w:val="false"/>
                  <w:color w:val="000000"/>
                  <w:sz w:val="20"/>
                  <w:u w:val="none"/>
                  <w:effect w:val="none"/>
                </w:rPr>
                <w:t>19</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94">
              <w:r>
                <w:rPr>
                  <w:rStyle w:val="InternetLink"/>
                  <w:rFonts w:ascii="Arial;sans-serif" w:hAnsi="Arial;sans-serif"/>
                  <w:b w:val="false"/>
                  <w:strike w:val="false"/>
                  <w:dstrike w:val="false"/>
                  <w:color w:val="000000"/>
                  <w:sz w:val="20"/>
                  <w:u w:val="none"/>
                  <w:effect w:val="none"/>
                </w:rPr>
                <w:t>Quantitative and Qualitative Disclosures About Market Risk</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94">
              <w:r>
                <w:rPr>
                  <w:rStyle w:val="InternetLink"/>
                  <w:rFonts w:ascii="Arial;sans-serif" w:hAnsi="Arial;sans-serif"/>
                  <w:b w:val="false"/>
                  <w:strike w:val="false"/>
                  <w:dstrike w:val="false"/>
                  <w:color w:val="000000"/>
                  <w:sz w:val="20"/>
                  <w:u w:val="none"/>
                  <w:effect w:val="none"/>
                </w:rPr>
                <w:t>29</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97">
              <w:r>
                <w:rPr>
                  <w:rStyle w:val="InternetLink"/>
                  <w:rFonts w:ascii="Arial;sans-serif" w:hAnsi="Arial;sans-serif"/>
                  <w:b w:val="false"/>
                  <w:strike w:val="false"/>
                  <w:dstrike w:val="false"/>
                  <w:color w:val="000000"/>
                  <w:sz w:val="20"/>
                  <w:u w:val="none"/>
                  <w:effect w:val="non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97">
              <w:r>
                <w:rPr>
                  <w:rStyle w:val="InternetLink"/>
                  <w:rFonts w:ascii="Arial;sans-serif" w:hAnsi="Arial;sans-serif"/>
                  <w:b w:val="false"/>
                  <w:strike w:val="false"/>
                  <w:dstrike w:val="false"/>
                  <w:color w:val="000000"/>
                  <w:sz w:val="20"/>
                  <w:u w:val="none"/>
                  <w:effect w:val="none"/>
                </w:rPr>
                <w:t>30</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PART II.</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00">
              <w:r>
                <w:rPr>
                  <w:rStyle w:val="InternetLink"/>
                  <w:rFonts w:ascii="Arial;sans-serif" w:hAnsi="Arial;sans-serif"/>
                  <w:b w:val="false"/>
                  <w:strike w:val="false"/>
                  <w:dstrike w:val="false"/>
                  <w:color w:val="000000"/>
                  <w:sz w:val="20"/>
                  <w:u w:val="none"/>
                  <w:effect w:val="none"/>
                </w:rPr>
                <w:t>OTHER INFORMATION</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00">
              <w:r>
                <w:rPr>
                  <w:rStyle w:val="InternetLink"/>
                  <w:rFonts w:ascii="Arial;sans-serif" w:hAnsi="Arial;sans-serif"/>
                  <w:b w:val="false"/>
                  <w:strike w:val="false"/>
                  <w:dstrike w:val="false"/>
                  <w:color w:val="000000"/>
                  <w:sz w:val="20"/>
                  <w:u w:val="none"/>
                  <w:effect w:val="none"/>
                </w:rPr>
                <w:t>30</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03">
              <w:r>
                <w:rPr>
                  <w:rStyle w:val="InternetLink"/>
                  <w:rFonts w:ascii="Arial;sans-serif" w:hAnsi="Arial;sans-serif"/>
                  <w:b w:val="false"/>
                  <w:strike w:val="false"/>
                  <w:dstrike w:val="false"/>
                  <w:color w:val="000000"/>
                  <w:sz w:val="20"/>
                  <w:u w:val="none"/>
                  <w:effect w:val="none"/>
                </w:rPr>
                <w:t>Legal Proceedings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03">
              <w:r>
                <w:rPr>
                  <w:rStyle w:val="InternetLink"/>
                  <w:rFonts w:ascii="Arial;sans-serif" w:hAnsi="Arial;sans-serif"/>
                  <w:b w:val="false"/>
                  <w:strike w:val="false"/>
                  <w:dstrike w:val="false"/>
                  <w:color w:val="000000"/>
                  <w:sz w:val="20"/>
                  <w:u w:val="none"/>
                  <w:effect w:val="none"/>
                </w:rPr>
                <w:t>30</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06">
              <w:r>
                <w:rPr>
                  <w:rStyle w:val="InternetLink"/>
                  <w:rFonts w:ascii="Arial;sans-serif" w:hAnsi="Arial;sans-serif"/>
                  <w:b w:val="false"/>
                  <w:strike w:val="false"/>
                  <w:dstrike w:val="false"/>
                  <w:color w:val="000000"/>
                  <w:sz w:val="20"/>
                  <w:u w:val="none"/>
                  <w:effect w:val="none"/>
                </w:rPr>
                <w:t>Risk Factors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06">
              <w:r>
                <w:rPr>
                  <w:rStyle w:val="InternetLink"/>
                  <w:rFonts w:ascii="Arial;sans-serif" w:hAnsi="Arial;sans-serif"/>
                  <w:b w:val="false"/>
                  <w:strike w:val="false"/>
                  <w:dstrike w:val="false"/>
                  <w:color w:val="000000"/>
                  <w:sz w:val="20"/>
                  <w:u w:val="none"/>
                  <w:effect w:val="none"/>
                </w:rPr>
                <w:t>30</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09">
              <w:r>
                <w:rPr>
                  <w:rStyle w:val="InternetLink"/>
                  <w:rFonts w:ascii="Arial;sans-serif" w:hAnsi="Arial;sans-serif"/>
                  <w:b w:val="false"/>
                  <w:strike w:val="false"/>
                  <w:dstrike w:val="false"/>
                  <w:color w:val="000000"/>
                  <w:sz w:val="20"/>
                  <w:u w:val="none"/>
                  <w:effect w:val="none"/>
                </w:rPr>
                <w:t>85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12">
              <w:r>
                <w:rPr>
                  <w:rStyle w:val="InternetLink"/>
                  <w:rFonts w:ascii="Arial;sans-serif" w:hAnsi="Arial;sans-serif"/>
                  <w:b w:val="false"/>
                  <w:strike w:val="false"/>
                  <w:dstrike w:val="false"/>
                  <w:color w:val="000000"/>
                  <w:sz w:val="20"/>
                  <w:u w:val="none"/>
                  <w:effect w:val="none"/>
                </w:rPr>
                <w:t>Defaults Upon Senior Securities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12">
              <w:r>
                <w:rPr>
                  <w:rStyle w:val="InternetLink"/>
                  <w:rFonts w:ascii="Arial;sans-serif" w:hAnsi="Arial;sans-serif"/>
                  <w:b w:val="false"/>
                  <w:strike w:val="false"/>
                  <w:dstrike w:val="false"/>
                  <w:color w:val="000000"/>
                  <w:sz w:val="20"/>
                  <w:u w:val="none"/>
                  <w:effect w:val="none"/>
                </w:rPr>
                <w:t>85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15">
              <w:r>
                <w:rPr>
                  <w:rStyle w:val="InternetLink"/>
                  <w:rFonts w:ascii="Arial;sans-serif" w:hAnsi="Arial;sans-serif"/>
                  <w:b w:val="false"/>
                  <w:strike w:val="false"/>
                  <w:dstrike w:val="false"/>
                  <w:color w:val="000000"/>
                  <w:sz w:val="20"/>
                  <w:u w:val="none"/>
                  <w:effect w:val="none"/>
                </w:rPr>
                <w:t>Mine Safety Disclosures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15">
              <w:r>
                <w:rPr>
                  <w:rStyle w:val="InternetLink"/>
                  <w:rFonts w:ascii="Arial;sans-serif" w:hAnsi="Arial;sans-serif"/>
                  <w:b w:val="false"/>
                  <w:strike w:val="false"/>
                  <w:dstrike w:val="false"/>
                  <w:color w:val="000000"/>
                  <w:sz w:val="20"/>
                  <w:u w:val="none"/>
                  <w:effect w:val="none"/>
                </w:rPr>
                <w:t>85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18">
              <w:r>
                <w:rPr>
                  <w:rStyle w:val="InternetLink"/>
                  <w:rFonts w:ascii="Arial;sans-serif" w:hAnsi="Arial;sans-serif"/>
                  <w:b w:val="false"/>
                  <w:strike w:val="false"/>
                  <w:dstrike w:val="false"/>
                  <w:color w:val="000000"/>
                  <w:sz w:val="20"/>
                  <w:u w:val="none"/>
                  <w:effect w:val="none"/>
                </w:rPr>
                <w:t>Other Information</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18">
              <w:r>
                <w:rPr>
                  <w:rStyle w:val="InternetLink"/>
                  <w:rFonts w:ascii="Arial;sans-serif" w:hAnsi="Arial;sans-serif"/>
                  <w:b w:val="false"/>
                  <w:strike w:val="false"/>
                  <w:dstrike w:val="false"/>
                  <w:color w:val="000000"/>
                  <w:sz w:val="20"/>
                  <w:u w:val="none"/>
                  <w:effect w:val="none"/>
                </w:rPr>
                <w:t>85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24">
              <w:r>
                <w:rPr>
                  <w:rStyle w:val="InternetLink"/>
                  <w:rFonts w:ascii="Arial;sans-serif" w:hAnsi="Arial;sans-serif"/>
                  <w:b w:val="false"/>
                  <w:strike w:val="false"/>
                  <w:dstrike w:val="false"/>
                  <w:color w:val="000000"/>
                  <w:sz w:val="20"/>
                  <w:u w:val="none"/>
                  <w:effect w:val="none"/>
                </w:rPr>
                <w:t>Exhibits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30d0ce75c7d64bde97283de1302b9722_124">
              <w:r>
                <w:rPr>
                  <w:rStyle w:val="InternetLink"/>
                  <w:rFonts w:ascii="Arial;sans-serif" w:hAnsi="Arial;sans-serif"/>
                  <w:b w:val="false"/>
                  <w:strike w:val="false"/>
                  <w:dstrike w:val="false"/>
                  <w:color w:val="000000"/>
                  <w:sz w:val="20"/>
                  <w:u w:val="none"/>
                  <w:effect w:val="none"/>
                </w:rPr>
                <w:t>87</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0d0ce75c7d64bde97283de1302b9722_127">
              <w:r>
                <w:rPr>
                  <w:rStyle w:val="InternetLink"/>
                  <w:rFonts w:ascii="Arial;sans-serif" w:hAnsi="Arial;sans-serif"/>
                  <w:b w:val="false"/>
                  <w:strike w:val="false"/>
                  <w:dstrike w:val="false"/>
                  <w:color w:val="000000"/>
                  <w:sz w:val="20"/>
                  <w:u w:val="none"/>
                  <w:effect w:val="none"/>
                </w:rPr>
                <w:t>Signature</w:t>
              </w:r>
            </w:hyperlink>
            <w:r>
              <w:rPr>
                <w:rFonts w:ascii="Arial;sans-serif" w:hAnsi="Arial;sans-serif"/>
                <w:b w:val="false"/>
                <w:color w:val="000000"/>
                <w:sz w:val="20"/>
              </w:rPr>
              <w:t>s</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All statements other than statements of historical facts contained in this Quarterly Report on Form 10-Q are forward-looking statements, including statements about:</w:t>
      </w:r>
    </w:p>
    <w:p>
      <w:pPr>
        <w:pStyle w:val="TextBody"/>
        <w:bidi w:val="0"/>
        <w:spacing w:before="0" w:after="0"/>
        <w:jc w:val="left"/>
        <w:rPr/>
      </w:pPr>
      <w:r>
        <w:rPr/>
      </w:r>
    </w:p>
    <w:p>
      <w:pPr>
        <w:pStyle w:val="TextBody"/>
        <w:bidi w:val="0"/>
        <w:spacing w:lineRule="auto" w:line="256" w:before="60" w:after="283"/>
        <w:ind w:left="0" w:right="0" w:hanging="360"/>
        <w:jc w:val="left"/>
        <w:rPr/>
      </w:pPr>
      <w:r>
        <w:rPr>
          <w:color w:val="000000"/>
        </w:rPr>
        <w:t>▪</w:t>
      </w:r>
      <w:r>
        <w:rPr>
          <w:rFonts w:ascii="Arial;sans-serif" w:hAnsi="Arial;sans-serif"/>
          <w:b w:val="false"/>
          <w:color w:val="000000"/>
          <w:sz w:val="20"/>
        </w:rPr>
        <w:t>the timing of announcement of data from our Phase 2 clinical trial for our product candidate, cibotercept (KER-012), in patients with pulmonary arterial hypertension;</w:t>
      </w:r>
    </w:p>
    <w:p>
      <w:pPr>
        <w:pStyle w:val="TextBody"/>
        <w:bidi w:val="0"/>
        <w:spacing w:lineRule="auto" w:line="256" w:before="60" w:after="283"/>
        <w:ind w:left="0" w:right="0" w:hanging="360"/>
        <w:jc w:val="left"/>
        <w:rPr/>
      </w:pPr>
      <w:r>
        <w:rPr>
          <w:color w:val="000000"/>
        </w:rPr>
        <w:t>▪</w:t>
      </w:r>
      <w:r>
        <w:rPr>
          <w:rFonts w:ascii="Arial;sans-serif" w:hAnsi="Arial;sans-serif"/>
          <w:b w:val="false"/>
          <w:color w:val="000000"/>
          <w:sz w:val="20"/>
        </w:rPr>
        <w:t>the timing of engagement with regulatory authorities and initiation of a Phase 2 clinical trial of our second product candidate, KER-065, in patients with Duchenne muscular dystrophy;</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risks associated with public health crises, which may adversely impact our business, preclinical studies and clinical trials;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receive the required regulatory approvals and clearances to successfully market and sell our products, if approved in the United States and certain other countries;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successfully advance our pipeline of additional product candidates;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develop sales and marketing capabilities;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rate and degree of market acceptance of any products we are able to commercialize;</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effects of increased competition as well as innovations by new and existing competitors in our market;</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obtain funding for our operations;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establish and maintain collaborations;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effectively manage our anticipated growth;</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maintain, protect and enhance our intellectual property rights and proprietary technologies;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operate our business without infringing the intellectual property rights and proprietary technology of third parties;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costs associated with defending intellectual property infringement, product liability and other claims;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regulatory developments in the United States, Australia, New Zealand, Europe, the United Kingdom and other foreign countries;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attract and retain qualified employees;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 xml:space="preserve">statements regarding future revenue, hiring plans, expenses, capital expenditures, capital requirements and stock performance; </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review of strategic alternatives, the timing for providing a preliminary update regarding the status of this process and the outcome of such review; and</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future trading prices of our common stock and the impact of securities analysts’ reports on these prices.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 should read the section titled “Risk Factors” set forth in Part II, Item 1A of this Quarterly Report on Form 10-Q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accurate.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SPECIAL NOTE REGARDING COMPANY REFERENCES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Throughout this Quarterly Report on Form 10-Q, “Keros,” the “Company,” “we,” “us” and “our” refer to Keros Therapeutics, Inc.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SPECIAL NOTE REGARDING TRADEMARKS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trademarks, trade names and service marks appearing in this Quarterly Report on Form 10-Q are the property of their respective owners.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SUMMARY OF SELECTED RISKS ASSOCIATED WITH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on Form 10-Q. Some of the more significant risks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a limited operating history, have incurred net losses in every year since our inception and anticipate that we will continue to incur net losses in the future.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heavily dependent on the success of our product candidates, which are in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All of our product candidates are in preclinical or clinical development stages. Clinical trials are difficult to design and implement, and they involve a lengthy and expensive process with uncertain outcomes. We may experience delays in completing, or ultimately be unable to complete, the development and commercialization of cibotercept (KER-012), KER-065, elritercept (KER-050) or any future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face significant competition from other biotechnology and pharmaceutical companies, and our operating results will suffer if we fail to compete effectively.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dependent on our existing third-party collaborations with Takeda Pharmaceuticals U.S.A., Inc., or Takeda, and Hansoh (Shanghai) Healthtech Co., Ltd., or Hansoh, to commercialize elritercept, and if Takeda and Hansoh are not successful in commercializing elritercept in their respective licensed territories, we will lose a significant source of potential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current and future collaborations are and will be important to our business. If we are unable to enter into new collaborations, or if these or our current collaborations are not successful, our business could be adversely affected.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Public health crises could adversely impact our business, including the timing or results of our preclinical studies and clinical trials.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strategic alternatives review process may not result in an executed or consummated transaction or other strategic alternative, and the process of reviewing strategic alternatives or its conclusion could adversely affect our business and our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 xml:space="preserve">(In thousands, except share and per share data)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945"/>
        <w:gridCol w:w="2189"/>
        <w:gridCol w:w="2201"/>
        <w:gridCol w:w="211"/>
        <w:gridCol w:w="826"/>
        <w:gridCol w:w="109"/>
        <w:gridCol w:w="109"/>
        <w:gridCol w:w="109"/>
        <w:gridCol w:w="109"/>
        <w:gridCol w:w="218"/>
        <w:gridCol w:w="854"/>
        <w:gridCol w:w="325"/>
      </w:tblGrid>
      <w:tr>
        <w:trPr/>
        <w:tc>
          <w:tcPr>
            <w:tcW w:w="29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2024</w:t>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559,931 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receivable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588,893 </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19,251 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615,886 </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LIABILITIES AND STOCKHOLDERS' EQUITY </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4,602 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tax liability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27,450 </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16,883 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44,333 </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Preferred stock, par value of $0.0001 per share; 10,000,000 shares authorized as of March 31, 2025 and December 31, 2024; no shares issued and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stock, par value of $0.0001 per share; 200,000,000 shares authorized as of March 31, 2025 and December 31, 2024; 40,562,047 and 40,554,705 shares issued and outstanding as of March 31, 2025 and December 31, 2024, respectively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1,140,328 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(568,779)</w:t>
            </w:r>
          </w:p>
        </w:tc>
        <w:tc>
          <w:tcPr>
            <w:tcW w:w="325"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728,871 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571,553 </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615,886 </w:t>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 w:after="283"/>
        <w:jc w:val="center"/>
        <w:rPr>
          <w:rFonts w:ascii="Arial;sans-serif" w:hAnsi="Arial;sans-serif"/>
          <w:b/>
          <w:color w:val="000000"/>
          <w:sz w:val="18"/>
        </w:rPr>
      </w:pPr>
      <w:r>
        <w:rPr>
          <w:rFonts w:ascii="Arial;sans-serif" w:hAnsi="Arial;sans-serif"/>
          <w:b/>
          <w:color w:val="000000"/>
          <w:sz w:val="18"/>
        </w:rPr>
        <w:t xml:space="preserve">KEROS THERAPEUTICS, INC. </w:t>
      </w:r>
    </w:p>
    <w:p>
      <w:pPr>
        <w:pStyle w:val="TextBody"/>
        <w:bidi w:val="0"/>
        <w:spacing w:lineRule="auto" w:line="288" w:before="6" w:after="283"/>
        <w:jc w:val="center"/>
        <w:rPr>
          <w:rFonts w:ascii="Arial;sans-serif" w:hAnsi="Arial;sans-serif"/>
          <w:b/>
          <w:color w:val="000000"/>
          <w:sz w:val="18"/>
        </w:rPr>
      </w:pPr>
      <w:r>
        <w:rPr>
          <w:rFonts w:ascii="Arial;sans-serif" w:hAnsi="Arial;sans-serif"/>
          <w:b/>
          <w:color w:val="000000"/>
          <w:sz w:val="18"/>
        </w:rPr>
        <w:t xml:space="preserve">Condensed Consolidated Statements of Operations </w:t>
      </w:r>
    </w:p>
    <w:p>
      <w:pPr>
        <w:pStyle w:val="TextBody"/>
        <w:bidi w:val="0"/>
        <w:spacing w:lineRule="auto" w:line="288" w:before="6" w:after="283"/>
        <w:jc w:val="center"/>
        <w:rPr>
          <w:rFonts w:ascii="Arial;sans-serif" w:hAnsi="Arial;sans-serif"/>
          <w:b w:val="false"/>
          <w:color w:val="000000"/>
          <w:sz w:val="18"/>
        </w:rPr>
      </w:pPr>
      <w:r>
        <w:rPr>
          <w:rFonts w:ascii="Arial;sans-serif" w:hAnsi="Arial;sans-serif"/>
          <w:b w:val="false"/>
          <w:color w:val="000000"/>
          <w:sz w:val="18"/>
        </w:rPr>
        <w:t xml:space="preserve">(In thousands, except share and per share data) </w:t>
      </w:r>
    </w:p>
    <w:p>
      <w:pPr>
        <w:pStyle w:val="TextBody"/>
        <w:bidi w:val="0"/>
        <w:spacing w:lineRule="auto" w:line="288" w:before="6" w:after="283"/>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488"/>
        <w:gridCol w:w="2184"/>
        <w:gridCol w:w="2197"/>
        <w:gridCol w:w="109"/>
        <w:gridCol w:w="109"/>
        <w:gridCol w:w="109"/>
        <w:gridCol w:w="240"/>
        <w:gridCol w:w="944"/>
        <w:gridCol w:w="123"/>
        <w:gridCol w:w="123"/>
        <w:gridCol w:w="123"/>
        <w:gridCol w:w="123"/>
        <w:gridCol w:w="240"/>
        <w:gridCol w:w="910"/>
        <w:gridCol w:w="183"/>
      </w:tblGrid>
      <w:tr>
        <w:trPr/>
        <w:tc>
          <w:tcPr>
            <w:tcW w:w="2488"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86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211,246 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(48,566)</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152,040 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(48,483)</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158,494 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 basic and diluted (Note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40,559,355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35,685,422</w:t>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41,021,325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35,685,422</w:t>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of common stock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of common stock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 xml:space="preserve">(In thousands, except share and per share data)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10205" w:type="dxa"/>
        <w:jc w:val="center"/>
        <w:tblInd w:w="0" w:type="dxa"/>
        <w:tblLayout w:type="fixed"/>
        <w:tblCellMar>
          <w:top w:w="28" w:type="dxa"/>
          <w:left w:w="28" w:type="dxa"/>
          <w:bottom w:w="28" w:type="dxa"/>
          <w:right w:w="28" w:type="dxa"/>
        </w:tblCellMar>
      </w:tblPr>
      <w:tblGrid>
        <w:gridCol w:w="758"/>
        <w:gridCol w:w="455"/>
        <w:gridCol w:w="456"/>
        <w:gridCol w:w="109"/>
        <w:gridCol w:w="109"/>
        <w:gridCol w:w="109"/>
        <w:gridCol w:w="540"/>
        <w:gridCol w:w="541"/>
        <w:gridCol w:w="291"/>
        <w:gridCol w:w="112"/>
        <w:gridCol w:w="112"/>
        <w:gridCol w:w="112"/>
        <w:gridCol w:w="330"/>
        <w:gridCol w:w="400"/>
        <w:gridCol w:w="171"/>
        <w:gridCol w:w="109"/>
        <w:gridCol w:w="109"/>
        <w:gridCol w:w="109"/>
        <w:gridCol w:w="211"/>
        <w:gridCol w:w="976"/>
        <w:gridCol w:w="109"/>
        <w:gridCol w:w="109"/>
        <w:gridCol w:w="109"/>
        <w:gridCol w:w="109"/>
        <w:gridCol w:w="278"/>
        <w:gridCol w:w="1109"/>
        <w:gridCol w:w="144"/>
        <w:gridCol w:w="109"/>
        <w:gridCol w:w="109"/>
        <w:gridCol w:w="109"/>
        <w:gridCol w:w="316"/>
        <w:gridCol w:w="1240"/>
        <w:gridCol w:w="236"/>
      </w:tblGrid>
      <w:tr>
        <w:trPr/>
        <w:tc>
          <w:tcPr>
            <w:tcW w:w="75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COMMON STOCK</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$0.0001 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STOCKHOLDERS’ EQUITY </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40,554,705 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1,140,328 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(568,779)</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571,553 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40,562,047 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1,149,195 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(420,328)</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728,871 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COMMON STOCK </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$0.0001 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STOCKHOLDERS’ EQUITY </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31,841,084 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713,636 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(381,426)</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332,213 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net of underwriting discounts, commissions, and offering costs of $9,943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151,057 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201,702 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36,067,786 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878,484 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(424,540)</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453,947 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 xml:space="preserve">(In thousands)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9762" w:type="dxa"/>
        <w:jc w:val="left"/>
        <w:tblInd w:w="0" w:type="dxa"/>
        <w:tblLayout w:type="fixed"/>
        <w:tblCellMar>
          <w:top w:w="28" w:type="dxa"/>
          <w:left w:w="28" w:type="dxa"/>
          <w:bottom w:w="28" w:type="dxa"/>
          <w:right w:w="28" w:type="dxa"/>
        </w:tblCellMar>
      </w:tblPr>
      <w:tblGrid>
        <w:gridCol w:w="2444"/>
        <w:gridCol w:w="2150"/>
        <w:gridCol w:w="2156"/>
        <w:gridCol w:w="238"/>
        <w:gridCol w:w="935"/>
        <w:gridCol w:w="123"/>
        <w:gridCol w:w="123"/>
        <w:gridCol w:w="123"/>
        <w:gridCol w:w="123"/>
        <w:gridCol w:w="238"/>
        <w:gridCol w:w="935"/>
        <w:gridCol w:w="174"/>
      </w:tblGrid>
      <w:tr>
        <w:trPr/>
        <w:tc>
          <w:tcPr>
            <w:tcW w:w="2444"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used in operating activities: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Non-cash lease expense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(4,478)</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Right-of-use assets and operating lease liabilities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revenue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tax liability</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11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161,171 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(44,560)</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issuance of common stock, net of underwriting discounts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 of issuance costs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1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156,802 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111,296 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561,380 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332,359 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721,990 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443,655 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purchases in accounts payable and accrued expenses</w:t>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The following table provides a reconciliation of the ending cash, cash equivalents and restricted cash as of each of the periods shown above:</w:t>
      </w:r>
    </w:p>
    <w:tbl>
      <w:tblPr>
        <w:tblW w:w="6684" w:type="dxa"/>
        <w:jc w:val="left"/>
        <w:tblInd w:w="0" w:type="dxa"/>
        <w:tblLayout w:type="fixed"/>
        <w:tblCellMar>
          <w:top w:w="28" w:type="dxa"/>
          <w:left w:w="28" w:type="dxa"/>
          <w:bottom w:w="28" w:type="dxa"/>
          <w:right w:w="28" w:type="dxa"/>
        </w:tblCellMar>
      </w:tblPr>
      <w:tblGrid>
        <w:gridCol w:w="1456"/>
        <w:gridCol w:w="1279"/>
        <w:gridCol w:w="1285"/>
        <w:gridCol w:w="211"/>
        <w:gridCol w:w="826"/>
        <w:gridCol w:w="109"/>
        <w:gridCol w:w="109"/>
        <w:gridCol w:w="109"/>
        <w:gridCol w:w="109"/>
        <w:gridCol w:w="211"/>
        <w:gridCol w:w="82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721,990 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443,655 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KEROS THERAPEUTICS,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1. NATURE OF BUSINESS AND BASIS OF PRESENTATION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Keros Therapeutics, Inc. (“Keros” or the “Company”) was incorporated in 2015 as a Delaware corporation. Its principal offices are in Lexington, Massachusetts. The Company is a clinical-stage biopharmaceutical company focused on developing and commercializing novel therapeutics to treat a wide range of patients with disorders that are linked to dysfunctional signaling of the transforming growth factor-beta (“TGF-ß”) family of proteins.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One of the Company’s product candidates, cibotercept (KER-012), is being developed for the treatment of pulmonary arterial hypertension (“PAH”) and for the treatment of cardiovascular disorders. The Company's second product candidate, KER-065, is being developed for the treatment of neuromuscular diseases. The Company’s most advanced product candidate, elritercept (KER-050), is being developed for the treatment of low blood cell counts (“cytopenias”), including anemia and thrombocytopenia, in patients with myelodysplastic syndromes (“MDS”) and in patients with myelofibrosis.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its inception in 2015, the Company has devoted the majority of its resources to business planning, research and development of its product candidates, including conducting clinical trials and preclinical studies, raising capital and recruiting management and technical staff to support these operations. To date, the Company has not generated any revenue from product sales as none of its product candidates have been approved for commercialization. </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 xml:space="preserve">Liquidity and Capital Resources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condensed consolidated financial statements have been prepared on the basis of the Company continuing as a going concern for the next 12 months. Management believes that the Company’s existing cash and cash equivalents as of March 31, 2025 will allow the Company to continue its operations for at least the next 12 months. In the absence of a significant source of recurring revenue, the continued viability of the Company is dependent on its ability to continue to raise additional capital to finance its operations. If the Company is unable to obtain additional funding, the Company may be forced to delay, reduce or eliminate some or all of its research and development programs, product portfolio expansion or commercialization efforts, which could adversely affect its business prospects, or the Company may be unable to continue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accompanying unaudited interim condensed consolidated financial statements as of March 31, 2025 and for the three months ended March 31, 2025 and 2024 have been prepared by the Company in conformity with generally accepted accounting principles in the United States of America (“U.S. GAAP”) and, pursuant to the rules and regulations of Article 10 of Regulation S-X of the Securities Act published by the Securities and Exchange Commission (“SEC”) for interim financial statements. Certain information and footnote disclosures normally included in financial statements prepared in accordance with U.S. GAAP have been condensed or omitted pursuant to such rules and regulations. However, the Company believes the disclosures are adequate to make the information presented not misleading. These unaudited interim condensed consolidated financial statements should be read in conjunction with the Company’s audited financial statements and notes thereto for the year ended December 31, 2024 included in the Company’s Annual Report on Form 10-K for the year ended December 31, 2024 filed with the SEC on February 26, 2025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 xml:space="preserve">The significant accounting policies and estimates used in preparation of the unaudited interim condensed consolidated financial statements are described in the Company’s audited consolidated financial statements as of and for the year ended December 31, 2024, and the notes thereto, which are included in the Annual Report. Except as detailed below, there have been no changes to the Company’s significant accounting policies during the three months ended March 31, 2025.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accounts for all stock-based awards granted to employees and non-employees as stock-based compensation expense at fair value. The Company’s stock-based awards include stock options, restricted stock unit ("RSU") awards and performance-based stock options. The measurement date for employee and non-employee awards is the date of grant. For stock-based awards that vest based on service conditions, stock-based compensation costs are recognized as expense over the requisite service period, which is the vesting period, on a straight-line basis. For stock options with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conditions, stock-based compensation costs are recognized as expense using the accelerated attribution method when it is probable that the performance condition will be achieved. Stock-based compensation expense is classified in the accompanying consolidated statement of operations based on the function to which the related services are provided. Forfeitures are recorded as they occur.</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fair value of each stock option grant is estimated on the date of grant using the Black-Scholes option-pricing model. The Company lacks company-specific historical and implied volatility information. Therefore, it estimates its expected stock volatility based on the historical volatility of a publicly traded set of peer companies weighted with its own volatility for the period in which its stock has been publicly traded</w:t>
      </w:r>
      <w:r>
        <w:rPr>
          <w:rFonts w:ascii="sans-serif" w:hAnsi="sans-serif"/>
          <w:b w:val="false"/>
          <w:color w:val="000000"/>
          <w:sz w:val="20"/>
        </w:rPr>
        <w:t xml:space="preserve">. </w:t>
      </w:r>
      <w:r>
        <w:rPr>
          <w:rFonts w:ascii="Arial;sans-serif" w:hAnsi="Arial;sans-serif"/>
          <w:b w:val="false"/>
          <w:color w:val="000000"/>
          <w:sz w:val="20"/>
        </w:rPr>
        <w:t>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pStyle w:val="TextBody"/>
        <w:bidi w:val="0"/>
        <w:spacing w:lineRule="auto" w:line="268" w:before="120" w:after="12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68" w:before="0" w:after="0"/>
        <w:jc w:val="left"/>
        <w:rPr/>
      </w:pPr>
      <w:r>
        <w:rPr>
          <w:rFonts w:ascii="Arial;sans-serif" w:hAnsi="Arial;sans-serif"/>
          <w:b w:val="false"/>
          <w:color w:val="000000"/>
          <w:sz w:val="20"/>
        </w:rPr>
        <w:t xml:space="preserve">In December 2023, the Financial Accounting Standards Board issued ASU No. 2023-09, </w:t>
      </w:r>
      <w:r>
        <w:rPr>
          <w:rFonts w:ascii="Arial;sans-serif" w:hAnsi="Arial;sans-serif"/>
          <w:b w:val="false"/>
          <w:i/>
          <w:color w:val="000000"/>
          <w:sz w:val="20"/>
        </w:rPr>
        <w:t>Income Taxes (Topic 740):</w:t>
      </w:r>
      <w:r>
        <w:rPr>
          <w:color w:val="000000"/>
        </w:rPr>
        <w:t xml:space="preserve"> </w:t>
      </w:r>
      <w:r>
        <w:rPr>
          <w:rFonts w:ascii="Arial;sans-serif" w:hAnsi="Arial;sans-serif"/>
          <w:b w:val="false"/>
          <w:i/>
          <w:color w:val="000000"/>
          <w:sz w:val="20"/>
        </w:rPr>
        <w:t>Improvements to Income Tax Disclosures</w:t>
      </w:r>
      <w:r>
        <w:rPr>
          <w:color w:val="000000"/>
        </w:rPr>
        <w:t xml:space="preserve"> </w:t>
      </w:r>
      <w:r>
        <w:rPr>
          <w:rFonts w:ascii="Arial;sans-serif" w:hAnsi="Arial;sans-serif"/>
          <w:b w:val="false"/>
          <w:color w:val="000000"/>
          <w:sz w:val="20"/>
        </w:rPr>
        <w:t>(“ASU No. 2023-09”).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new standard is effective for annual periods beginning after December 15, 2024, with early adoption permitted. An entity may apply the amendments in ASU No. 2023-09 prospectively by providing the revised disclosures for the period ending December 31, 2025 and continuing to provide the pre-ASU No. 2023-09 disclosures for the prior periods, or may apply the amendments retrospectively by providing the revised disclosures for all period presented. The Company is currently evaluating the impact of ASU No. 2023-09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2024, the Financial Accounting Standards Board issued ASU No.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(“ASU No. 2024-03”), which intends to improve financial reporting by requiring disclosure of 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The Company is currently evaluating the impact of this guidance on its consolidated financial statements and related disclosures.</w:t>
      </w:r>
    </w:p>
    <w:p>
      <w:pPr>
        <w:pStyle w:val="TextBody"/>
        <w:bidi w:val="0"/>
        <w:spacing w:lineRule="auto" w:line="288" w:before="120" w:after="240"/>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have been significant disruptions to global financial markets that have contributed to a general global economic slowdown. While recent trends towards rising inflation have eased, prices continue to rise, which may materially affect the Company’s business and corresponding financial position and cash flows. Inflationary factors, such as increases in the cost of materials and supplies relating to the Company’s preclinical studies and clinical trials, interest rates and overhead costs may adversely affect its operating results. Rising interest rates and implementation of tariffs present a recent challenge impacting the U.S. economy and could make it more difficult for the Company to obtain traditional financing on acceptable terms, if at all, in the future. Although the Company does not believe that inflation, higher interest rates or tariffs have had a material impact on its financial position or results of operations to date, the Company may experience increases in the near future (especially if inflation rates rise more quickly) on its operating costs, including its labor costs and research and development costs, due to supply chain constraints, consequences associated with public health crises and global geopolitical tensions, such as the ongoing war between Russia and Ukraine and the war in Israel, worsening global macroeconomic conditions and employee availability and wage increases, which may result in additional stress on the Company’s working capital resources. As of the date of issuance of these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the Company is subject to other challenges and risks specific to its business and its ability to execute on its business plan and strategy, as well as risks and uncertainties common to companies in the biopharmaceutical industry with research and development operations, including, without limitation, risks and uncertainties associated with: obtaining regulatory approval of its product candidates; delays or problems in obtaining clinical supply, loss of single source suppliers or failure to comply with manufacturing regulations; product development and the inherent uncertainty of clinical success;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challenges of protecting and enhancing its intellectual property rights; the challenges of complying with applicable regulatory requirements; and identifying, acquiring or in-licensing additional products or product candidates.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3. FAIR VALUE MEASUREMENTS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presents information about the Company’s financial assets and liabilities measured at fair value on a recurring basis and indicates the level of the fair value hierarchy utilized to determine such fair values (in thousands): </w:t>
      </w:r>
    </w:p>
    <w:tbl>
      <w:tblPr>
        <w:tblW w:w="10205" w:type="dxa"/>
        <w:jc w:val="left"/>
        <w:tblInd w:w="0" w:type="dxa"/>
        <w:tblLayout w:type="fixed"/>
        <w:tblCellMar>
          <w:top w:w="28" w:type="dxa"/>
          <w:left w:w="28" w:type="dxa"/>
          <w:bottom w:w="28" w:type="dxa"/>
          <w:right w:w="28" w:type="dxa"/>
        </w:tblCellMar>
      </w:tblPr>
      <w:tblGrid>
        <w:gridCol w:w="520"/>
        <w:gridCol w:w="458"/>
        <w:gridCol w:w="459"/>
        <w:gridCol w:w="226"/>
        <w:gridCol w:w="885"/>
        <w:gridCol w:w="116"/>
        <w:gridCol w:w="109"/>
        <w:gridCol w:w="109"/>
        <w:gridCol w:w="109"/>
        <w:gridCol w:w="446"/>
        <w:gridCol w:w="1748"/>
        <w:gridCol w:w="230"/>
        <w:gridCol w:w="109"/>
        <w:gridCol w:w="109"/>
        <w:gridCol w:w="109"/>
        <w:gridCol w:w="593"/>
        <w:gridCol w:w="1141"/>
        <w:gridCol w:w="308"/>
        <w:gridCol w:w="109"/>
        <w:gridCol w:w="109"/>
        <w:gridCol w:w="109"/>
        <w:gridCol w:w="571"/>
        <w:gridCol w:w="1098"/>
        <w:gridCol w:w="425"/>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QUOTED PRICES ACTIVE MARKETS FOR 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SIGNIFICANT OTHER 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SIGNIFICANT OTHER OBSERVABLE INPUTS </w:t>
              <w:br/>
              <w:t>(LEVEL 3)</w:t>
            </w:r>
          </w:p>
        </w:tc>
      </w:tr>
      <w:tr>
        <w:trPr/>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713,936 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713,936 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financial assets</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713,936 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713,936 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18"/>
        <w:gridCol w:w="456"/>
        <w:gridCol w:w="457"/>
        <w:gridCol w:w="244"/>
        <w:gridCol w:w="955"/>
        <w:gridCol w:w="125"/>
        <w:gridCol w:w="109"/>
        <w:gridCol w:w="109"/>
        <w:gridCol w:w="109"/>
        <w:gridCol w:w="439"/>
        <w:gridCol w:w="1718"/>
        <w:gridCol w:w="226"/>
        <w:gridCol w:w="109"/>
        <w:gridCol w:w="109"/>
        <w:gridCol w:w="109"/>
        <w:gridCol w:w="586"/>
        <w:gridCol w:w="1127"/>
        <w:gridCol w:w="304"/>
        <w:gridCol w:w="109"/>
        <w:gridCol w:w="109"/>
        <w:gridCol w:w="109"/>
        <w:gridCol w:w="564"/>
        <w:gridCol w:w="1085"/>
        <w:gridCol w:w="420"/>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DESCRIPTION</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QUOTED PRICES ACTIVE MARKETS FOR IDENTICAL ASSETS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SIGNIFICANT OTHER OBSERVABLE INPUTS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SIGNIFICANT OTHER OBSERVABLE INPUTS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3)</w:t>
            </w:r>
          </w:p>
        </w:tc>
      </w:tr>
      <w:tr>
        <w:trPr/>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financial assets</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556,064 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556,064 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xml:space="preserve">There have been no transfers between fair value levels during the three months ended March 31, 2025. The carrying values of other current assets, accounts payable and accrued expenses approximate their fair values due to the short-term nature of these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4. PREPAID EXPENSES AND OTHER CURRENT ASSETS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consisted of the following (in thousands): </w:t>
      </w:r>
    </w:p>
    <w:tbl>
      <w:tblPr>
        <w:tblW w:w="6767" w:type="dxa"/>
        <w:jc w:val="left"/>
        <w:tblInd w:w="0" w:type="dxa"/>
        <w:tblLayout w:type="fixed"/>
        <w:tblCellMar>
          <w:top w:w="28" w:type="dxa"/>
          <w:left w:w="28" w:type="dxa"/>
          <w:bottom w:w="28" w:type="dxa"/>
          <w:right w:w="28" w:type="dxa"/>
        </w:tblCellMar>
      </w:tblPr>
      <w:tblGrid>
        <w:gridCol w:w="1468"/>
        <w:gridCol w:w="1286"/>
        <w:gridCol w:w="1296"/>
        <w:gridCol w:w="211"/>
        <w:gridCol w:w="721"/>
        <w:gridCol w:w="109"/>
        <w:gridCol w:w="109"/>
        <w:gridCol w:w="109"/>
        <w:gridCol w:w="109"/>
        <w:gridCol w:w="262"/>
        <w:gridCol w:w="896"/>
        <w:gridCol w:w="191"/>
      </w:tblGrid>
      <w:tr>
        <w:trPr/>
        <w:tc>
          <w:tcPr>
            <w:tcW w:w="146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external R&amp;D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external manufacturing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sales tax</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subscriptions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receivable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prepaid expenses and other current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26,220 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5. ACCRUED EXPENSES AND OTHER CURRENT LIABILITIES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Accrued expenses and other current liabilities consisted of the following (in thousands): </w:t>
      </w:r>
    </w:p>
    <w:tbl>
      <w:tblPr>
        <w:tblW w:w="6992" w:type="dxa"/>
        <w:jc w:val="left"/>
        <w:tblInd w:w="0" w:type="dxa"/>
        <w:tblLayout w:type="fixed"/>
        <w:tblCellMar>
          <w:top w:w="28" w:type="dxa"/>
          <w:left w:w="28" w:type="dxa"/>
          <w:bottom w:w="28" w:type="dxa"/>
          <w:right w:w="28" w:type="dxa"/>
        </w:tblCellMar>
      </w:tblPr>
      <w:tblGrid>
        <w:gridCol w:w="1546"/>
        <w:gridCol w:w="1359"/>
        <w:gridCol w:w="1370"/>
        <w:gridCol w:w="211"/>
        <w:gridCol w:w="721"/>
        <w:gridCol w:w="109"/>
        <w:gridCol w:w="109"/>
        <w:gridCol w:w="109"/>
        <w:gridCol w:w="109"/>
        <w:gridCol w:w="262"/>
        <w:gridCol w:w="89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external R&amp;D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5,139 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external manufacturing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legal and consulting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 and other current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20,870 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compensation and benefits consisted primarily of accrued payroll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6.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the Company’s amended and restated certificate of incorporation authorized the Company to issue 200,000,000 shares of common stock at a par value of $0.0001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January 8, 2024, the Company closed an underwritten public offering in which 4,025,000 shares of common stock were issued and sold, which included 525,000 shares of common stock issued and sold pursuant to the full exercise of the underwriters’ option to purchase additional shares, at a public offering price of $40.00 per share. The aggregate net proceeds to the Company from the public offering were approximately $151.1 million, after deducting underwriting discount, commissions and offering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7. STOCK-BASED COMPENSATION</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2017 Stock Incentive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Board adopted the 2017 Stock Incentive Plan (the "2017 Plan") in February 2017, and the stockholders approved the 2017 Plan in March 2017. The 2017 Plan was most recently amended in March 2020.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there was an aggregate of 470,410 shares of common stock issuable upon the exercise of outstanding options under the 2017 Plan. Any options or awards outstanding under the 2017 Plan remain outstanding and effective.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2020 Equity Incentive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April 2020, the 2020 Equity Incentive Plan (the "2020 Plan") became effective, and, as a result, no further awards will be made under the 2017 Plan. The 2020 Plan provides for the grant of stock options qualifying as incentive stock options ("ISOs"), to employees and for the grant of nonstatutory stock options ("NSOs"), restricted stock awards, RSU awards, stock appreciation rights, performance stock awards and other forms of stock compensation to employees, consultants and directors. The 2020 Plan also provides for the grant of performance cash awards to employees, consultants and directors. Any previously granted awards under the 2017 Plan will remain outstanding in accordance with their respective terms.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Under the 2020 Plan, there is an annual increase on January 1 of each year from January 1, 2021 continuing through January 1, 2030, by 4.0% of the total number of shares of common stock outstanding on December 31 of the preceding calendar year, or a lesser number of shares as may be determined by the Board. On January 1, 2025, the Company increased the number of shares available for future grant under the 2020 Plan by 1,622,188 shares. The awards granted under the 2020 Plan typically vest over a two- to four-year period and have a 10-year contractual term.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there was an aggregate of 4,869,232 shares of common stock issuable upon the exercise of outstanding options and 882,775 shares of common stock issuable upon the vesting of the outstanding RSU awards under the 2020 Plan. Additionally, there were an aggregate of 1,638,806 shares reserved for future issuance under the 2020 Plan, including shares forfeited from the 2017 Plan.</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RSU award activity during the three months ended March 31, 2025 is as follows (in thousands except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9356" w:type="dxa"/>
        <w:jc w:val="left"/>
        <w:tblInd w:w="0" w:type="dxa"/>
        <w:tblLayout w:type="fixed"/>
        <w:tblCellMar>
          <w:top w:w="28" w:type="dxa"/>
          <w:left w:w="28" w:type="dxa"/>
          <w:bottom w:w="28" w:type="dxa"/>
          <w:right w:w="28" w:type="dxa"/>
        </w:tblCellMar>
      </w:tblPr>
      <w:tblGrid>
        <w:gridCol w:w="1552"/>
        <w:gridCol w:w="1367"/>
        <w:gridCol w:w="1371"/>
        <w:gridCol w:w="469"/>
        <w:gridCol w:w="469"/>
        <w:gridCol w:w="471"/>
        <w:gridCol w:w="109"/>
        <w:gridCol w:w="109"/>
        <w:gridCol w:w="109"/>
        <w:gridCol w:w="714"/>
        <w:gridCol w:w="2091"/>
        <w:gridCol w:w="525"/>
      </w:tblGrid>
      <w:tr>
        <w:trPr/>
        <w:tc>
          <w:tcPr>
            <w:tcW w:w="155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Grant-Date Fair Value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RSU awards as of December 31, 2024</w:t>
            </w:r>
          </w:p>
        </w:tc>
        <w:tc>
          <w:tcPr>
            <w:tcW w:w="9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898,175 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(15,400)</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RSU awards as of March 31, 2025</w:t>
            </w:r>
          </w:p>
        </w:tc>
        <w:tc>
          <w:tcPr>
            <w:tcW w:w="93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882,775 </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March 31, 2025, there was approximately $9.0 million of unrecognized stock-based compensation expense related to RSU awards that is expected to vest. These costs are expected to be recognized over a weighted-average remaining vesting period of approximately 1.93 years. </w:t>
      </w:r>
    </w:p>
    <w:p>
      <w:pPr>
        <w:pStyle w:val="TextBody"/>
        <w:bidi w:val="0"/>
        <w:spacing w:lineRule="auto" w:line="288" w:before="120" w:after="283"/>
        <w:jc w:val="left"/>
        <w:rPr/>
      </w:pPr>
      <w:r>
        <w:rPr>
          <w:rFonts w:ascii="Arial;sans-serif" w:hAnsi="Arial;sans-serif"/>
          <w:b w:val="false"/>
          <w:color w:val="000000"/>
          <w:sz w:val="20"/>
        </w:rPr>
        <w:t>The aggregate fair value of RSU awards that vested during the three</w:t>
      </w:r>
      <w:r>
        <w:rPr>
          <w:color w:val="000000"/>
          <w:shd w:fill="FFFFFF" w:val="clear"/>
        </w:rPr>
        <w:t xml:space="preserve"> </w:t>
      </w:r>
      <w:r>
        <w:rPr>
          <w:rFonts w:ascii="Arial;sans-serif" w:hAnsi="Arial;sans-serif"/>
          <w:b w:val="false"/>
          <w:color w:val="000000"/>
          <w:sz w:val="20"/>
          <w:shd w:fill="FFFFFF" w:val="clear"/>
        </w:rPr>
        <w:t xml:space="preserve">months ended March 31, 2025 and </w:t>
      </w:r>
      <w:r>
        <w:rPr>
          <w:rFonts w:ascii="Arial;sans-serif" w:hAnsi="Arial;sans-serif"/>
          <w:b w:val="false"/>
          <w:color w:val="000000"/>
          <w:sz w:val="20"/>
        </w:rPr>
        <w:t>2024 was zero and zero, respectively.</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option activity during the three months ended March 31, 2025 is as follows (in thousands except share and per share data):</w:t>
      </w:r>
    </w:p>
    <w:tbl>
      <w:tblPr>
        <w:tblW w:w="9026" w:type="dxa"/>
        <w:jc w:val="left"/>
        <w:tblInd w:w="0" w:type="dxa"/>
        <w:tblLayout w:type="fixed"/>
        <w:tblCellMar>
          <w:top w:w="28" w:type="dxa"/>
          <w:left w:w="28" w:type="dxa"/>
          <w:bottom w:w="28" w:type="dxa"/>
          <w:right w:w="28" w:type="dxa"/>
        </w:tblCellMar>
      </w:tblPr>
      <w:tblGrid>
        <w:gridCol w:w="1264"/>
        <w:gridCol w:w="1114"/>
        <w:gridCol w:w="1117"/>
        <w:gridCol w:w="634"/>
        <w:gridCol w:w="634"/>
        <w:gridCol w:w="636"/>
        <w:gridCol w:w="109"/>
        <w:gridCol w:w="109"/>
        <w:gridCol w:w="109"/>
        <w:gridCol w:w="708"/>
        <w:gridCol w:w="2071"/>
        <w:gridCol w:w="521"/>
      </w:tblGrid>
      <w:tr>
        <w:trPr/>
        <w:tc>
          <w:tcPr>
            <w:tcW w:w="12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WEIGHTED-AVERAGE EXERCISE PRICE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as of December 31, 2024</w:t>
            </w:r>
          </w:p>
        </w:tc>
        <w:tc>
          <w:tcPr>
            <w:tcW w:w="12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5,384,760 </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42.19 </w:t>
            </w:r>
          </w:p>
        </w:tc>
        <w:tc>
          <w:tcPr>
            <w:tcW w:w="5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(7,342)</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0.48 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Cancelled or Forfeited </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(37,776)</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Expired</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as of March 31, 2025</w:t>
            </w:r>
          </w:p>
        </w:tc>
        <w:tc>
          <w:tcPr>
            <w:tcW w:w="12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5,339,642 </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42.13 </w:t>
            </w:r>
          </w:p>
        </w:tc>
        <w:tc>
          <w:tcPr>
            <w:tcW w:w="5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exercisable as of March 31, 2025</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3,309,432 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35.27 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summary of option activity includes performance-based stock options granted during 2024. As of March 31, 2025, there has been no expense recognized for the performance-based stock options. The weighted-average grant date fair value price per share of options granted during the three months ended March 31, 2025 and 2024 was $0.00 and $40.72, respectively. As of March 31, 2025, there was $72.0 million of unrecognized stock-based compensation expense related to unvested stock options, including $4.9 million of unrecognized stock-based compensation expense related to unvested performance-based stock options. The unrecognized stock-based compensation expense is estimated to be recognized over a period of 2.27 years.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the stock options outstanding and stock options exercisable was $4.6 million and $4.6 million as of March 31, 2025, respectively. The aggregate intrinsic value of stock options exercised was $0.1 million and $5.7 million during the three months ended March 31, 2025 and 2024, respectively.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2020 Employee Stock Purchase Plan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March 2020, the Board adopted and the Company's stockholders approved the 2020 Employee Stock Purchase Plan ("ESPP"). The ESPP became effective on April 7, 2020. Under the ESPP, eligible employees can purchase shares of the Company's common stock, based on a percentage of their compensation, subject to certain limits. The purchase price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share is equal to the lower of 85% of the fair market value of the Company's common stock on the first trading day of the twenty-four month offering period, or on the applicable purchase date. Each offering under the ESPP consists of two twelve-month purchase periods.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Under the ESPP, there is an annual increase on January 1 of each year from January 1, 2021 continuing through January 1, 2030, by the lesser of (i) 1.0% of the total number of shares of common stock outstanding on December 31 of the preceding calendar year, (ii) 455,852 shares or (iii) or a lesser number of shares as may be determined by the Board. On January 1, 2025, the Company increased the number of shares available for future grant under the ESPP by 405,547 shares. If purchase rights granted under the ESPP terminate without having been exercised, the shares of our common stock not purchased under such purchase rights will again become available for issuance under the ESPP.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no shares of common stock were purchased under the ESPP. As of March 31, 2025, there was an aggregate of 1,653,408 shares reserved for future issuance under the ESPP.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Stock-Based Compensation Expense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stock-based compensation expense recorded for employees, directors and non-employees during the three months ended March 31, 2025 and 2024 was as follows (in thousands):</w:t>
      </w:r>
    </w:p>
    <w:tbl>
      <w:tblPr>
        <w:tblW w:w="7395" w:type="dxa"/>
        <w:jc w:val="left"/>
        <w:tblInd w:w="0" w:type="dxa"/>
        <w:tblLayout w:type="fixed"/>
        <w:tblCellMar>
          <w:top w:w="28" w:type="dxa"/>
          <w:left w:w="28" w:type="dxa"/>
          <w:bottom w:w="28" w:type="dxa"/>
          <w:right w:w="28" w:type="dxa"/>
        </w:tblCellMar>
      </w:tblPr>
      <w:tblGrid>
        <w:gridCol w:w="1273"/>
        <w:gridCol w:w="1115"/>
        <w:gridCol w:w="1121"/>
        <w:gridCol w:w="285"/>
        <w:gridCol w:w="832"/>
        <w:gridCol w:w="147"/>
        <w:gridCol w:w="147"/>
        <w:gridCol w:w="147"/>
        <w:gridCol w:w="147"/>
        <w:gridCol w:w="285"/>
        <w:gridCol w:w="832"/>
        <w:gridCol w:w="147"/>
        <w:gridCol w:w="109"/>
        <w:gridCol w:w="109"/>
        <w:gridCol w:w="109"/>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vMerge w:val="continue"/>
            <w:tcBorders/>
            <w:tcMar>
              <w:top w:w="0" w:type="dxa"/>
              <w:left w:w="0" w:type="dxa"/>
              <w:bottom w:w="0" w:type="dxa"/>
              <w:right w:w="0" w:type="dxa"/>
            </w:tcMar>
            <w:vAlign w:val="center"/>
          </w:tcPr>
          <w:p>
            <w:pPr>
              <w:pStyle w:val="Normal"/>
              <w:bidi w:val="0"/>
              <w:jc w:val="left"/>
              <w:rPr/>
            </w:pPr>
            <w:r>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stock-based compensation expense</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8,070 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INCOME (LOSS)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Basic and diluted income (loss) per share of common stock are calculated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611"/>
        <w:gridCol w:w="2281"/>
        <w:gridCol w:w="2307"/>
        <w:gridCol w:w="241"/>
        <w:gridCol w:w="942"/>
        <w:gridCol w:w="123"/>
        <w:gridCol w:w="123"/>
        <w:gridCol w:w="123"/>
        <w:gridCol w:w="123"/>
        <w:gridCol w:w="241"/>
        <w:gridCol w:w="909"/>
        <w:gridCol w:w="181"/>
      </w:tblGrid>
      <w:tr>
        <w:trPr/>
        <w:tc>
          <w:tcPr>
            <w:tcW w:w="2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 basic and diluted</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basic</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40,559,355 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35,685,422 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potentially dilutive stock options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460,730 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potentially dilutive employee stock purchase plan shares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potentially dilutive restricted stock units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potentially dilutive securities</w:t>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461,970 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used to compute diluted net loss</w:t>
            </w:r>
          </w:p>
        </w:tc>
        <w:tc>
          <w:tcPr>
            <w:tcW w:w="118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41,021,325 </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35,685,422 </w:t>
            </w:r>
          </w:p>
        </w:tc>
        <w:tc>
          <w:tcPr>
            <w:tcW w:w="18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of common stock</w:t>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8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excluded the following from the computation of diluted net income (loss) per share attributable to common stockholders as of March 31, 2025 and 2024 because including them would have had an anti-dilutive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6264" w:type="dxa"/>
        <w:jc w:val="left"/>
        <w:tblInd w:w="0" w:type="dxa"/>
        <w:tblLayout w:type="fixed"/>
        <w:tblCellMar>
          <w:top w:w="28" w:type="dxa"/>
          <w:left w:w="28" w:type="dxa"/>
          <w:bottom w:w="28" w:type="dxa"/>
          <w:right w:w="28" w:type="dxa"/>
        </w:tblCellMar>
      </w:tblPr>
      <w:tblGrid>
        <w:gridCol w:w="1166"/>
        <w:gridCol w:w="1025"/>
        <w:gridCol w:w="1033"/>
        <w:gridCol w:w="488"/>
        <w:gridCol w:w="488"/>
        <w:gridCol w:w="331"/>
        <w:gridCol w:w="109"/>
        <w:gridCol w:w="109"/>
        <w:gridCol w:w="109"/>
        <w:gridCol w:w="488"/>
        <w:gridCol w:w="488"/>
        <w:gridCol w:w="430"/>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 awards</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882,775 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to purchase common stock</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4,869,232 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5,218,405 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 purchase plan shares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5,794,093 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5,218,405 </w:t>
            </w:r>
          </w:p>
        </w:tc>
        <w:tc>
          <w:tcPr>
            <w:tcW w:w="4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calculates income taxes at each interim reporting period based on the estimated annual effective tax rate for the full year, adjusted for any discrete events which are recorded in the period they occur. Cumulative adjustments to the income tax provision are recorded in the interim reporting period in which a change in the estimated annual effective tax rate is determined. The Company’s income tax provision and effective tax rate are presented below (income tax provision in thousands):</w:t>
      </w:r>
    </w:p>
    <w:tbl>
      <w:tblPr>
        <w:tblW w:w="5045" w:type="dxa"/>
        <w:jc w:val="left"/>
        <w:tblInd w:w="0" w:type="dxa"/>
        <w:tblLayout w:type="fixed"/>
        <w:tblCellMar>
          <w:top w:w="28" w:type="dxa"/>
          <w:left w:w="28" w:type="dxa"/>
          <w:bottom w:w="28" w:type="dxa"/>
          <w:right w:w="28" w:type="dxa"/>
        </w:tblCellMar>
      </w:tblPr>
      <w:tblGrid>
        <w:gridCol w:w="651"/>
        <w:gridCol w:w="572"/>
        <w:gridCol w:w="576"/>
        <w:gridCol w:w="412"/>
        <w:gridCol w:w="309"/>
        <w:gridCol w:w="605"/>
        <w:gridCol w:w="243"/>
        <w:gridCol w:w="243"/>
        <w:gridCol w:w="243"/>
        <w:gridCol w:w="243"/>
        <w:gridCol w:w="243"/>
        <w:gridCol w:w="705"/>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7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10,043 </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increase in the income tax provision and the effective tax rate for the three months ended March 31, 2025 is primarily due to taxable income during the period resulting from the Takeda Agreement, partially offset by available net operating loss and tax credit carryforwards. The Company has evaluated the positive and negative evidence bearing upon its ability to realize the deferred tax assets. Management has considered the Company’s history of cumulative net losses incurred since inception and its lack of commercialization of any products that would generate revenue from product sales and has concluded that it is more likely than not that the Company will not realize the benefits of the deferred tax assets. Accordingly, a full valuation allowance is maintained against the net deferred tax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COMMITMENTS AND CONTINGENCIES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enters into agreements in the normal course of business with contract manufacturing organizations for process development, raw material purchases and manufacturing services. These contracts typically do not contain minimum purchase commitments and are generally cancellable by the Company upon written notice. Payments due upon cancellation consist of payments for services provided or expenses incurred, including noncancellable obligations of the Company’s service providers, up to the date of cancellation and, in the case of certain arrangements with contract manufacturing organizations, may include noncancellable fees. Under such agreements, the exact amounts owed by the Company in the event of termination will be based on the timing of the termination and the exact terms of the agreement. As of March 31, 2025, the Company has committed up to approximately $52.3 million under these agreements which are expected to be paid through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11. REVENUE FROM CONTRACTS WITH CUSTOMERS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Hansoh License Agreement</w:t>
      </w:r>
    </w:p>
    <w:p>
      <w:pPr>
        <w:pStyle w:val="TextBody"/>
        <w:bidi w:val="0"/>
        <w:spacing w:lineRule="auto" w:line="288" w:before="120" w:after="190"/>
        <w:jc w:val="both"/>
        <w:rPr>
          <w:rFonts w:ascii="Arial;sans-serif" w:hAnsi="Arial;sans-serif"/>
          <w:b w:val="false"/>
          <w:color w:val="000000"/>
          <w:sz w:val="20"/>
        </w:rPr>
      </w:pPr>
      <w:r>
        <w:rPr>
          <w:rFonts w:ascii="Arial;sans-serif" w:hAnsi="Arial;sans-serif"/>
          <w:b w:val="false"/>
          <w:color w:val="000000"/>
          <w:sz w:val="20"/>
        </w:rPr>
        <w:t>On December 12, 2021, the Company entered into a license agreement (the “Hansoh Agreement”) with Hansoh (Shanghai) Healthtech Co., Ltd. (“Hansoh”). Under the Hansoh Agreement, the Company granted to Hansoh the exclusive right to develop, manufacture and commercialize elritercept and licensed products containing elritercept within the territories of mainland China, Hong Kong and Macau (the “Hansoh Territory”).</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In connection with the Hansoh Agreement, Hansoh will purchase clinical trial supply of elritercept from the Company, and the parties will also negotiate in good faith to enter into an agreement for commercial supply prior to any anticipated commercialization in the Hansoh Territory. In addition, Hansoh will use commercially reasonable efforts to develop, obtain regulatory approval for, and commercialize licensed products in any region in the Hansoh Territory.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Pursuant to the Hansoh Agreement, the Company received a one-time, net $18.0 million upfront license payment in January 2022. In addition to the upfront payment and development milestones achieved to date, the Company also be eligible to receive up to an aggregate of (i) $23.5 million upon the achievement of specified development milestones and (ii) $144.0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million upon the achievement of specified net sales thresholds for all licensed products in the Hansoh Territory. If a licensed product is approved for marketing in the Hansoh Territory, the Company will be entitled to receive royalty payments based on a tiered percentage of annual net sales in each region within the Hansoh Territory, with such percentage ranging from the low double digit to high teens, subject to specified potential royalty reductions. </w:t>
      </w:r>
    </w:p>
    <w:p>
      <w:pPr>
        <w:pStyle w:val="TextBody"/>
        <w:bidi w:val="0"/>
        <w:spacing w:before="0" w:after="0"/>
        <w:jc w:val="left"/>
        <w:rPr/>
      </w:pPr>
      <w:r>
        <w:rPr/>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Hansoh’s obligation to pay royalties for a given licensed product in a given region in the Hansoh Territory will begin on the date of the first commercial sale for such licensed product in such region and continue until the latest of (i) 10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nor indirectly commercialize a competing product in the Hansoh Territory.</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The Hansoh Agreement will continue in force on a region-by-region basis until the expiration of the royalty term. Hansoh may terminate the Agreement in its entirety for convenience, with notice. The Company may terminate the Hansoh Agreement in its entirety for a patent challenge brought by Hansoh or its affiliates or their sublicensees. Either party may terminate the Hansoh Agreement in its entirety (i) if the other party materially breaches the Hansoh Agreement and fails to cure such breach or (ii) upon the bankruptcy of the other party.</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The Company evaluated the Hansoh Agreement and concluded that it was subject to ASC 606, as the Company viewed the Hansoh Agreement as a contract with a customer. As such, the Company assessed the terms of the Hansoh Agreement and identified a single performance obligation for the Company to provide Hansoh an exclusive license to develop, manufacture and commercialize elritercept and licensed products containing elritercept in the Hansoh Territory, including the underlying know-how related to such licenses. All other promised goods/services were deemed immaterial in the context of the Hansoh Agreement. Under the Hansoh Agreement, the Company recognized a one-time, upfront license fee of $20.0 million as revenue and $2.0 million in withholding tax expense during the year ended December 31, 2021. The Company received the net payment of $18.0 million during the three months ended March 31, 2022.</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The Company will recognize development milestone payments as revenue at the point in time when it is determined that it is probable such milestones will be achieved as all performance obligations will have been satisfied at the point which a milestone might occur (i.e., Hansoh will have assumed all responsibility for the activities under the Hansoh Agreement). The Company will recognize royalty payments and commercial milestone payments as the associated sales of licensed products are recorded by Hansoh, as they predominantly relate to the license granted with the Hansoh Agreement. The Company recognized $3.0 million as revenue and $0.3 million in withholding tax upon the achievement of a development milestone related to the Hansoh Agreement on its consolidated statement of operations for the year ended December 31, 2024, and a receivable, net of withholding tax, on its consolidated balance sheet as of December 31, 2024. Payment has not yet been received as of March 31, 2025. The Company did not recognize any revenue related to milestones for the three months ended March 31, 2025 or 2024.</w:t>
      </w:r>
    </w:p>
    <w:p>
      <w:pPr>
        <w:pStyle w:val="TextBody"/>
        <w:bidi w:val="0"/>
        <w:spacing w:lineRule="auto" w:line="268" w:before="0" w:after="190"/>
        <w:jc w:val="left"/>
        <w:rPr>
          <w:rFonts w:ascii="Arial;sans-serif" w:hAnsi="Arial;sans-serif"/>
          <w:b w:val="false"/>
          <w:color w:val="000000"/>
          <w:sz w:val="20"/>
        </w:rPr>
      </w:pPr>
      <w:r>
        <w:rPr>
          <w:rFonts w:ascii="Arial;sans-serif" w:hAnsi="Arial;sans-serif"/>
          <w:b w:val="false"/>
          <w:color w:val="000000"/>
          <w:sz w:val="20"/>
        </w:rPr>
        <w:t>In connection with the Hansoh Agreement, the Company entered into a manufacturing technology transfer agreement (the “Tech Transfer Agreement”) with Hansoh, effective in June 2023. The Tech Transfer Agreement governs the transfer to Hansoh, by the Company of all documents and information required to complete the manufacturing technology transfer. Under the Tech Transfer Agreement, Hansoh is obligated to make certain payments to the Company, at the rates set forth in the Tech Transfer Agreement, as manufacturing technology transfer services are provided over the term of the Tech Transfer Agreement. The Company recognized $0.1 million and $0.1 million of service revenue during the three months ended March 31, 2025 and 2024, respectively.</w:t>
      </w:r>
    </w:p>
    <w:p>
      <w:pPr>
        <w:pStyle w:val="TextBody"/>
        <w:bidi w:val="0"/>
        <w:spacing w:lineRule="auto" w:line="268" w:before="0" w:after="190"/>
        <w:jc w:val="left"/>
        <w:rPr>
          <w:rFonts w:ascii="Arial;sans-serif" w:hAnsi="Arial;sans-serif"/>
          <w:b w:val="false"/>
          <w:color w:val="000000"/>
          <w:sz w:val="20"/>
        </w:rPr>
      </w:pPr>
      <w:r>
        <w:rPr>
          <w:rFonts w:ascii="Arial;sans-serif" w:hAnsi="Arial;sans-serif"/>
          <w:b w:val="false"/>
          <w:color w:val="000000"/>
          <w:sz w:val="20"/>
        </w:rPr>
        <w:t>In connection with the Hansoh Agreement, the Company entered into a clinical product supply agreement (the “Supply Agreement”) with Hansoh, effective February 2024. The Company evaluated the Supply Agreement and concluded that it was subject to ASC 606, as the Company viewed the Supply Agreement as a contract with a customer. As such, the Company assessed the terms of the Supply Agreement and identified a single performance obligation for the Company to supply Hansoh with clinical product supply. The Company will recognize revenue at a point in time when control transfers, which is deemed to be at the shipping point when the clinical product supply is ready for shipment. The Company did not recognize any revenue during the three months ended March 31, 2025 or 2024.</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Takeda License Agreement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December 3, 2024, the Company entered into a license agreement with Takeda Pharmaceuticals U.S.A., Inc. ("Takeda"), which became effective on January 16, 2025. Under the terms of the license agreement with Takeda (the "Takeda Agreement"), the Company granted to Takeda the exclusive right to develop, manufacture and commercialize elritercept and certain derivative compounds globally, excluding the territories of mainland China, Hong Kong and Macau (collectively, the "Takeda Territory"). Concurrent with the Takeda Agreement, the Company entered into a separate Transition Services Agreement with Takeda (“TSA”), pursuant to which the Company will provide certain transitional services to Takeda,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but not limited to, clinical trial and manufacturing services, during the term of the TSA (the "Transition Services"). The term of the TSA is fifteen months and may be extended up to six months under certain circumstances. The Company will receive reimbursement of certain costs incurred by the Company in connection with providing the Transition Services. </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 xml:space="preserve">Pursuant to the terms of the Takeda Agreement, the Company received a $200.0 million upfront payment in February 2025. In addition to the upfront payment, the Company is entitled to receive up to an aggregate of (i) $90.0 million upon the achievement of specified development milestones; (ii) $280.0 million upon the achievement of specified commercial milestones; and (iii) $740.0 million upon the achievement of specified sales milestones. If a licensed product is approved for marketing in the Takeda Territory, the Company will be entitled to receive royalty payments based on tiered increments of annual net sales in the Takeda Territory, with such percentage ranging from the low double-digits to high teens, subject to specified potential royalty reductions. </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Takeda’s obligation to pay royalties for a given licensed product in a given country in the Takeda Territory will begin on the date of the first commercial sale for such licensed product in such country and continue until the latest of (i) 10 years from the date of the first commercial sale for such licensed product in such region, (ii) the expiration of the last valid claim of certain licensed patents, and (iii) expiration of regulatory exclusivity in such region.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Takeda Agreement will continue in force until the expiration of the royalty term. Takeda may terminate the Takeda Agreement (i) in its entirety or on a country-by-country basis for convenience, with notice or (ii) if Takeda reasonably determines that the development, manufacture, and commercialization of the licensed compound or licensed product pose a safety or public health risk. The Company may terminate the Takeda Agreement in its entirety in the event that Takeda or its affiliates bring a patent challenge. Either party may terminate the Agreement in its entirety (i) if the other party materially breaches the Takeda Agreement and fails to cure such breach; or (ii) upon the bankruptcy of the other party.</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The Company assessed this arrangement in accordance with ASC 606 and concluded it is a contract with a customer as defined in ASC 606. As the Company entered into the Takeda Agreement and the TSA concurrently, they were evaluated as a single contract under ASC 606. The Company identified two performance obligations in the Takeda Agreement and TSA including the license to its intellectual property (“License and Know-How”) and the Transition Services. The Company determined that the License and Know-How were distinct from the Transition Services as Takeda is able to derive benefit from the License and Know-How upon delivery and the Transition Services do not modify the License and Know-How.</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 xml:space="preserve">The transaction price at inception included fixed consideration consisting of the upfront fee of $200.0 million. It also included variable consideration of $51.4 million relating to the estimated reimbursement of Transition Services costs to be incurred that were not constrained. The amount of variable consideration was estimated using the expected value method.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remaining $90.0 million of specified development milestones, $280.0 million of specified commercial milestones and $740.0 million of specified sales milestones were considered constrained at contract inception and excluded from the transaction price since the Company could not conclude it is probable that a significant revenue reversal in the amount recognized will not occur. The sales-based milestone payments and royalties will be recognized upon occurrence based on the sales and usage-based royalty exception. The Company will reevaluate the transaction price at the end of each reporting period and will adjust the estimate of the transaction price as uncertain events are resolved or other changes in circumstances occur. The Company determined that the Takeda Agreement and TSA did not contain a significant financing component. The transaction price has been allocated to the License and Know-How and the Transition Services on a relative standalone selling price basis. The Company allocated $195.4 million of the transaction price to the License and Know-How and $56.1 million to the Transition Services.</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 xml:space="preserve">Revenue allocated to the License and Know-How was recognized at a point in time, when control of the License and Know-How was transferred to Takeda. Revenue is recognized when, or as, the Company satisfies its performance obligations by transferring the promised services to Takeda. Revenue is recognized over time using the input method for the Transition Services, based on costs incurred to provide the services as the level of costs incurred over-time best reflect the transfer of services. </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Accounts receivable were $14.5 million as of March 31, 2025 and zero as of December 31, 2024. Accounts receivable are amounts due from Takeda for the Transition Services.</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A contract liability is an obligation to transfer goods or services for which consideration has been received or is due to a customer. The Company's contract liabilities as of March 31, 2025 and December 31, 2024 consisted of unearned revenue, current of $3.3 million and zero, respectively, and were primarily related to the portion of the upfront payment received from Takeda that was allocated to the Transition Services. These amounts are to be recognized over the remaining estimated transition period expected to be complete by the end of 2025.</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Revenue recognized from Takeda for the three months ended March 31, 2025 and 2024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5647" w:type="dxa"/>
        <w:jc w:val="left"/>
        <w:tblInd w:w="0" w:type="dxa"/>
        <w:tblLayout w:type="fixed"/>
        <w:tblCellMar>
          <w:top w:w="28" w:type="dxa"/>
          <w:left w:w="28" w:type="dxa"/>
          <w:bottom w:w="28" w:type="dxa"/>
          <w:right w:w="28" w:type="dxa"/>
        </w:tblCellMar>
      </w:tblPr>
      <w:tblGrid>
        <w:gridCol w:w="835"/>
        <w:gridCol w:w="734"/>
        <w:gridCol w:w="740"/>
        <w:gridCol w:w="109"/>
        <w:gridCol w:w="109"/>
        <w:gridCol w:w="109"/>
        <w:gridCol w:w="283"/>
        <w:gridCol w:w="1110"/>
        <w:gridCol w:w="146"/>
        <w:gridCol w:w="146"/>
        <w:gridCol w:w="146"/>
        <w:gridCol w:w="146"/>
        <w:gridCol w:w="283"/>
        <w:gridCol w:w="545"/>
        <w:gridCol w:w="20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195,355 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 from Takeda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211,192 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12. SEGMENT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segment revenue and significant segment expenses (in thousands) for the three months ended March 31, 2025 and 2024:</w:t>
      </w:r>
    </w:p>
    <w:tbl>
      <w:tblPr>
        <w:tblW w:w="8295" w:type="dxa"/>
        <w:jc w:val="left"/>
        <w:tblInd w:w="0" w:type="dxa"/>
        <w:tblLayout w:type="fixed"/>
        <w:tblCellMar>
          <w:top w:w="28" w:type="dxa"/>
          <w:left w:w="28" w:type="dxa"/>
          <w:bottom w:w="28" w:type="dxa"/>
          <w:right w:w="28" w:type="dxa"/>
        </w:tblCellMar>
      </w:tblPr>
      <w:tblGrid>
        <w:gridCol w:w="1798"/>
        <w:gridCol w:w="1578"/>
        <w:gridCol w:w="1589"/>
        <w:gridCol w:w="573"/>
        <w:gridCol w:w="306"/>
        <w:gridCol w:w="306"/>
        <w:gridCol w:w="306"/>
        <w:gridCol w:w="306"/>
        <w:gridCol w:w="306"/>
        <w:gridCol w:w="469"/>
        <w:gridCol w:w="326"/>
        <w:gridCol w:w="432"/>
      </w:tblGrid>
      <w:tr>
        <w:trPr/>
        <w:tc>
          <w:tcPr>
            <w:tcW w:w="179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211,246 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Cibotercept program expenses</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(5,908)</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(5,471)</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KER-065 program expenses</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(4,364)</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Elritercept program expenses</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(18,895)</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(8,584)</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Preclinical &amp; development expenses</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 (excluding stock based compensation)</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(13,777)</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(11,715)</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(8,070)</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(8,496)</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(10,043)</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87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4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manages its operations as a single reportable segment focused on developing novel therapeutics. Segment revenue above is 100 percent attributed to the Company’s agreements with Takeda and Hansoh and is equal to consolidated total revenue. All revenues are derived in the United States where the agreements originated. The Company manages expenses on a program level. The significant expense categories outlined above align with the segment-level information that is regularly provided to the chief operating decision maker (“CODM”) to allocate resources, assess performance of the reportable segment, and make key operating decisions. On a quarterly basis, the Company's CODM, who is its Chief Executive Officer, reviews financial information, including consolidated net income, clinical expenses by program, other company expenses and a long-range cash flow projection, to make resource decisions for the Company’s programs to achieve the approved corporate goals. No segment asset information is provided above as the CODM is focused on how expenses impact ending cash by period and overall cash runway. Any review of segment assets, which would focus on cash and cash equivalents, would be at the same level as the consolidated balance sheet. All long-lived assets are held in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SUBSEQUENT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April 9, 2025, the Board declared a dividend of one right (“Right”) to purchase one-thousandth of one share of the Company’s newly designated Series A Junior Participating Preferred Stock, par value $0.0001 per share (each, a “Preferred </w:t>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Other segment items include professional fees, facilities and office expenses, marketing and travel expenses, and other income and expenses, primarily consisting of other taxes and fees and unrealized and realized gains and losses on foreign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 and collectively, the “Preferred Shares”), for each outstanding share of common stock to the stockholders of record as of the close of business on April 24, 2025 (the “Record Date”). The Company also adopted a limited duration stockholder rights plan (the “Rights Plan”), effective immediately, as set forth in the Rights Agreement, dated as of April 9, 2025 (the “Rights Agreement”), by and between the Company and Computershare Trust Company, N.A., as Rights Agent. The Rights Agent currently serves as the Company’s transfer agent with respect to the common stock and also has been appointed transfer agent with respect to the Preferred Shares, if any, that may be issued pursuant to the exercise of rights under the Rights Agreement. The Rights will expire on April 9, 2026 (“Final Expiration Date”), unless the rights are earlier redeemed or exchanged by the Company. The Company does not have any obligation under the Rights Agreement to seek stockholder approval for the Rights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general terms, the Rights Plan is designed to impose a penalty upon any person or group that acquires beneficial ownership of 10% (15% in the case of a passive institutional investor) or more of the outstanding shares of Common Stock without the approval of the Board. The Board adopted the Rights Plan in response to significant and rapid accumulations of the common stock by a number of investors who have indicated a desire to influence the control of the Company. The Rights Plan is intended to protect the investment of the Company's stockholders during a period in which it believes shares of the Company do not reflect the Company’s intrinsic value. The Rights Plan will reduce the likelihood that any entity, person or group gains control of the Company through open-market accumulation without paying all stockholders an appropriate control premium. The Rights Plan is also intended to provide the Board sufficient time to make informed judgments and take actions that are in the best interests of the Company and all of its stockholders. The Rights Plan does not prevent the Board from engaging with parties or accepting an acquisition proposal if the Board believes that it is in the best interests of the Company and all of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(1) our condensed consolidated financial statements and the related notes and other financial information included elsewhere in this Quarterly Report on Form 10-Q and (2) the audited consolidated financial statements and the related notes and management’s discussion and analysis of financial condition and results of operations for the fiscal year ended December 31, 2024 included in our Annual Report on Form 10-K for the year ended December 31, 2024, and filed with the Securities and Exchange Commission, or SEC, on February 26, 2025, which we refer to as the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You should carefully read the section titled “Risk Factors” set forth in Part II, Item 1A of this Quarterly Report on Form 10-Q to gain an understanding of the important factors that could cause actual results to differ materially from our forward-looking statements. Please also see the section entitled “Special Note Regarding Forward-Looking Statements.” You should, therefore, not rely on these forward-looking statements as representing our views as of any date subsequent to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 clinical-stage biopharmaceutical company focused on developing and commercializing novel therapeutics to treat a wide range of patients with disorders that are linked to dysfunctional signaling of the transforming growth factor-beta, or TGF-ß, family of proteins. We are a leader in understanding the role of the TGF-ß family of proteins, which are master regulators of the growth, repair and maintenance of a number of tissues, including blood, bone, skeletal muscle, adipose and heart tissue. By leveraging this understanding, we have discovered and are developing protein therapeutics that have the potential to provide meaningful and potentially disease-modifying benefit to patients.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One of our product candidates, cibotercept (KER-012), is designed to bind to and inhibit the signaling of TGF-ß ligands that stimulate the proliferation of vascular endothelial and smooth muscle cells and fibroblasts, including activin A, activin B and myostatin (GDF8). We believe that cibotercept has the potential to increase the signaling of bone morphogenic protein, or BMP, pathways through this inhibition of activin A and activin B signaling, and consequently treat diseases such as pulmonary arterial hypertension, or PAH, that are associated with reduced BMP signaling, including inactivating mutations in the BMP receptors. We are developing cibotercept for the treatment of PAH and for the treatment of cardiovascular disorders. We expect to present topline data from our Phase 2 clinical trial evaluating cibotercept in patients with PAH, which we refer to as the TROPOS trial, in the second quarter of 2025. We announced the early termination of the TROPOS trial in January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an ongoing safety review due to the unanticipated observation of pericardial effusion adverse events in the trial. Following completion of the TROPOS trial, we plan to evaluate the appropriate development strategy for cibotercept, including in PAH and other potential indications.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second product candidate, KER-065, is designed to bind to and inhibit TGF-ß ligands, including myostatin (GDF8) and activin A, which are negative regulators of muscle and bone mass and strength. Through inhibition of these TGF-ß ligands, we believe that KER-065 has the potential to increase skeletal muscle regeneration, increase muscle size and strength, reduce body fat, reduce fibrosis of the skeletal muscle and increase bone strength. We are developing KER-065 for the treatment of neuromuscular disorders, with an initial focus on Duchenne muscular dystrophy, or DMD. Glucocorticoids, the standard of care in DMD, can have significant side effects when used long-term, including catabolism of muscle, increased fat and accelerated bone loss. In March 2025, we announced initial topline results from the Phase 1 clinical trial of KER-065 in healthy volunteers. We plan on engaging with regulatory authorities on the KER-065 program, starting in the third quarter of 2025. Subject to the outcome of these regulatory interactions, we expect to initiate a Phase 2 clinical trial of KER-065 in patients with DMD in the first quarter of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most advanced product candidate, elritercept (KER-050), is an engineered ligand trap comprised of a modified ligand-binding domain of the TGF-ß receptor known as activin receptor type IIA, or ActRIIA, that is fused to the portion of the human antibody known as the Fc domain. In December 2024, we entered into an exclusive license agreement with Takeda Pharmaceuticals U.S.A., Inc., or Takeda, to further develop, manufacture and commercialize elritercept worldwide outside of mainland China, Hong Kong and Macau, which became effective on January 16, 2025. Elritercept is designed to increase red blood cell and platelet production by inhibiting the signaling of a subset of the TGF-ß family of proteins to promote hematopoiesis. We believe elritercept has the potential to provide benefit to patients suffering from red blood cell and platelet differentiation and maturation defects occurring across the spectrum from early through terminal stages of hematopoiesis, and consequently may be effective for many patients that have limited treatment options or are refractory to available therapies. In December 2024, we announced additional data from our ongoing Phase 2 clinical trial evaluating elritercept for the treatment of anemia and thrombocytopenia in patients with very low-, low-, or intermediate-risk MDS, which we refer to as lower-risk MDS, and initiated our placebo-controlled Phase 3 clinical trial in patients with lower-risk MDS. Additionally, in December 2024, we announced additional data from our ongoing Phase 2 clinical trial evaluating elritercept for the treatment of patients with myelofibrosis-associated cytopenias, which we refer to as the RESTORE trial.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Since our inception in 2015, we have devoted the majority of our efforts into business planning, research and development of our product candidates, including by conducting clinical trials and preclinical studies, raising capital and recruiting management and technical staff to support these operations. To date, we have not generated any revenue from product sales as none of our product candidates have been approved for commercialization. We have historically financed our operations primarily through the sale of convertible preferred stock, common stock and cash received from licensing agreements.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ATM Sales Agreement</w:t>
      </w:r>
    </w:p>
    <w:p>
      <w:pPr>
        <w:pStyle w:val="TextBody"/>
        <w:bidi w:val="0"/>
        <w:spacing w:lineRule="auto" w:line="288" w:before="0" w:after="0"/>
        <w:jc w:val="left"/>
        <w:rPr/>
      </w:pPr>
      <w:r>
        <w:rPr>
          <w:rFonts w:ascii="Arial;sans-serif" w:hAnsi="Arial;sans-serif"/>
          <w:b w:val="false"/>
          <w:color w:val="000000"/>
          <w:sz w:val="20"/>
          <w:shd w:fill="FFFFFF" w:val="clear"/>
        </w:rPr>
        <w:t xml:space="preserve">In December 2022, we filed a prospectus supplement </w:t>
      </w:r>
      <w:r>
        <w:rPr>
          <w:rFonts w:ascii="Arial;sans-serif" w:hAnsi="Arial;sans-serif"/>
          <w:b w:val="false"/>
          <w:color w:val="000000"/>
          <w:sz w:val="20"/>
        </w:rPr>
        <w:t>to our registration statement on Form S-3ASR with the Securities and Exchange Commission, or the SEC, for the issuance and sale, if any, of up to</w:t>
      </w:r>
      <w:r>
        <w:rPr>
          <w:color w:val="000000"/>
          <w:shd w:fill="FFFFFF" w:val="clear"/>
        </w:rPr>
        <w:t xml:space="preserve"> </w:t>
      </w:r>
      <w:r>
        <w:rPr>
          <w:rFonts w:ascii="Arial;sans-serif" w:hAnsi="Arial;sans-serif"/>
          <w:b w:val="false"/>
          <w:color w:val="000000"/>
          <w:sz w:val="20"/>
        </w:rPr>
        <w:t>$250.0 million</w:t>
      </w:r>
      <w:r>
        <w:rPr>
          <w:color w:val="000000"/>
          <w:shd w:fill="FFFFFF" w:val="clear"/>
        </w:rPr>
        <w:t xml:space="preserve"> </w:t>
      </w:r>
      <w:r>
        <w:rPr>
          <w:rFonts w:ascii="Arial;sans-serif" w:hAnsi="Arial;sans-serif"/>
          <w:b w:val="false"/>
          <w:color w:val="000000"/>
          <w:sz w:val="20"/>
        </w:rPr>
        <w:t>of shares of our common stock pursuant to a sales agreement with Leerink Partners LLC, or Leerink, as sales agent, which we refer to as the ATM Sales Agreement, under which we may offer and sell, from time to time, shares of our common stock, or the ATM Shares, through Leerink, which we refer to as the ATM Offering.</w:t>
      </w:r>
      <w:r>
        <w:rPr>
          <w:color w:val="000000"/>
          <w:shd w:fill="FFFFFF" w:val="clear"/>
        </w:rPr>
        <w:t xml:space="preserve"> </w:t>
      </w:r>
      <w:r>
        <w:rPr>
          <w:rFonts w:ascii="Arial;sans-serif" w:hAnsi="Arial;sans-serif"/>
          <w:b w:val="false"/>
          <w:color w:val="000000"/>
          <w:sz w:val="20"/>
          <w:shd w:fill="FFFFFF" w:val="clear"/>
        </w:rPr>
        <w:t xml:space="preserve">In May 2024, we filed a new registration statement on Form S-3ASR, which we refer to as the New Shelf Registration Statement, to replace the prior shelf registration statement that was set to expire, including a base prospectus, which became effective immediately upon filing, under which we could issue an unspecified amount of shares of our common stock, preferred stock, debt securities and warrants. In June 2024, we filed a prospectus supplement to the New Shelf Registration Statement for the issuance and sale, if any, of up to an additional </w:t>
      </w:r>
      <w:r>
        <w:rPr>
          <w:rFonts w:ascii="Arial;sans-serif" w:hAnsi="Arial;sans-serif"/>
          <w:b w:val="false"/>
          <w:color w:val="000000"/>
          <w:sz w:val="20"/>
        </w:rPr>
        <w:t>$350.0 million</w:t>
      </w:r>
      <w:r>
        <w:rPr>
          <w:color w:val="000000"/>
          <w:shd w:fill="FFFFFF" w:val="clear"/>
        </w:rPr>
        <w:t xml:space="preserve"> </w:t>
      </w:r>
      <w:r>
        <w:rPr>
          <w:rFonts w:ascii="Arial;sans-serif" w:hAnsi="Arial;sans-serif"/>
          <w:b w:val="false"/>
          <w:color w:val="000000"/>
          <w:sz w:val="20"/>
          <w:shd w:fill="FFFFFF" w:val="clear"/>
        </w:rPr>
        <w:t>of shares of our common stock under the ATM Sales Agreemen</w:t>
      </w:r>
      <w:r>
        <w:rPr>
          <w:rFonts w:ascii="Arial;sans-serif" w:hAnsi="Arial;sans-serif"/>
          <w:b w:val="false"/>
          <w:color w:val="000000"/>
          <w:sz w:val="20"/>
        </w:rPr>
        <w:t>t. As of the filing of the Annual Report, we were not able to use the New Shelf Registration Statement, as we no longer met the criteria of a well-known seasoned issuer.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Under the ATM Sales Agreement, Leerink may sell the ATM Shares by methods deemed to be an “at-the-market offering” as defined in Rule 415(a)(4) promulgated under the Securities Exchange Act of 1934, as amended. We may sell the ATM Shares in amounts and at times to be determined by us from time to time subject to the terms and conditions of the ATM Sales Agreement, but we have no obligation to sell any of the ATM Shares in the ATM Offering. As of March 31, 2025, we have sold a total of </w:t>
      </w:r>
      <w:r>
        <w:rPr>
          <w:rFonts w:ascii="Arial;sans-serif" w:hAnsi="Arial;sans-serif"/>
          <w:b w:val="false"/>
          <w:color w:val="000000"/>
          <w:sz w:val="20"/>
        </w:rPr>
        <w:t>4,290,096</w:t>
      </w:r>
      <w:r>
        <w:rPr>
          <w:color w:val="000000"/>
          <w:shd w:fill="FFFFFF" w:val="clear"/>
        </w:rPr>
        <w:t xml:space="preserve"> </w:t>
      </w:r>
      <w:r>
        <w:rPr>
          <w:rFonts w:ascii="Arial;sans-serif" w:hAnsi="Arial;sans-serif"/>
          <w:b w:val="false"/>
          <w:color w:val="000000"/>
          <w:sz w:val="20"/>
          <w:shd w:fill="FFFFFF" w:val="clear"/>
        </w:rPr>
        <w:t xml:space="preserve">shares of our common stock pursuant to the ATM Offering for aggregate net proceeds of approximately </w:t>
      </w:r>
      <w:r>
        <w:rPr>
          <w:rFonts w:ascii="Arial;sans-serif" w:hAnsi="Arial;sans-serif"/>
          <w:b w:val="false"/>
          <w:color w:val="000000"/>
          <w:sz w:val="20"/>
        </w:rPr>
        <w:t>$228.6 million</w:t>
      </w:r>
      <w:r>
        <w:rPr>
          <w:color w:val="000000"/>
          <w:shd w:fill="FFFFFF" w:val="clear"/>
        </w:rPr>
        <w:t xml:space="preserve"> </w:t>
      </w:r>
      <w:r>
        <w:rPr>
          <w:rFonts w:ascii="Arial;sans-serif" w:hAnsi="Arial;sans-serif"/>
          <w:b w:val="false"/>
          <w:color w:val="000000"/>
          <w:sz w:val="20"/>
          <w:shd w:fill="FFFFFF" w:val="clear"/>
        </w:rPr>
        <w:t>after deducting sales agent commissions and estimated offering expenses. As of March 31, 2025, we may not offer and sell any ATM shares.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January 2024 Public Offering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January 8, 2024</w:t>
      </w:r>
      <w:r>
        <w:rPr>
          <w:rFonts w:ascii="Arial;sans-serif" w:hAnsi="Arial;sans-serif"/>
          <w:b w:val="false"/>
          <w:color w:val="000000"/>
          <w:sz w:val="20"/>
          <w:shd w:fill="FFFFFF" w:val="clear"/>
        </w:rPr>
        <w:t xml:space="preserve">, we </w:t>
      </w:r>
      <w:r>
        <w:rPr>
          <w:rFonts w:ascii="Arial;sans-serif" w:hAnsi="Arial;sans-serif"/>
          <w:b w:val="false"/>
          <w:color w:val="000000"/>
          <w:sz w:val="20"/>
        </w:rPr>
        <w:t>closed an underwritten public offering in which we issued and sold 4,025,000 shares of common stock, which included 525,000 shares of common stock issued and sold pursuant to the full exercise of the underwriters’ option to purchase additional shares, at a public offering price of $40.00 per share. The aggregate net proceeds to us from the public offering were approximately</w:t>
      </w:r>
      <w:r>
        <w:rPr>
          <w:color w:val="000000"/>
        </w:rPr>
        <w:t xml:space="preserve"> </w:t>
      </w:r>
      <w:r>
        <w:rPr>
          <w:rFonts w:ascii="Arial;sans-serif" w:hAnsi="Arial;sans-serif"/>
          <w:b w:val="false"/>
          <w:color w:val="000000"/>
          <w:sz w:val="20"/>
        </w:rPr>
        <w:t xml:space="preserve">$151.1 million, after deducting underwriting discounts, commissions and offering expenses.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We have incurred recurring operating losses each fiscal year since inception in 2015. Our ability to generate product revenue sufficient to achieve profitability will depend on the successful development and commercialization of one or more of our product candidates. Our net income, which was primarily driven by revenue related to our license agreement with Takeda, was $148.5 million for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 xml:space="preserve">months ended March 31, 2025. As of March 31, 2025, we had an accumulated deficit of $420.3 million. We expect to continue to generate operating losses and negative operating cash flows for the foreseeable future in connection with our ongoing activities. As of March 31, 2025, we had cash and cash equivalents of </w:t>
      </w:r>
      <w:r>
        <w:rPr>
          <w:rFonts w:ascii="Arial;sans-serif" w:hAnsi="Arial;sans-serif"/>
          <w:b w:val="false"/>
          <w:color w:val="000000"/>
          <w:sz w:val="20"/>
        </w:rPr>
        <w:t>$720.5 million</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Recent Significant Developments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March 2025, we announced initial topline results from the Phase 1 clinical trial of KER-065 in healthy volunteers, as of a data cut-off date of February 6, 2025. Topline results from this ongoing trial were through the multiple ascending dose treatment period (Day 85). KER-065 was generally well-tolerated, with no major safety signals observed to date. No serious adverse events or dose-limiting toxicities reported. Additionally, we observed evidence for activin inhibition across tissues of interest, as KER-065 elicited: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Increases in bone specific alkaline phosphate, a biomarker of bone formation, and decreases in C-Terminal Telopeptide, a biomarker of bone resorption;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Increases in adiponectin, a biomarker of fat mobilization, and decreases in leptin, a biomarker of fat mass; and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Changes in body composition, as demonstrated by increases in bone mineral density and muscle mass and decreases in fat mass, which in totality were consistent with activin inhibition.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plan on engaging with regulatory authorities, starting in the third quarter of 2025. Subject to the outcome of these regulatory interactions, we expect to initiate a Phase 2 clinical trial of KER-065 in patients with DMD in the first quarter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April 2025, we announced that our board of directors has determined to initiate a formal review process to evaluate strategic alternatives to enhance our stockholder value. In connection with this determination, our board of directors has authorized the formation of a committee, consisting of independent and disinterested directors, to oversee the process, or the Strategic Committee, and make a recommendation to the full board of directors. The Strategic Committee, with the assistance of outside financial and legal advisors, intends to consider a comprehensive range of strategic alternatives, including but not limited to a sale of us or other business combination transaction, continued investment in our pipeline and/or return of excess capital to stockholders. There can be no assurance that the strategic alternatives review process will result in us pursuing a transaction or any other strategic outcome. There is no deadline or definitive timetable set for completion of the strategic alternatives review process. We intend to provide a preliminary update regarding the status of the process within 60 days of the initial announcement of this process. Otherwise, we do not intend to disclose developments related to the process unless and until it is determined that further disclosure is appropriate or necessary.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In April 2025, we also announced that our board of directors </w:t>
      </w:r>
      <w:r>
        <w:rPr>
          <w:rFonts w:ascii="Arial;sans-serif" w:hAnsi="Arial;sans-serif"/>
          <w:b w:val="false"/>
          <w:color w:val="000000"/>
          <w:sz w:val="20"/>
        </w:rPr>
        <w:t xml:space="preserve">declared a dividend of one right, or Right, to purchase one-thousandth of one share of our newly designated Series A Junior Participating Preferred Stock, par value $0.0001 per share, or the Preferred Shares, for each outstanding share of common stock to the stockholders of record as of the close of business on April 24, 2025, and </w:t>
      </w:r>
      <w:r>
        <w:rPr>
          <w:rFonts w:ascii="Arial;sans-serif" w:hAnsi="Arial;sans-serif"/>
          <w:b w:val="false"/>
          <w:color w:val="000000"/>
          <w:sz w:val="20"/>
          <w:shd w:fill="FFFFFF" w:val="clear"/>
        </w:rPr>
        <w:t xml:space="preserve">adopted a limited-duration stockholder rights plan, or the Rights Plan, </w:t>
      </w:r>
      <w:r>
        <w:rPr>
          <w:rFonts w:ascii="Arial;sans-serif" w:hAnsi="Arial;sans-serif"/>
          <w:b w:val="false"/>
          <w:color w:val="000000"/>
          <w:sz w:val="20"/>
        </w:rPr>
        <w:t>effective immediately</w:t>
      </w:r>
      <w:r>
        <w:rPr>
          <w:rFonts w:ascii="Arial;sans-serif" w:hAnsi="Arial;sans-serif"/>
          <w:b w:val="false"/>
          <w:color w:val="000000"/>
          <w:sz w:val="20"/>
          <w:shd w:fill="FFFFFF" w:val="clear"/>
        </w:rPr>
        <w:t xml:space="preserve">. </w:t>
      </w:r>
      <w:r>
        <w:rPr>
          <w:rFonts w:ascii="Arial;sans-serif" w:hAnsi="Arial;sans-serif"/>
          <w:b w:val="false"/>
          <w:color w:val="000000"/>
          <w:sz w:val="20"/>
        </w:rPr>
        <w:t>The Rights will expire on April 9, 2026, unless the rights are earlier redeemed or exchanged by us. The Rights Plan is intended to protect the interests of the company and our stockholders, help ensure that all interested parties have the opportunity to participate fairly in the strategic review process and to provide our board of directors time to make informed decisions. The Rights Plan will reduce the likelihood that any entity, person or group gains control of us through open-market accumulation without paying all stockholders an appropriate control premium. The Rights Plan does not preclude our board of directors from engaging with parties or considering proposals or other strategic alternatives that it believes recognize the full value of the company and are in the best interests of the company and all stockholders.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April 2025, we announced that we entered into a letter agreement, or Letter Agreement, with Pontifax (Israel) IV, L.P., Pontifax (Cayman) IV, L.P., Pontifax (China) IV, L.P. and Pontifax Late Stage Fund L.P., or collectively, Pontifax, which provides that, among other things, we will nominate each of Mary Ann Gray, Ran Nussbaum and Alpna Seth, each of whom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current member of our board of directors, for election at our 2025 Annual Meeting of Stockholders, or Annual Meeting. In addition, Pontifax has agreed to abide by certain customary standstill restrictions, which remain in effect until the earlier of (x) December 31, 2025 or (y) the thirtieth day prior to the notice deadline under our Amended and Restated Bylaws (as in effect on the date of the Letter Agreement) for the nomination of director candidates by a stockholder for our 2026 Annual Meeting of Stockholders, subject to earlier termination in certain limited circumstances as set forth in the Letter Agreement. We and Pontifax have also agreed to certain non-disparagement obligations.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Known Trends, Events and Uncertainties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While recent trends towards rising inflation have eased, prices continue to rise, which may also materially affect our business and corresponding financial position and cash flows. Inflationary factors, such as increases in the cost of materials and supplies relating to our preclinical studies, clinical trials, interest rates and overhead costs may adversely affect our operating results. Rising interest rates and implementation of tariffs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due in part to ongoing tariff and trade issues, which, together with the foregoing, could result in further economic uncertainty and volatility in the capital markets in the near term, and could negatively affect our operations. Furthermore, such economic conditions have produced downward pressure on share prices. Although we do not believe that inflation, higher interest rates or tariffs have had a material impact on our financial position or results of operations to date, we may experience increases in the near future (especially if inflation rates rise more quickly) on our operating costs, including our labor costs and research and development costs, due to supply chain constraints, consequences associated with public health crises and global geopolitical tensions, such as the ongoing war between Russia and Ukraine and the war in Israel, worsening global macroeconomic conditions, including as a result of bank failures, and employee availability and wage increases, which may result in additional stress on our working capital resources.</w:t>
      </w:r>
    </w:p>
    <w:p>
      <w:pPr>
        <w:pStyle w:val="TextBody"/>
        <w:bidi w:val="0"/>
        <w:spacing w:before="0" w:after="0"/>
        <w:jc w:val="left"/>
        <w:rPr/>
      </w:pPr>
      <w:r>
        <w:rPr/>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Licensing Agreements</w:t>
      </w:r>
    </w:p>
    <w:p>
      <w:pPr>
        <w:pStyle w:val="TextBody"/>
        <w:bidi w:val="0"/>
        <w:spacing w:lineRule="auto" w:line="268" w:before="120" w:after="120"/>
        <w:jc w:val="both"/>
        <w:rPr>
          <w:rFonts w:ascii="Arial;sans-serif" w:hAnsi="Arial;sans-serif"/>
          <w:b/>
          <w:color w:val="000000"/>
          <w:sz w:val="20"/>
        </w:rPr>
      </w:pPr>
      <w:r>
        <w:rPr>
          <w:rFonts w:ascii="Arial;sans-serif" w:hAnsi="Arial;sans-serif"/>
          <w:b/>
          <w:color w:val="000000"/>
          <w:sz w:val="20"/>
        </w:rPr>
        <w:t>2024 License Agreement with Takeda Pharmaceuticals U.S.A., Inc.</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In December 2024, we entered into a license agreement with Takeda, which became effective on January 16, 2025. Under the terms of the license agreement with Takeda, or the Takeda Agreement, we granted to Takeda the exclusive right to develop, manufacture and commercialize elritercept and certain derivative compounds globally, excluding the territories of mainland China, Hong Kong and Macau, which we refer to collectively as the Takeda Territory.</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Pursuant to the terms of the Takeda Agreement, we received a $200.0 million upfront payment in February 2025. In addition to the upfront payment, we are entitled to receive up to an aggregate of (i) $90.0 million upon the achievement of specified development milestones, (ii) $280.0 million upon the achievement of specified commercial milestone and (iii) $740.0 million upon the achievement of specified sales milestones. If a licensed product is approved for marketing in the Takeda Territory, we will be entitled to receive royalty payments based on tiered increments of annual net sales in the Takeda Territory, with such percentage ranging from the low double-digits to high teens, subject to specified potential royalty reductions.</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Takeda’s obligation to pay royalties for a given licensed product in a given country in the Takeda Territory will begin on the date of the first commercial sale for such licensed product in such country and continue until the latest of (i) 10 years from the date of the first commercial sale for such licensed product in such region, (ii) the expiration of the last valid claim of certain licensed patents, and (iii) expiration of regulatory exclusivity in such region.</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The Takeda Agreement will continue in force until the expiration of the royalty term. Takeda may terminate the Takeda Agreement (i) in its entirety or on a country-by-country basis for convenience, with notice or (ii) if Takeda reasonably determines that the development, manufacture, and commercialization of the licensed compound or licensed product pose a safety or public health risk. We may terminate the Takeda Agreement in its entirety in the event that Takeda or its affiliates bring a patent challenge. Either party may terminate the Agreement in its entirety (i) if the other party materially breaches the Takeda Agreement and fails to cure such breach; or (ii) upon the bankruptcy of the other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2021 License Agreement with Hansoh (Shanghai) Healthtech Co., Ltd.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12, 2021, we entered into a license agreement with Hansoh (Shanghai) Healthtech Co., Ltd., or Hansoh. Under the terms of the license agreement with Hansoh, or the Hansoh Agreement, we granted to Hansoh the exclusive right to develop, manufacture and commercialize elritercept and licensed products containing elritercept within the territories of mainland China, Hong Kong and Macau, which we refer to collectively as the Hansoh Territory.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connection with the Hansoh Agreement, Hansoh will purchase clinical trial supply of elritercept from us, and the parties will also negotiate in good faith to enter into an agreement for commercial supply prior to any anticipated commercialization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Hansoh Territory. In addition, Hansoh will use commercially reasonable efforts to develop, obtain regulatory approval for, and commercialize licensed products in any region in the Hansoh Territory.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terms of the Hansoh Agreement, we received a net $18.0 million upfront payment in January 2022. In addition to the upfront payment and development milestones achieved to date, we are entitled to receive up to an aggregate of (i) $23.5 million upon the achievement of specified development milestones and (ii) $144.0 million upon the achievement of specified net sales thresholds for all licensed products in the Hansoh Territory. If a licensed product is approved for marketing in the Hansoh Territory, we will be entitled to receive royalty payments based on a tiered percentage of annual net sales in each region within the Hansoh Territory, with such percentage ranging from the low double digit to high teens, subject to specified potential royalty reductions. We did not recognize any revenue related to milestones for the three months ended March 31, 2025 or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Hansoh’s obligation to pay royalties for a given licensed product in a given region in the Hansoh Territory will begin on the date of the first commercial sale for such licensed product in such region and continue until the latest of (i) ten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or indirectly commercialize a competing product in the Hansoh Territory.</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Effective in June 2023, in connection with the Hansoh Agreement, we entered into a manufacturing technology transfer agreement, or the Tech Transfer Agreement, with Hansoh. The Tech Transfer Agreement governs the transfer to Hansoh of all documents and information required to complete the manufacturing technology transfer. Under the Tech Transfer Agreement, Hansoh is obligated to make certain payments to us, at the rates set forth in the Tech Transfer Agreement, as manufacturing technology transfer services are provided over the term of the Tech Transfer Agreement. We recognized $0.1 million and $0.1 million of service and other revenue for the during the three months ended March 31, 2025 and 2024, respectively.</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Effective in February 2024, in connection with the Hansoh Agreement, we entered into a clinical product supply agreement with Hansoh, or the Supply Agreement. We did not recognize any revenue during the three months ended March 31, 2025 and 2024.</w:t>
      </w:r>
    </w:p>
    <w:p>
      <w:pPr>
        <w:pStyle w:val="TextBody"/>
        <w:bidi w:val="0"/>
        <w:spacing w:lineRule="auto" w:line="268" w:before="120" w:after="283"/>
        <w:jc w:val="both"/>
        <w:rPr>
          <w:rFonts w:ascii="Arial;sans-serif" w:hAnsi="Arial;sans-serif"/>
          <w:b/>
          <w:i/>
          <w:color w:val="000000"/>
          <w:sz w:val="20"/>
        </w:rPr>
      </w:pPr>
      <w:r>
        <w:rPr>
          <w:rFonts w:ascii="Arial;sans-serif" w:hAnsi="Arial;sans-serif"/>
          <w:b/>
          <w:i/>
          <w:color w:val="000000"/>
          <w:sz w:val="20"/>
        </w:rPr>
        <w:t>2016 Exclusive Patent License Agreement with The General Hospital Corporation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April 2016, we entered into an exclusive patent license agreement with The General Hospital Corporation, or MGH, and such agreement was subsequently amended in May 2017 and February 2018. Under the license agreement with MGH, or the MGH Agreement, we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We are required to use commercially reasonable efforts to develop and commercialize licensed products and processes, and must achieve certain required diligence milestones.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Additionally, we are required to pay a low-five digit to mid-five digit annual maintenance fee prior to the first commercial sale of our first product or process, a mid-five digit annual maintenance fee after the first commercial sale of our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made payments of $50,000 and $300,000 in 2020 and 2021, respectively, for the achievement of the clinical and regulatory milestones of (i) filing of an IND in the first country and (ii) the completion of a Phase 1 clinical trial, respectively.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We are also obligated to pay a percentage of non-royalty-related payments received by us from sublicensees ranging in the sub-teen double digits and a change of control fee equal to a low-single digit percentage of the payments received as part of any completed transaction up to a low-seven digit amount.</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date, we have not generated any revenue, and do not expect to generate any revenue in the foreseeable future, from product sales. We have generated revenue solely from research collaborations or licensing of intellectual property and related transition services. We may in the future generate revenue from other strategic collaborations or licensing arrangements.</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costs incurred for our research activities, including our discovery efforts and the preclinical and clinical development of our current and potential future product candidates, and include: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salaries, benefits and other related costs, including stock-based compensation expense, for personnel engaged in research and development functions;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expenses incurred under agreements with third parties, including CROs that conduct research, preclinical and clinical activities on our behalf, as well as contract manufacturing organizations, or CMOs, that manufacture drug product for use in our preclinical studies and clinical trials;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license fees incurred in connection with license agreements;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research and development supplies and services expenses;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facility-related expenses, which include direct depreciation costs and allocated expenses for rent and maintenance of facilities and other operating costs;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 of outside consultants, including their fees and related travel expenses, engaged in research and development functions;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expenses related to regulatory affairs;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fees related to our scientific advisory board.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Research and development activities are central to our business model. We expect that our research and development expenses will continue to increase for the foreseeable future, with the exception of elritercept-related expenses which are expected to decrease once transitioned to Takeda, as we continue ongoing and initiate new clinical trials for our product candidates and continue to discover and develop additional product candidates. We expect research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development expenses to fluctuate from quarter to quarter depending on the timing of clinical trial activities, clinical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manufacturing and other development activities. If any of our product candidates enter into later stages of clinical development, they will generally have higher development costs than those in earlier stages of clinical development, primarily due to the increased size and duration of later-stage clinical trials. There are numerous factors associated with the successful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information technology, auditing, tax and consulting services, and travel expenses and facility-related expenses, which include direct depreciation costs and allocated expenses for rent and maintenance of facilities and other operating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expect that our general and administrative expenses will increase in the future as we increase our headcount to support our continued research and development and potential commercialization of our product candidates. We have incurred and expect to continue to incur increased expenses associated with being a public company, including costs of accounting, audit, legal, regulatory and tax compliance services, director and officer insurance costs, and investor and public relations costs.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Dividend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Dividend income consists of income earned on our money market funds that are recorded as cash equivalents on our consolidated balance sheets.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Other Expense, Net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Other expense, net primarily consists of unrealized and realized gains and losses on foreign currency.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Income Tax Provision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tax provision recorded for the three months ended March 31, 2025 resulted from income tax related to taxable income generated from the Takeda Agreement. We have not recorded any income tax benefits for the losses incurred to date as it is more likely than not that these benefits will not be realized based on our history of losses and expected future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Comparison for the three months ended March 31, 2025 and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for the three months ended March 31, 2025 and 2024 (in thousands): </w:t>
      </w:r>
    </w:p>
    <w:tbl>
      <w:tblPr>
        <w:tblW w:w="6279" w:type="dxa"/>
        <w:jc w:val="left"/>
        <w:tblInd w:w="0" w:type="dxa"/>
        <w:tblLayout w:type="fixed"/>
        <w:tblCellMar>
          <w:top w:w="28" w:type="dxa"/>
          <w:left w:w="28" w:type="dxa"/>
          <w:bottom w:w="28" w:type="dxa"/>
          <w:right w:w="28" w:type="dxa"/>
        </w:tblCellMar>
      </w:tblPr>
      <w:tblGrid>
        <w:gridCol w:w="1183"/>
        <w:gridCol w:w="1040"/>
        <w:gridCol w:w="1046"/>
        <w:gridCol w:w="241"/>
        <w:gridCol w:w="945"/>
        <w:gridCol w:w="124"/>
        <w:gridCol w:w="124"/>
        <w:gridCol w:w="124"/>
        <w:gridCol w:w="124"/>
        <w:gridCol w:w="241"/>
        <w:gridCol w:w="911"/>
        <w:gridCol w:w="176"/>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other revenue</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195,355 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211,246 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(59,206)</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(48,566)</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152,040 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(48,483)</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158,494 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(43,114)</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recognized </w:t>
      </w:r>
      <w:r>
        <w:rPr>
          <w:rFonts w:ascii="Arial;sans-serif" w:hAnsi="Arial;sans-serif"/>
          <w:b w:val="false"/>
          <w:color w:val="000000"/>
          <w:sz w:val="20"/>
        </w:rPr>
        <w:t>$195.4 million of license revenue and $15.8 million of service and other revenue related to the Takeda Agreement for the three</w:t>
      </w:r>
      <w:r>
        <w:rPr>
          <w:color w:val="000000"/>
          <w:shd w:fill="FFFFFF" w:val="clear"/>
        </w:rPr>
        <w:t xml:space="preserve"> </w:t>
      </w:r>
      <w:r>
        <w:rPr>
          <w:rFonts w:ascii="Arial;sans-serif" w:hAnsi="Arial;sans-serif"/>
          <w:b w:val="false"/>
          <w:color w:val="000000"/>
          <w:sz w:val="20"/>
          <w:shd w:fill="FFFFFF" w:val="clear"/>
        </w:rPr>
        <w:t>months ended</w:t>
      </w:r>
      <w:r>
        <w:rPr>
          <w:color w:val="000000"/>
          <w:shd w:fill="FFFFFF" w:val="clear"/>
        </w:rPr>
        <w:t xml:space="preserve"> </w:t>
      </w:r>
      <w:r>
        <w:rPr>
          <w:rFonts w:ascii="Arial;sans-serif" w:hAnsi="Arial;sans-serif"/>
          <w:b w:val="false"/>
          <w:color w:val="000000"/>
          <w:sz w:val="20"/>
        </w:rPr>
        <w:t>March 31, 2025, compared to zero</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months ended</w:t>
      </w:r>
      <w:r>
        <w:rPr>
          <w:color w:val="000000"/>
        </w:rPr>
        <w:t xml:space="preserve"> </w:t>
      </w:r>
      <w:r>
        <w:rPr>
          <w:rFonts w:ascii="Arial;sans-serif" w:hAnsi="Arial;sans-serif"/>
          <w:b w:val="false"/>
          <w:color w:val="000000"/>
          <w:sz w:val="20"/>
        </w:rPr>
        <w:t>March 31, 2024. We recognized $0.1 million</w:t>
      </w:r>
      <w:r>
        <w:rPr>
          <w:color w:val="000000"/>
          <w:shd w:fill="FFFFFF" w:val="clear"/>
        </w:rPr>
        <w:t xml:space="preserve"> </w:t>
      </w:r>
      <w:r>
        <w:rPr>
          <w:rFonts w:ascii="Arial;sans-serif" w:hAnsi="Arial;sans-serif"/>
          <w:b w:val="false"/>
          <w:color w:val="000000"/>
          <w:sz w:val="20"/>
          <w:shd w:fill="FFFFFF" w:val="clear"/>
        </w:rPr>
        <w:t xml:space="preserve">of service and other revenue related to the Hansoh Agreement for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months ended</w:t>
      </w:r>
      <w:r>
        <w:rPr>
          <w:color w:val="000000"/>
          <w:shd w:fill="FFFFFF" w:val="clear"/>
        </w:rPr>
        <w:t xml:space="preserve"> </w:t>
      </w:r>
      <w:r>
        <w:rPr>
          <w:rFonts w:ascii="Arial;sans-serif" w:hAnsi="Arial;sans-serif"/>
          <w:b w:val="false"/>
          <w:color w:val="000000"/>
          <w:sz w:val="20"/>
        </w:rPr>
        <w:t>March 31, 2025, compared to $0.1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months ended</w:t>
      </w:r>
      <w:r>
        <w:rPr>
          <w:color w:val="000000"/>
        </w:rPr>
        <w:t xml:space="preserve"> </w:t>
      </w:r>
      <w:r>
        <w:rPr>
          <w:rFonts w:ascii="Arial;sans-serif" w:hAnsi="Arial;sans-serif"/>
          <w:b w:val="false"/>
          <w:color w:val="000000"/>
          <w:sz w:val="20"/>
        </w:rPr>
        <w:t>March 31, 2024. The increase in total revenue of $211.2 million was primarily due to the Takeda Agreement.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expenses for the three months ended March 31, 2025 and 2024 (in thousands): </w:t>
      </w:r>
    </w:p>
    <w:tbl>
      <w:tblPr>
        <w:tblW w:w="10205" w:type="dxa"/>
        <w:jc w:val="center"/>
        <w:tblInd w:w="0" w:type="dxa"/>
        <w:tblLayout w:type="fixed"/>
        <w:tblCellMar>
          <w:top w:w="28" w:type="dxa"/>
          <w:left w:w="28" w:type="dxa"/>
          <w:bottom w:w="28" w:type="dxa"/>
          <w:right w:w="28" w:type="dxa"/>
        </w:tblCellMar>
      </w:tblPr>
      <w:tblGrid>
        <w:gridCol w:w="1691"/>
        <w:gridCol w:w="1481"/>
        <w:gridCol w:w="1492"/>
        <w:gridCol w:w="256"/>
        <w:gridCol w:w="875"/>
        <w:gridCol w:w="132"/>
        <w:gridCol w:w="132"/>
        <w:gridCol w:w="132"/>
        <w:gridCol w:w="132"/>
        <w:gridCol w:w="256"/>
        <w:gridCol w:w="875"/>
        <w:gridCol w:w="132"/>
        <w:gridCol w:w="109"/>
        <w:gridCol w:w="109"/>
        <w:gridCol w:w="109"/>
        <w:gridCol w:w="443"/>
        <w:gridCol w:w="1519"/>
        <w:gridCol w:w="330"/>
      </w:tblGrid>
      <w:tr>
        <w:trPr/>
        <w:tc>
          <w:tcPr>
            <w:tcW w:w="169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Cibotercept</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5,471 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KER-065</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Elritercept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Preclinical and development fees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 (including stock-based compensation)</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Facilities and supplies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48,709 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38,258 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10,451 </w:t>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Research and development expenses were $48.7 million for the three months ended March 31, 2025, compared to $38.3 million for the three months ended March 31, 2024. The increase of $10.5 million was primarily due to (i) an increase of $0.4 million of cibotercept-related expenses, primarily driven by a net increase of $0.8 million in preclinical activities and partially offset by a decrease of $0.4 million in clinical spend associated with our Phase 2 clinical trial; (ii) an increase of $10.3 million of elritercept-related expenses, primarily driven by an increase of $5.9 million in manufacturing activities and an increase of $4.4 million in clinical spend associated with our ongoing Phase 2 clinical trials, one in patients with MDS and one in patients with myelofibrosis, and the advancement of a Phase 3 clinical trial in patients with MDS; (iii) an increase of $3.1 million related to personnel expenses, including an increase of $1.4 million of additional stock-based compensation costs, driven by increased headcount to support the advancement of our pipeline; and (iv) a net increase of $1.1 million in facilities, supplies, professional fees and other expenses due to the growth of our organization. These increases were partially offset by (a) a decrease of $2.8 million of KER-065-related expenses, primarily driven by a net decrease of $2.9 million in manufacturing and preclinical activities, offset by an increase of $0.1 million in clinical spend associated with our ongoing Phase 1 clinical trial; and (b) a decrease of $1.6 million in preclinical pipeline and development activities. We expect research and development expenses to fluctuate from quarter to quarter depending on the timing of clinical trial activities, clinical manufacturing and other development activities. We expect that elritercept-related expenses will decrease once transitioned to Takeda.</w:t>
      </w:r>
    </w:p>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General and Administrative Expenses </w:t>
      </w:r>
    </w:p>
    <w:p>
      <w:pPr>
        <w:pStyle w:val="TextBody"/>
        <w:bidi w:val="0"/>
        <w:spacing w:lineRule="auto" w:line="288" w:before="120" w:after="283"/>
        <w:jc w:val="left"/>
        <w:rPr/>
      </w:pPr>
      <w:r>
        <w:rPr>
          <w:rFonts w:ascii="Arial;sans-serif" w:hAnsi="Arial;sans-serif"/>
          <w:b w:val="false"/>
          <w:color w:val="000000"/>
          <w:sz w:val="20"/>
          <w:shd w:fill="FFFFFF" w:val="clear"/>
        </w:rPr>
        <w:t>General and administrative expenses were $10.5 million for the three months ended March 31, 2025, compared to $10.3 million for the three months ended March 31, 2024. The increase of approximately $0.2 million was primarily due to (i) a net increase of $0.5 million in professional fees, insurance, facilities, supplies and other expenses</w:t>
      </w:r>
      <w:r>
        <w:rPr>
          <w:color w:val="000000"/>
        </w:rPr>
        <w:t xml:space="preserve"> </w:t>
      </w:r>
      <w:r>
        <w:rPr>
          <w:rFonts w:ascii="Arial;sans-serif" w:hAnsi="Arial;sans-serif"/>
          <w:b w:val="false"/>
          <w:color w:val="000000"/>
          <w:sz w:val="20"/>
        </w:rPr>
        <w:t>to support the growth of our business, partially offset by a</w:t>
      </w:r>
      <w:r>
        <w:rPr>
          <w:color w:val="000000"/>
          <w:shd w:fill="FFFFFF" w:val="clear"/>
        </w:rPr>
        <w:t xml:space="preserve"> </w:t>
      </w:r>
      <w:r>
        <w:rPr>
          <w:rFonts w:ascii="Arial;sans-serif" w:hAnsi="Arial;sans-serif"/>
          <w:b w:val="false"/>
          <w:color w:val="000000"/>
          <w:sz w:val="20"/>
          <w:shd w:fill="FFFFFF" w:val="clear"/>
        </w:rPr>
        <w:t xml:space="preserve">decrease of $0.3 million in personnel expenses, which includes a decrease of </w:t>
      </w:r>
      <w:r>
        <w:rPr>
          <w:rFonts w:ascii="Arial;sans-serif" w:hAnsi="Arial;sans-serif"/>
          <w:b w:val="false"/>
          <w:color w:val="000000"/>
          <w:sz w:val="20"/>
        </w:rPr>
        <w:t>$0.6 million</w:t>
      </w:r>
      <w:r>
        <w:rPr>
          <w:color w:val="000000"/>
          <w:shd w:fill="FFFFFF" w:val="clear"/>
        </w:rPr>
        <w:t xml:space="preserve"> </w:t>
      </w:r>
      <w:r>
        <w:rPr>
          <w:rFonts w:ascii="Arial;sans-serif" w:hAnsi="Arial;sans-serif"/>
          <w:b w:val="false"/>
          <w:color w:val="000000"/>
          <w:sz w:val="20"/>
          <w:shd w:fill="FFFFFF" w:val="clear"/>
        </w:rPr>
        <w:t xml:space="preserve">of stock-based compensation costs.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Total Other Income, Net</w:t>
      </w:r>
    </w:p>
    <w:p>
      <w:pPr>
        <w:pStyle w:val="TextBody"/>
        <w:bidi w:val="0"/>
        <w:spacing w:lineRule="auto" w:line="288" w:before="120" w:after="283"/>
        <w:jc w:val="left"/>
        <w:rPr/>
      </w:pPr>
      <w:r>
        <w:rPr>
          <w:rFonts w:ascii="Arial;sans-serif" w:hAnsi="Arial;sans-serif"/>
          <w:b w:val="false"/>
          <w:color w:val="000000"/>
          <w:sz w:val="20"/>
          <w:shd w:fill="FFFFFF" w:val="clear"/>
        </w:rPr>
        <w:t xml:space="preserve">Total other income, net was $6.5 million for the three months ended March 31, 2025, compared </w:t>
      </w:r>
      <w:r>
        <w:rPr>
          <w:rFonts w:ascii="Arial;sans-serif" w:hAnsi="Arial;sans-serif"/>
          <w:b w:val="false"/>
          <w:color w:val="000000"/>
          <w:sz w:val="20"/>
        </w:rPr>
        <w:t>to $5.4 million for the three months ended March 31, 2024. The increase of $1.1 million was driven by an increase of $1.0 million in dividend income and a decrease of $0.1 million in other expense, net.</w:t>
      </w:r>
    </w:p>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Income Tax Provision</w:t>
      </w:r>
    </w:p>
    <w:p>
      <w:pPr>
        <w:pStyle w:val="TextBody"/>
        <w:bidi w:val="0"/>
        <w:spacing w:lineRule="auto" w:line="288" w:before="120" w:after="283"/>
        <w:jc w:val="left"/>
        <w:rPr/>
      </w:pPr>
      <w:r>
        <w:rPr>
          <w:rFonts w:ascii="Arial;sans-serif" w:hAnsi="Arial;sans-serif"/>
          <w:b w:val="false"/>
          <w:color w:val="000000"/>
          <w:sz w:val="20"/>
        </w:rPr>
        <w:t xml:space="preserve">Income tax provision was $10.0 million for the </w:t>
      </w:r>
      <w:r>
        <w:rPr>
          <w:rFonts w:ascii="Arial;sans-serif" w:hAnsi="Arial;sans-serif"/>
          <w:b w:val="false"/>
          <w:color w:val="000000"/>
          <w:sz w:val="20"/>
          <w:shd w:fill="FFFFFF" w:val="clear"/>
        </w:rPr>
        <w:t>three</w:t>
      </w:r>
      <w:r>
        <w:rPr>
          <w:color w:val="000000"/>
        </w:rPr>
        <w:t xml:space="preserve"> </w:t>
      </w:r>
      <w:r>
        <w:rPr>
          <w:rFonts w:ascii="Arial;sans-serif" w:hAnsi="Arial;sans-serif"/>
          <w:b w:val="false"/>
          <w:color w:val="000000"/>
          <w:sz w:val="20"/>
        </w:rPr>
        <w:t xml:space="preserve">months ended </w:t>
      </w:r>
      <w:r>
        <w:rPr>
          <w:rFonts w:ascii="Arial;sans-serif" w:hAnsi="Arial;sans-serif"/>
          <w:b w:val="false"/>
          <w:color w:val="000000"/>
          <w:sz w:val="20"/>
          <w:shd w:fill="FFFFFF" w:val="clear"/>
        </w:rPr>
        <w:t>March 31, 2025</w:t>
      </w:r>
      <w:r>
        <w:rPr>
          <w:rFonts w:ascii="Arial;sans-serif" w:hAnsi="Arial;sans-serif"/>
          <w:b w:val="false"/>
          <w:color w:val="000000"/>
          <w:sz w:val="20"/>
        </w:rPr>
        <w:t xml:space="preserve">, compared to zero for the </w:t>
      </w:r>
      <w:r>
        <w:rPr>
          <w:rFonts w:ascii="Arial;sans-serif" w:hAnsi="Arial;sans-serif"/>
          <w:b w:val="false"/>
          <w:color w:val="000000"/>
          <w:sz w:val="20"/>
          <w:shd w:fill="FFFFFF" w:val="clear"/>
        </w:rPr>
        <w:t>three</w:t>
      </w:r>
      <w:r>
        <w:rPr>
          <w:color w:val="000000"/>
        </w:rPr>
        <w:t xml:space="preserve"> </w:t>
      </w:r>
      <w:r>
        <w:rPr>
          <w:rFonts w:ascii="Arial;sans-serif" w:hAnsi="Arial;sans-serif"/>
          <w:b w:val="false"/>
          <w:color w:val="000000"/>
          <w:sz w:val="20"/>
        </w:rPr>
        <w:t>months ended March 31, 2024. The increase of $10.0 million in income tax provision is attributed to taxable income generated from the Takeda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120"/>
        <w:jc w:val="left"/>
        <w:rPr/>
      </w:pPr>
      <w:r>
        <w:rPr>
          <w:rFonts w:ascii="Arial;sans-serif" w:hAnsi="Arial;sans-serif"/>
          <w:b w:val="false"/>
          <w:color w:val="000000"/>
          <w:sz w:val="20"/>
        </w:rPr>
        <w:t>Since our inception, we have incurred significant operating losses each fiscal year. Our net income,</w:t>
      </w:r>
      <w:r>
        <w:rPr>
          <w:color w:val="000000"/>
          <w:shd w:fill="FFFFFF" w:val="clear"/>
        </w:rPr>
        <w:t xml:space="preserve"> </w:t>
      </w:r>
      <w:r>
        <w:rPr>
          <w:rFonts w:ascii="Arial;sans-serif" w:hAnsi="Arial;sans-serif"/>
          <w:b w:val="false"/>
          <w:color w:val="000000"/>
          <w:sz w:val="20"/>
          <w:shd w:fill="FFFFFF" w:val="clear"/>
        </w:rPr>
        <w:t>which was primarily driven by revenue related to the Takeda Agreement,</w:t>
      </w:r>
      <w:r>
        <w:rPr>
          <w:color w:val="000000"/>
        </w:rPr>
        <w:t xml:space="preserve"> </w:t>
      </w:r>
      <w:r>
        <w:rPr>
          <w:rFonts w:ascii="Arial;sans-serif" w:hAnsi="Arial;sans-serif"/>
          <w:b w:val="false"/>
          <w:color w:val="000000"/>
          <w:sz w:val="20"/>
        </w:rPr>
        <w:t xml:space="preserve">was $148.5 million for the three months ended March 31, 2025 compared to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loss of $43.1 million for the three months ended March 31, 2024. As of March 31, 2025 and December 31, 2024, we had an accumulated deficit of $420.3 million and $568.8 million, respectively. To date, we have devoted the majority of our efforts into business planning, research and development of our product candidates, including by conducting clinical trials and preclinical studies, raising capital and recruiting management and technical staff to support these operations. Our primary uses of cash are to fund operating expenses, which are primarily research and development expenditures. We expect our expenses to increase substantially in connection with our ongoing activities, particularly as we advance the preclinical studies and clinical trials of our product candidates. Furthermore, we expect to incur additional costs associated with operating as a public company, including significant legal, accounting, investor relations, director and officer insurance premiums and other expenses. In addition, if we obtain marketing approval for any of our product candidates, we expect to incur significant commercialization expenses related to establishing sales, marketing, distribution and other commercial infrastructure to commercialize such products.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currently do not have any products approved for sale. We do not expect to generate any revenue from product sales unless and until we successfully complete development and obtain regulatory approval for one or more of our product candidates, which we expect will take a number of years. Since our inception, we have funded our operations primarily through equity financings, research collaborations, or licensing of intellectual property.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December 2022, we filed a prospectus supplement to a registration statement on Form S-3ASR, including a base prospectus and sales agreement prospectus, or the Prior Shelf Registration Statement, for the issuance and sale of up to $250.0 million of shares of our common stock. On May 3, 2024, we filed a new registration statement on Form S-3ASR, or the New Shelf Registration Statement, to replace the Prior Shelf Registration Statement that was set to expire, which became automatically effective upon filing, and which permitted us to offer, from time to time, an unspecified amount of common stock, preferred stock, debt securities and warrants, including through an “at the market” program with Leerink, as sales agent, or the ATM Program. As of the filing of the Annual Report, we were not able to use the New Shelf Registration Statement, as we no longer met the criteria of a well-known seasoned issuer. As of March 31, 2025, we sold 4,290,096 shares of our common stock pursuant to the ATM Program. As of March 31, 2025, we were not eligible to offer and sell any shares of our common stock under the ATM Program.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of March 31, 2025, we had cash and cash equivalents of $720.5 million. Based on our current operating assumptions, we believe that our existing cash and cash equivalents will be sufficient to fund our projected liquidity requirements into 2029. We have based this estimate on assumptions that may prove to be wrong, and we could use our capital resources sooner than we currently expect. Due to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funding requirements, both near and long-term, will depend on many factors, including: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progress, timing and completion of preclinical studies and clinical trials for our current or any future product candidates, as well as the associated costs, including any unforeseen costs we may incur as a result of preclinical study or clinical trial delays due to public health crises or other causes;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amount of milestone and royalty payments we are required to make or are eligible to receive under our license agreements with each of The General Hospital Corporation and Hansoh;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number of potential new product candidates we identify and decide to develop;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need for additional or expanded preclinical studies and clinical trials beyond those that we plan to conduct with respect to our current and future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involved in growing our organization to the size needed to allow for the research, development and potential commercialization of our current or any future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involved in filing patent applications, maintaining and enforcing patents or defending against infringement or other claims raised by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maintenance of our existing license and collaboration agreements and the entry into new license and collaboration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time and costs involved in obtaining regulatory approval for our product candidates and any delays we may encounter as a result of evolving regulatory requirements or adverse results with respect to any of our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of operating as a public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manufacturing cibotercept, KER-065, elritercept and future product candidates for clinical trials in preparation for marketing approval and in preparation for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establishing sales, marketing and distribution capabilities for any product candidates for which we may receive regulatory approval in regions where we choose to commercialize our products, if approved, on our own;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amount of revenues, if any, we may derive either directly or in the form of royalty payments from future sales of our product candidates, if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of our review of strategic alternatives;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market acceptance of any approved product candidates.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public health crises, bank failures, geopolitical tensions and resulting global slowdown of economic activity continue to rapidly evolve and have already resulted in a significant disruption of global financial markets. If the disruption persists and deepens, we could experience an inability to access additional capital when and if needed. If we are unable to obtain funding, we could be forced to delay, reduce or eliminate some or all of our research and development programs and clinical development efforts, which would adversely affect our business prospects, or we may be unable to continue operations. 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Adequate additional funding may not be available to us on acceptable terms, or at all. Any failure to raise capital as and when needed could have a negative impact on our financial condition and on our ability to pursue our business plans and strategies.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three months ended March 31, 2025 and 2024 (in thousands):</w:t>
      </w:r>
    </w:p>
    <w:tbl>
      <w:tblPr>
        <w:tblW w:w="7856" w:type="dxa"/>
        <w:jc w:val="center"/>
        <w:tblInd w:w="0" w:type="dxa"/>
        <w:tblLayout w:type="fixed"/>
        <w:tblCellMar>
          <w:top w:w="28" w:type="dxa"/>
          <w:left w:w="28" w:type="dxa"/>
          <w:bottom w:w="28" w:type="dxa"/>
          <w:right w:w="28" w:type="dxa"/>
        </w:tblCellMar>
      </w:tblPr>
      <w:tblGrid>
        <w:gridCol w:w="1752"/>
        <w:gridCol w:w="1543"/>
        <w:gridCol w:w="1549"/>
        <w:gridCol w:w="238"/>
        <w:gridCol w:w="935"/>
        <w:gridCol w:w="123"/>
        <w:gridCol w:w="123"/>
        <w:gridCol w:w="123"/>
        <w:gridCol w:w="123"/>
        <w:gridCol w:w="238"/>
        <w:gridCol w:w="935"/>
        <w:gridCol w:w="174"/>
      </w:tblGrid>
      <w:tr>
        <w:trPr/>
        <w:tc>
          <w:tcPr>
            <w:tcW w:w="175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156,802 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w:t>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160,610 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111,296 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left"/>
        <w:rPr>
          <w:rFonts w:ascii="Arial;sans-serif" w:hAnsi="Arial;sans-serif"/>
          <w:b w:val="false"/>
          <w:i/>
          <w:color w:val="000000"/>
          <w:sz w:val="20"/>
        </w:rPr>
      </w:pPr>
      <w:r>
        <w:rPr>
          <w:rFonts w:ascii="Arial;sans-serif" w:hAnsi="Arial;sans-serif"/>
          <w:b w:val="false"/>
          <w:i/>
          <w:color w:val="000000"/>
          <w:sz w:val="20"/>
        </w:rPr>
        <w:t xml:space="preserve">Cash Provided by (Used in) Operating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 was $161.2 million for the three months ended March 31, 2025, which was driven by a (i) net income of $148.5 million; (ii) $2.9 million in net cash provided by operating assets and liabilities; and (iii) non-cash charges including $8.9 million of stock-based compensation expense, $0.6 million in lease expenses and $0.3 million in depreciation. The $2.9 million of net cash provided by operating assets and liabilities was comprised of (i) a $4.5 million decrease in prepaid expenses and other current assets due to timing of expense recognition for our research and development costs; (ii) a $3.3 million increase in deferred revenue; (iii) a $10.0 million increase in current tax liability; and (iv) a $1.6 million decrease in other long-term assets, which was partially offset by (a) a $14.5 million increase in accounts receivable related to the Takeda Agreement; (b) a $1.6 million decrease in accounts payable and accrued expenses to support the advancement of our programs; and (c) a $0.4 million change in operating lease liabilities.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 was $44.6 million for the three months ended March 31, 2024, which was driven by a net loss of $43.1 million and $10.1 million in net cash used in operating assets and liabilities, partially offset by non-cash charges including $8.1 million of stock-based compensation expense, $0.3 million in lease expenses and $0.3 million in depreciation. The $10.1 million of net cash used by operating assets and liabilities was comprised of (i) $5.3 million used in accounts payable and accrued expenses to support the advancement of our programs; (ii) $4.5 million used in prepaid expenses and other assets due to timing of expense recognition for our research and development costs; (iii) $0.2 million used in our operating lease liabilities; and (iv) $0.1 million used in accounts receivable.</w:t>
      </w:r>
    </w:p>
    <w:p>
      <w:pPr>
        <w:pStyle w:val="TextBody"/>
        <w:bidi w:val="0"/>
        <w:spacing w:lineRule="auto" w:line="288" w:before="240" w:after="120"/>
        <w:jc w:val="left"/>
        <w:rPr>
          <w:rFonts w:ascii="Arial;sans-serif" w:hAnsi="Arial;sans-serif"/>
          <w:b w:val="false"/>
          <w:i/>
          <w:color w:val="000000"/>
          <w:sz w:val="20"/>
        </w:rPr>
      </w:pPr>
      <w:r>
        <w:rPr>
          <w:rFonts w:ascii="Arial;sans-serif" w:hAnsi="Arial;sans-serif"/>
          <w:b w:val="false"/>
          <w:i/>
          <w:color w:val="000000"/>
          <w:sz w:val="20"/>
        </w:rPr>
        <w:t>Cash Used in Investing Activities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was $0.6 million for the three months ended March 31, 2025 and $0.9 million for the three months ended March 31, 2024. The cash used in investing activities in both periods was due to purchases of property and equipment. </w:t>
      </w:r>
    </w:p>
    <w:p>
      <w:pPr>
        <w:pStyle w:val="TextBody"/>
        <w:bidi w:val="0"/>
        <w:spacing w:before="0" w:after="0"/>
        <w:jc w:val="left"/>
        <w:rPr/>
      </w:pPr>
      <w:r>
        <w:rPr/>
      </w:r>
    </w:p>
    <w:p>
      <w:pPr>
        <w:pStyle w:val="TextBody"/>
        <w:bidi w:val="0"/>
        <w:spacing w:lineRule="auto" w:line="276" w:before="0" w:after="120"/>
        <w:jc w:val="both"/>
        <w:rPr>
          <w:rFonts w:ascii="Arial;sans-serif" w:hAnsi="Arial;sans-serif"/>
          <w:b w:val="false"/>
          <w:i/>
          <w:color w:val="000000"/>
          <w:sz w:val="20"/>
        </w:rPr>
      </w:pPr>
      <w:r>
        <w:rPr>
          <w:rFonts w:ascii="Arial;sans-serif" w:hAnsi="Arial;sans-serif"/>
          <w:b w:val="false"/>
          <w:i/>
          <w:color w:val="000000"/>
          <w:sz w:val="20"/>
        </w:rPr>
        <w:t xml:space="preserve">Cash Provided by Financing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was nominal for the three months ended March 31, 2025, and was related to exercises of options to purchase common stock.</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was $156.8 million for the three months ended March 31, 2024, which was primarily related to (i) net proceeds of $151.1 million received from our public offering of common stock in January 2024, after deducting underwriting discounts, commissions and offering expenses; and (ii) proceeds of $5.7 million related to exercises of options to purchase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Contractual Obligations and Commitments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disclosure of our contractual obligations and commitments was included in the Annual Report. There have been no material changes from the contractual commitments and obligations previously disclosed in the Annual Report, except as described herein.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enter into agreements in the normal course of business with contract manufacturing organizations for process development, raw material purchases and manufacturing services. These contracts typically do not contain minimum purchase commitments and are generally cancellable by us upon written notice. Payments due upon cancellation consist of payments for services provided or expenses incurred, including noncancellable obligations of our service providers, up to the date of cancellation and, in the case of certain arrangements with contract manufacturing organizations, may include noncancellable fees. Under such agreements, the exact amounts owed by us in the event of termination will be based on the timing of the termination and the exact terms of the agreement. As of March 31, 2025, we have committed up to approximately $52.3 million under these agreements which are expected to be paid through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unaudited interim condensed consolidated financial statements are prepared in accordance with generally accepted accounting principles in the United States. The preparation of our unaudited interim condensed consolidated financial statements and related disclosures requires us to make estimates and judgments that affect the reported amounts of assets, liabilities, costs and expenses, and the disclosure of contingent assets and liabilities in our condensed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significant changes to our critical accounting policies from those described in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Recently Issued Accounting Pronouncements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2 in the accompanying notes to our unaudited interim condensed consolidated financial statements appearing elsewhere in this Quarterly Report on Form 10-Q for a discussion of recent accounting pronouncements. In the three months ended March 31, 2025, there were no newly applicable recently issued accounting pronouncements.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sensitivities.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Interest Rate Sensitivity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2025 and December 31, 2024, we had cash and cash equivalents of $720.5 million and $559.9 million, respectively. Our exposure to interest rate sensitivity is impacted by changes in the underlying U.S. bank interest rates. Our surplus cash has been invested in money market fund accounts as well as interest-bearing savings accounts from time to time.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portfolio, and therefore we do not expect our operating results or cash flows to be significantly affected by changes in market interest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and December 31, 2024, we had no debt outstanding that is subject to interest rate variability. Therefore, we are not subject to interest rate risk related to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our Chief Financial Officer, evaluated the effectiveness of our disclosure controls and procedures as of March 31, 2025. Based on the evaluation of our disclosure controls and procedures as of March 31, 2025, our Chief Executive Officer and Chief Financial Officer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From time to time, we may become subject to arbitration, litigation or claims arising in the ordinary course of business.</w:t>
      </w:r>
      <w:r>
        <w:rPr>
          <w:color w:val="000000"/>
          <w:shd w:fill="FFFFFF" w:val="clear"/>
        </w:rPr>
        <w:t xml:space="preserve"> </w:t>
      </w:r>
      <w:r>
        <w:rPr>
          <w:rFonts w:ascii="Arial;sans-serif" w:hAnsi="Arial;sans-serif"/>
          <w:b w:val="false"/>
          <w:color w:val="000000"/>
          <w:sz w:val="20"/>
          <w:shd w:fill="FFFFFF" w:val="clear"/>
        </w:rPr>
        <w:t>We are not currently a party to any material arbitration or legal proceedings.</w:t>
      </w:r>
      <w:r>
        <w:rPr>
          <w:color w:val="000000"/>
        </w:rPr>
        <w:t xml:space="preserve"> </w:t>
      </w:r>
      <w:r>
        <w:rPr>
          <w:rFonts w:ascii="Arial;sans-serif" w:hAnsi="Arial;sans-serif"/>
          <w:b w:val="false"/>
          <w:color w:val="000000"/>
          <w:sz w:val="20"/>
        </w:rPr>
        <w:t>The results of any future claims or proceedings cannot be predicted with certainty, and regardless of the outcome, litigation can have an adverse impact on us because of defense and litigation costs, diversion of management resources, and other factors.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Our business is subject to numerous risks. You should consider carefully the risks and uncertainties described below, in addition to other information contained in this Quarterly Report on Form 10-Q as well as our other public filings with the Securities and Exchange Commission, or the SEC. Any of the following risks could have a material adverse effect on our business, financial condition, results of operations and growth prospects and cause the trading price of our common stock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Financial Position and Need for Additional Capital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a limited operating history, have incurred net losses in every year since our inception and anticipate that we will continue to incur net losses in the future.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are a clinical-stage biopharmaceutical company with a limited operating history. Since our inception in 2015, we have invested most of our resources in developing our product candidates, building our intellectual property portfolio, developing our supply chain,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late-stage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have incurred losses in each fiscal year since our inception. However, for the </w:t>
      </w:r>
      <w:r>
        <w:rPr>
          <w:rFonts w:ascii="Arial;sans-serif" w:hAnsi="Arial;sans-serif"/>
          <w:b w:val="false"/>
          <w:color w:val="000000"/>
          <w:sz w:val="20"/>
          <w:shd w:fill="FFFFFF" w:val="clear"/>
        </w:rPr>
        <w:t>three</w:t>
      </w:r>
      <w:r>
        <w:rPr>
          <w:color w:val="000000"/>
        </w:rPr>
        <w:t xml:space="preserve"> </w:t>
      </w:r>
      <w:r>
        <w:rPr>
          <w:rFonts w:ascii="Arial;sans-serif" w:hAnsi="Arial;sans-serif"/>
          <w:b w:val="false"/>
          <w:color w:val="000000"/>
          <w:sz w:val="20"/>
        </w:rPr>
        <w:t xml:space="preserve">months ended March 31, 2025, we reported a net income of $148.5 million. As of March 31, 2025, we had an accumulated deficit of $420.3 million. We expect to continue to incur significant losses for the foreseeable future, and we expect these losses to increase as we continue our research and development of, and seek regulatory approvals for, cibotercept (KER-012), KER-065, elritercept (KER-050) and any future product candidates we may develop.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anticipate that our expenses will increase substantially if, and as, we: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complete our Phase 2 clinical trial of cibotercept in patients with pulmonary arterial hypertension, or PAH;</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complete our Phase 1 clinical trial of KER-065 in healthy volunteers;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commence a Phase 3 clinical trial of elritercept in patients with lower-risk myelodysplastic syndrome, or MDS;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continue the research and development of our other clinical- and preclinical-stage product candidates and discovery-stage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increase the amount of research and development activities to identify and develop product candidates using our proprietary discovery approach;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make milestone, royalty or other payments under in-license or collaboration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 expand and protect our intellectual property portfolio;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 in or in-license other technologies;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experience any delays or encounter any issues with any of the above, including but not limited to failed studies, complex results, manufacturing challenges, safety issues or other regulatory challenges.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our collaborators and any potential future collaborators may never succeed in any or all of these activities and, even if we do, we may never generate revenue that is significant or large enough to achieve profitability. Revenue we generate from our collaborations with Takeda Pharmaceuticals U.S.A., Inc., or Takeda, and Hansoh (Shanghai) Healthtech Co., Ltd., or Hansoh, and any future collaboration arrangements may not be sufficient to sustain our operations.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3"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date, we have funded our operations primarily through private placements of our equity securities, upfront and expense reimbursement payments received from our collaborators, from our initial public offering, or IPO, in April 2020, from our public offerings of common stock in November 2020 and January 2024, and from our “at-the-market offering,” in connection with our Sales Agreement with Leerink Partners LLC, or Leerink, as agent, pursuant to which we may offer and sell, from time to time, shares of our common stock through Leerink, or the ATM Offering. We expect our expenses to increase in connection with our ongoing activities, particularly as we complete our Phase 2 clinical trial of cibotercept in patients with PAH and our Phase 1 clinical trial of KER-065 in healthy volunteers, and continue to research, develop and initiate clinical trials of any other future product candidates. In addition, if we obtain regulatory approval for any of our product candidates, we expect to incur significant commercialization expenses related to product manufacturing, marketing,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we had $720.5 million in cash and cash equivalents. Based on our current operating assumptions, we expect that our existing cash and cash equivalents as of March 31, 2025 will enable us to fund our operating expenses and capital expenditure requirements into 2029. We have based this estimate on assumptions that may prove to be wrong, and we could use our capital resources sooner than we currently expect. Our future capital requirements for cibotercept, KER-065, elritercept or our other preclinical programs will depend on many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progress, timing and completion of preclinical studies and clinical trials for our current or any future product candidates, as well as the associated costs, including any unforeseen costs we may incur as a result of preclinical study or clinical trial delays due to public health crises or other causes;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timing and amount of milestone and royalty payments we are required to make or are eligible to receive under our license agreements with each of The General Hospital Corporation, Takeda and Hansoh;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number of potential new product candidates we identify and decide to develop;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involved in growing our organization to the size needed to allow for the research, development and potential commercialization of our current or any future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involved in filing patent applications, maintaining and enforcing patents or defending against infringement or other claims raised by third parties;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maintenance of our existing license and collaboration agreements and the entry into new license and collaboration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manufacturing cibotercept, KER-065, elritercept and future product candidates for clinical trials in preparation for marketing approval applications and in preparation for commercialization;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establishing sales, marketing and distribution capabilities for any product candidates for which we may receive regulatory approval in regions where we choose to commercialize our products, if approved, on our own;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amount of revenues, if any, we may derive either directly or in the form of royalty payments from future sales of our product candidates, if approved;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acceptance of any approved product candidates.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have any committed external source of funds or other support for our development efforts and we cannot be certain that additional funding will be available on acceptable terms, or at all. Further, in the event that the license agreement we entered into with Takeda, or the Takeda Agreement, is terminated, we may not receive any additional fees or milestone payments under that agreement. Absent the funding support obtained under the Takeda Agreement, our further development of elritercept would require significant additional capital from us, or the establishment of alternative collaborations with third parties, which may not be possible. Until we can generate sufficient product or royalty revenue to finance our cash requirements, which we may never do, we expect to finance our future cash needs through a combination of public or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equity offerings, debt financings, collaborations, strategic alliances, licensing arrangements and other marketing or distribution arrangements.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raise additional funds will depend on financial, economic and market conditions and other factors, over which we may have no or limited control. Disruptions in the financial markets in general, geopolitical conflicts and economic instability may make equity and debt financing more difficult to obtain, and may have a material adverse effect on our ability to meet our fundraising needs. We cannot guarantee that future financing will be available in sufficient amounts or on terms acceptable to us, if at all. If we are unable to obtain additional funding, we could be forced to delay, reduce or eliminate some or all of our research and development programs and clinical development efforts, which would adversely affect our business prospects, or we may be unable to continue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Raising additional capital may cause dilution to holders of our common stock, restrict our operations or require us to relinquish rights to our technologies or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Until such time, if ever, as we can generate substantial product revenues, we expect to finance our operations with our existing cash and cash equivalents and revenue from our collaborations. In order to further advance development of our product candidates, discover additional product candidates and pursue our other business objectives, we will need to seek additional funds.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guarantee that future financing will be available in sufficient amounts or on commercially reasonable terms, if at all. Moreover, the terms of any financing may adversely affect the holdings or the rights of holders of our common stock and the issuance of additional securities, whether equity or debt, by us, or the possibility of such issuance, may cause the market price of our common stock to decline. The sale of additional common stock or securities convertible or exchangeable into common stock would dilute all of our existing stockholders and the terms of these securities may include liquidation or other preferences that adversely affect your rights as a holder of our common stock. The incurrence of indebtedness could result in increased fixed payment obligations and we may be required to agree to certain restrictive covenants, such as limitations on our ability to incur additional debt or declare dividends, limitations on our ability to acquire, sell or license intellectual property rights and other operating restrictions that could adversely impact our ability to conduct our business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cibotercept, KER-065, elritercept or any future product candidate at an earlier stage than otherwise would be desirable or relinquish our rights to product candidates or technologies that we otherwise would seek to develop or commercialize ourselves. Further, any additional fundraising efforts may divert our management from its day-to-day activities, which may adversely affect our ability to develop and commercialize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the Discovery, Development and Regulatory Approval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heavily dependent on the success of our product candidates, which are in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cibotercept, KER-065 and elritercept are still in clinical trials. If any of cibotercept, KER-065 or elritercept encounters safety or efficacy problems, development delays or regulatory issues or other problems, our development plans and business would be significantly harmed. For example, in January 2025, we announced the early termination of our Phase 2 clinical trial evaluating cibotercept in patients with PAH, which we refer to as the TROPOS trial, based on an ongoing safety review due to the unanticipated observation of pericardial effusion adverse events in the trial. Following completion of the TROPOS trial, we plan to evaluate the appropriate development strategy for cibotercept, including in PAH and other potential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ability to generate product revenues, which we do not expect will occur for several years, if ever, will depend heavily on the successful development and eventual commercialization of cibotercept, KER-065, elritercept and any future product candidates we develop, which may never occur. Cibotercept, KER-065, elritercept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successful and timely completion of clinical trials and preclinical studies for which the U.S. Food and Drug Administration, or the FDA, or any comparable foreign regulatory authority agree with the design, endpoints or implementation;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sufficiency of our financial and other resources to complete the necessary preclinical studies and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receiving regulatory approvals or authorizations for conducting our planned clinical trials or future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commencement of and successful patient enrollment in, and completion of, additional clinical trials on a timely basis;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demonstrate to the satisfaction of the FDA or any comparable foreign regulatory authority that the applicable product candidate is safe and effective as a treatment for our targeted indications or, in the case of an applicable product candidate which is regulated as a biological product, that the applicable product candidate is safe, pure, and potent for our targeted indications;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timely receipt of marketing approvals for our product candidates from applicable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extent of any required post-marketing approval commitments to applicable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obtaining and maintaining patent and trade secret protection or regulatory exclusivity for our product candidates, both in the United States and internationally;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successfully scaling a sales and marketing organization and launching commercial sales of our product candidates, if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acceptance of our product candidates’ benefits and uses, if approved, by patients, the medical community and third-party payors;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 continued acceptable safety profile of our product candidates following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effectively competing with companies developing and commercializing other therapies in the indications which our product candidates target;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obtaining and maintaining healthcare coverage and adequate reimbursement from third-party payors;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enforcing and defending intellectual property rights and claims.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not successful with respect to one or more of these factors in a timely manner or at all, we could experience significant delays or an inability to successfully commercialize cibotercept, KER-065, elritercept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All of our product candidates are in preclinical or clinical development stages. Clinical trials are difficult to design and implement, and they involve a lengthy and expensive process with uncertain outcomes. We may experience delays in completing, or ultimately be unable to complete, the development and commercialization of cibotercept, KER-065, elritercept or any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For example, in January 2025, we announced the early termination of our TROPOS trial evaluating cibotercept in patients with PAH, based on an ongoing safety review due to the unanticipated observation of pericardial effusion adverse events in the trial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date, we have not completed any pivotal clinical trials required for the approval of any of our product candidates. Although we have completed our Phase 1 clinical trial of elritercept and our Phase 1 clinical trial of cibotercept, both in healthy volunteers,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cibotercept, KER-065, elritercept or any future product candidates,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obtain regulatory authorizations to commence a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reaching a consensus with regulatory agencies as to the design or implementation of our clinical trials;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obtain institutional review board, or IRB, or positive ethics committee opinions at each site;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recruit a sufficient number of suitable patients to participate in a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have patients complete a trial or return for post-treatment follow-up, including disruptions in our ability to treat patients or conduct post-treatment follow-up due to public health crises;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clinical sites deviating from trial protocol, missing data or dropping out of a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adding new clinical trial sites;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to manufacture sufficient quantities of our product candidates for use in clinical trials in a timely manner;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occurrence of adverse events associated with the product candidate that are viewed to outweigh its potential benefits,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to perform clinical trials in accordance with the FDA’s or any comparable foreign regulatory authority’s good clinical practices, or GCP, requirements, or regulatory guidelines in other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regulatory requirements, policies and guidelines;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of our third-party research contractors to comply with regulatory requirements or meet their contractual obligations to us in a timely manner, or at all;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establishing the appropriate dosage levels and frequency of dosing in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quality or stability of our product candidates falling below acceptable standards;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business interruptions resulting from geopolitical actions, including war, such as the current Russia-Ukraine war and the war in Israel, and terrorism or the perception that such hostilities may be imminent, another outbreak of a contagious disease, or natural disasters including earthquakes, typhoons, floods and fires.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public health crises may increase the likelihood that we encounter additional difficulties and delays in the future. We could also encounter delays if a clinical trial is suspended or terminated by us, the IRBs of the institutions in which such trials are being conducted, or the FDA or comparable foreign regulatory authorities, or recommended for suspension or termination by the Safety Review Committee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clinical trials may fail to demonstrate substantial evidence of the safety and efficacy or safety, purity and potency of our product candidates or any future product candidates, which would prevent or delay or limit the scope of regulatory approval and commercialization.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obtain the requisite regulatory approvals to market and sell any of our product candidates, including cibotercept, KER-065, elritercept and any other future product candidates, we must demonstrate through extensive preclinical studies and clinical trials that our investigational drug products are safe and effective for use in each targeted indication, and in the case of our product candidates regulated as biological products, such as cibotercept, KER-065 and elritercept, that the product candidate is safe, pure and potent for use in its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cibotercept, KER-065, elritercept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For example, in January 2025, we announced the early termination of our TROPOS trial evaluating cibotercept in patients with PAH, based on an ongoing safety review due to the unanticipated observation of pericardial effusion adverse events in the trial.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the trials are successfully completed, clinical data are often susceptible to varying interpretations and analyses, and we cannot guarantee that the FDA or comparable foreign regulatory authorities will interpret the results as we do,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cibotercept, KER-065, elritercept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For example, in a Phase 1 clinical trial evaluating cibotercept in healthy volunteers, cibotercept was generally well tolerated at doses up to 4.5 mg/kg, and there were no reported pericardial effusion adverse events. However, in January 2025, we announced the early termination of our TROPOS trial evaluating cibotercept in patients with PAH, based on an ongoing safety review due to the unanticipated observation of pericardial effusion adverse events in the trial. Furthermore, there can be no assurance that any of our clinical trials will ultimately be successful or support further clinical development of any of our product candidates. There is a high failure rate for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Any such setbacks in our clinical development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some of the clinical trials we conduct may include open-label trials conducted at a limited number of clinical sites on a limited number of patients. For example, our ongoing Phase 2 clinical trials for elritercept, one in patients with lower-risk MDS and one in patients with myelofibrosis, are open-label trials. An “open-label” clinical trial is one where both the patient and investigator know whether the patient is receiving the investigational product candidate or either an existing approved product or placebo. Most typically, open-label clinical trials test only the investigational product candidate and sometimes may do so at different dose levels. For example, in our ongoing Phase 2 clinical trial for elritercept in patients with lower-risk MDS, the dose levels for Cohorts 1, 2, 3, 4 and 5 of Part 1 of the trial were 0.75 mg/kg, 1.5 mg/kg, 2.5 mg/kg, 3.75 mg/kg and 5.0 mg/kg, respectively.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Open-label clinical trials are also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early-stage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two open-label Phase 2 clinical trials are ongoing for elritercept, one in patients with lower-risk MDS and one in patients with myelofibrosis, the results from these clinical trials may not be predictive of future clinical trial results with these or other product candidates for which we include an open-label clinical trial, when studied in a controlled environment with a placebo or active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For example, in December 2024, we announced that we voluntarily halted dosing in the 3.0 mg/kg and 4.5 mg/kg treatment arms in our TROPOS trial evaluating cibotercept in patients with PAH based on a safety review due to the unanticipated observation of pericardial effusion adverse events at those dose levels. Subsequently, we announced in January 2025 that we voluntarily halted all dosing in the TROPOS trial, including the 1.5 mg/kg and placebo treatment arms, based on the ongoing safety review due to new observations of pericardial effusion adverse events. While KER-065 and elritercept have generally been well tolerated in our preclinical studies and clinical trials to date, the results from future preclinical studies and clinical trials, including of cibotercept and our other product candidates, may identify additional safety concerns or other undesirable properties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our ongoing Phase 2 clinical trials of elritercept, our ongoing Phase 1 clinical trial of KER-065 and future clinical trials of these and other product candidates, including cibotercept,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9"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uses or subpopulations in which the undesirable side effects or other characteristics are less prevalent, less severe or more acceptable from a risk-benefit perspective, which may limit the commercial expectations for the product candidate, if approved. Additionally, adverse developments in clinical trials of pharmaceutical and biopharmaceutical products conducted by others may cause the FDA or other foreign regulatory oversight bodies to suspend or terminate our clinical trials or to change the requirements for approval of any of our product candidates. For example, following completion of the TROPOS trial, we plan to evaluate the appropriate development strategy for cibotercept, including in PAH and other potential indications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if any of our product candidates receives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authorities may withdraw approvals of such product and require us to take our approved product off the market;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authorities may require the addition of labeling statements, specific warnings, a contraindication or field alerts to physicians and pharmacies;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authorities may require a medication guide outlining the risks of such side effects for distribution to patients, or that we implement a risk evaluation and mitigation strategy, or REMS, plan to ensure that the benefits of the product outweigh its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required to conduct additional clinical trials, which may lead to additional interactions with regulatory authorities;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required to change the way the product is administered, conduct additional clinical trials or change the labeling of the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subject to limitations on how we may promote the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sales of the product may decrease significantly;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subject to litigation or product liability claims;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reputation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find it difficult to enroll patients in our clinical trials, which could delay or prevent us from proceeding with, or otherwise adversely affect, clinical trials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Identifying and qualifying patients to participate in clinical trials of our product candidates is critical to our success. The timely completion of our clinical trials in accordance with their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including public health crises. For example, the unanticipated observation of pericardial effusion adverse events in our TROPOS trial evaluating cibotercept in patients with PAH may impact our ability to enroll patients in any future clinical trials of cibotercept. Any delays related to patient enrollment or difficulties related to patient retention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size and nature of the patient population and process for identifying patients;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proximity and availability of clinical trial sites for prospective patients;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ability of patients to travel to clinical trial sites;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eligibility and exclusion criteria for the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design of the clinical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safety profile, to date, of the product candidate under study;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perceived risks and benefits of the product candidate under study;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perceived risks and benefits of our approach;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40"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severity of the disease under investigation;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degree of progression of the patient’s disease at the time of enrollment and throughout the clinical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ability to obtain and maintain patient consent;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risk that enrolled patients will drop out before completion of the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patient referral practices of physicians;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ability to adequately monitor patients during and after treatment.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Enrollment risks are heightened with respect to indications that are rare or orphan diseases, which may limit the pool of patients that may be enrolled in our planned clinical trials.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we may publish interim, topline or preliminary data from our clinical trials. Preliminary and interim data from our clinical trials may change as more participant data become available. For example, in June 2021, we announced preliminary results from Cohorts 1 and 2 of our Phase 2 clinical trial evaluating elritercept for the treatment of anemia and thrombocytopenia in patients with lower-risk MDS, which only included a small subset of the patients expected to be enrolled in the trial. We also announced additional preliminary efficacy results from Parts 1 and 2 of that trial most recently in December 2024. Preliminary or interim data from our clinical trials are not necessarily predictive of final results. Preliminary and interim data are subject to the risk that one or more of the clinical outcomes may materially change as enrollment continues, more trial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we can commence clinical trials for any product candidate, we must complete extensive preclinical studies that support any future Investigational New Drug, or IND, applications in the United States, or similar applications in other jurisdictions.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1"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of our completed clinical trials have, to date, been conducted outside of the United States. However, we submitted and cleared an IND with the FDA for our Phase 2 clinical trial for elritercept in patients with MDS in October 2022, submitted and cleared an IND with the FDA for our Phase 2 clinical trial for cibotercept in patients with PAH in July 2023 and submitted and cleared an IND with the FDA for our Phase 2 clinical trial for elritercept in patients with myelofibrosis in February 2025. Conducting preclinical testing is a lengthy, time-consuming and expensive process and delays associated with product candidates for which we are directly conducting preclinical testing and studies may cause us to incur additional operating expenses. While we are conducting a Phase 2 clinical trial for elritercept in patients with myelofibrosis and a Phase 1 clinical trial for KER-065 in healthy volunteers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research and development activities could be affected or delayed as a result of shortages in animal availability or possible restrictions on animal testing.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Certain laws and regulations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and this could result in significant harm to our business.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regulatory approval processes of the FDA and comparable foreign regulatory authorities are lengthy, time-consuming and inherently unpredictable, and if we are ultimately unable to obtain regulatory approval for our product candidates, our business will be substantially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product candidates could fail to receive regulatory approval for many reasons,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disagree with the design or implementation of our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unable to demonstrate to the satisfaction of the FDA or comparable foreign regulatory authorities that a product candidate is safe and effective as a treatment for our targeted indications, or, in the case of a product candidate regulated as a biological product, that the product candidate is safe, pure and potent for its proposed indication;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population studied may not be sufficiently broad or representative to assure safety or efficacy in the population for which we seek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unable to demonstrate that a product candidate’s clinical and other benefits outweigh its safety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disagree with our interpretation of data from preclinical studies or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require additional preclinical studies or clinical trials beyond those that we currently anticipate;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data collected from clinical trials of our product candidates may not be sufficient to support the submission of a New Drug Application, or NDA, or a Biologics License Application, or BLA, as applicable, to the FDA or other submission or to obtain regulatory approval in the United States or elsewhere;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If global health concerns such as a pandemic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FDA and any comparable foreign regulatory authorities may not accept data from trials conducted in locations outside of their jurisdiction.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acceptance of trial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Similar requirements and limitations regarding the acceptability of foreign clinical trial data may apply in other countries.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or cGMPs, and GCP requirements for any clinical trials that we conduct post-approval.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3"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adherence to commitments made in any NDA or BLA, other foreign marketing authorization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impose similar requirements to the FDA REMS program. As an example, the European Commission may require the implementation of a risk mitigation plan in order to collect additional information on a medicine’s safety profile which may include plans for pharmacovigilance activities and measures to minimize risks.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or comparable foreign regulatory authorities may impose consent decrees, or similar requirements,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comparable foreign program. Other potential consequences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restrictions or suspensions on operations including on the marketing or manufacturing of our products, if approved, withdrawal of the product from the market or voluntary or mandatory product recalls;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fines, warning letters or holds on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refusal by the FDA or comparable foreign regulatory authorities to approve pending applications or supplements to approved applications filed by us or suspension or revocation of license approvals;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seizure or detention or refusal to permit the import or export of our product candidates;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injunctions or the imposition of civil or criminal penalties.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FDA and comparable foreign regulatory authorities strictly regulate marketing, labeling, advertising, and promotion of products that are placed on the market. Products may be promoted only for the approved indications and in accordance with the provisions of the approved label. The FDA and other agencies and comparable foreign regulatory authorities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or comparable foreign regulatory authorities. Physicians may believe that such off-label uses are the best treatment for many patients in varied circumstances. The FDA and comparable foreign regulatory authorities do not govern the behavior of physicians in their choice of treatments. The FDA and comparable foreign regulatory authorities do, however, restrict manufacturer’s communications on the subject of off-label use of their products. As an example, the United States federal government has levied large civil and criminal fines against companies for alleged improper promotion of off-label use and has enjoined companies from engaging in off-label promotion. The FDA and other foreign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approved labeling.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holder of an NDA or BLA and equivalent foreign applications must submit new or supplemental applications and obtain approval for certain changes to the approved product, product labeling, or manufacturing process. We could also be asked to conduct post-marketing clinical trials to confirm the safety and efficacy of our products, if approved, in general or in specific patient subsets. If original marketing approval was obtained via the accelerated approval pathway, we could be required to conduct a successful post-marketing clinical trial to confirm clinical benefit for our products, if approved. An unsuccessful post-marketing study or failure to complete such a study could result in the withdrawal of marketing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In addition, the CTR establishes a general principle according to which information contained in CTIS shall be made publicly accessible unless confidentiality is justified on grounds of protecting personal data, or commercially confidential information, necessary to protect confidential communications between EU Member States in relation to the preparation of an assessment report, or necessary to ensure effective supervision of the conduct of a clinical trial by EU Member States. This confidentiality exception may be overruled if there is an overriding public interest in disclosure. In addition, the EMA has limited the amount of data and documents that will be made public. The publication of data and documents in relation to the conduct of a clinical trial will take place in accordance with specific timelines. The timelines are established by the European Medicines Agency, or the EMA, and are determined based on the documents and the categorization of the clinical trial. The CTR provided a three-year transition period that ended on January 31, 2025. Since this date, all new or ongoing trials are subject to the provisions of the CTR. Our compliance with the CTR requirements and that of our third-party service providers, such as CROs, may impact our developments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European Commission proposals to revise the existing EU laws governing authorization of medicinal products may result in a number of changes to the regulatory framework governing medicinal products, including a decrease in data and market exclusivity for our product candidates in the EU.</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approved, our investigational products regulated as biologics, including cibotercept, KER-065 and elritercept, may face competition from biosimilars approved through an abbreviated regulatory pathway.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developing cibotercept for the treatment of PAH and for the treatment of cardiovascular disorders, KER-065 for the treatment of neuromuscular diseases, and elritercept for the treatment of cytopenias, including anemia and thrombocytopenia, in patients with MDS and myelofibrosis, each of which we anticipate will be regulated as a biological product. 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substitution for non-biological products is not yet clear, and will depend on a number of marketplace and regulatory factors that are still developing. If competitors are able to obtain marketing approval for biosimilars referencing our products, if approved, our products may become subject to competition from such biosimilars, with the attendant competitive pressure and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EU also provides opportunities for data and market exclusivity related to marketing authorizations. Upon receiving a marketing authorization,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The market exclusivity period prevents a successful generic or biosimilar applicant from commercializing its product in the EU until 10 years have elapsed from the initial marketing authorization of the reference product in the EU. The overall 10-year period may, occasionally, be extended for a further year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believe that our product candidates in the EU should benefit from this data and market exclusivity. As with the United States, however, if competitors obtain marketing authorization for their biosimilar products, our products may become subject to competition from these biosimilars, with the attendant competitive pressure and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Regardless of the merits or eventual outcome, liability claims may result in: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decreased demand for our products, if approved, due to negative public perception;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injury to our reputation;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withdrawal of clinical trial participants or difficulties in recruiting new trial participants;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initiation of investigations by regulators;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to defend or settle the related litigation;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diversion of management’s time and our resources;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substantial monetary awards to trial participants or patients;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recalls, withdrawals or labeling, marketing or promotional restrictions;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loss of revenues from product sales;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inability to commercialize any of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Should any of the events described above occur, this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we have limited resources and access to capital to fund our operations, we must decide which product candidates to pursue and the amount of resources to allocate to each. For example, in November 2023, we announced the deprioritization of our small molecule product candidate, KER-047, a potent and selective inhibitor of activin receptor-like kinase-2, a TGF-ß superfamily receptor, including our decision to pause all development activities associated with this asset.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cibotercept, KER-065 and elritercept, our business, financial condition and results of operations could be materially adversely affected.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We may seek Fast Track Designation by the FDA for product candidates that we develop, and we may be unsuccessful. If we are successful, the designation may not actually lead to a faster development or regulatory review or approval process.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may seek Fast Track Designation for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We received Fast Track Designation for elritercept for the treatment of anemia in adults with lower-risk MDS, however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seek orphan drug designation for product candidates we develop, and we may be unsuccessful or may be unable to maintain the benefits associated with orphan drug designation, including the potential for market exclusivity.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part of our business strategy, we may seek orphan drug designation for any product candidates we develop, which meets the related applicable criteria, and we may be unsuccessful.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and indication for seven years, except in limited circumstances.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benefit from those designations.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Commercialization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are successful in obtaining marketing approval from applicable regulatory authorities for cibotercept, KER-065, elritercept or any other product candidate, our ability to generate revenues from any such products will depend on our success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launching commercial sales of such products, whether alone or in collaboration with others;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creating market demand for such products through marketing, sales and promotion activities;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hiring, training, and deploying a sales force or contracting with third parties to commercialize such products in the United States;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manufacturing such products in sufficient quantities and at acceptable quality and cost to meet commercial demand at launch and thereafter;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establishing and maintaining agreements with wholesalers, distributors, and group purchasing organizations on commercially reasonable terms;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patent and trade secret protection and regulatory exclusivity for such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achieving market acceptance of such products by patients, the medical community, and third-party payors;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achieving coverage and adequate reimbursement from third-party payors for such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patients’ willingness to pay out-of-pocket in the absence of such coverage and adequate reimbursement from third-party payors;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effectively competing with other therapies;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 continued acceptable safety profile of such products following launch.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face significant competition from other biotechnology and pharmaceutical companies, and our operating results will suffer if we fail to compete effectively.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compete in the segments of the biotechnology, pharmaceutical and other related industries that develop and market therapies in our target indications. There are many other companies, including large biotechnology and pharmaceutical companies, that have commercialized and/or are developing therapies for the same therapeutic areas that our product candidates target. For example, in March 2024, Merck &amp; Co. Inc., or Merck, received FDA approval of its product, sotatercept (WINREVAIR), for the treatment of adults with PAH. In August 2024, Merck announced that the European Commission approved sotatercept for the treatment of adults with PAH. All of the other currently-approved therapies for PAH are vasodilators, which are medications that dilate blood vessels. Gossamer Bio, Inc. is developing seralutinib for the treatment of PAH.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Currently, patients with DMD are treated with corticosteroids to manage the inflammatory component of the disease. EMFLAZA (deflazacort) is an FDA-approved corticosteroid marketed by PTC Therapeutics, Inc. and Agamree (vamorolone) is an FDA-approved corticosteroid marketed by Catalyst Pharmaceuticals in the United States. In addition, there are four FDA-approved exon skipping drugs: EXONDYS 51 (eteplirsen), VYONDYS 53 (golodirsen), and AMONDYS 45 (casimersen), which are phosphorodiamidate morpholino oligomers, or PMOs, approved for the treatment of patients with DMD who are amenable to exon 51, exon 53 and exon 45 skipping, respectively, and are marketed by Sarepta Therapeutics, Inc., or Sarepta, and VILTEPSO (vitolarsen), a PMO approved for the treatment of patients with DMD who are amenable to exon 53 skipping, which is marketed by Nippon Shinyaku Co. Ltd. Additionally, in June 2023, Sarepta announced that the FDA accelerated approval of its product, ELEVIDYS, an adeno-associated virus based gene therapy for the treatment of ambulatory pediatric patients aged 4 through 5 years with DMD with a confirmed mutation in the DMD gene. In June 2024, the FDA granted ELEVIDYS full approval for the treatment of ambulatory individuals aged four years and older, and accelerated approval for the treatment of non-ambulatory individuals aged four years and older.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2024, Italfarmaco S.p.A. announced that the FDA approved Duvyzat (givinostat), a histone deacetylase inhibitor for the treatment of DMD in patients aged six years and older.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several companies are developing gene therapies to treat DMD, including Pfizer Inc., REGENXBIO Inc. and Solid Biosciences Inc. Gene editing treatments that are in preclinical development are also being pursued by several companies, including Avidity Biosciences, Inc., Wave Life Sciences Ltd. and Sarepta. Edgewise Therapeutics, Inc. is developing sevasemten, a myosin ATPase inhibitor, for both DMD and Becker muscular dystrophy.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FibroGen Inc. and Astellas Pharma Inc. are developing product candidates for the treatment of anemia, and Merck, Bristol-Myers Squibb Company and Disc Medicine are developing product candidates targeting diseases associated with MDS and myelofibrosis, including chronic anemia. Additionally, in April 2020, Merck and Bristol-Myers Squibb Company received FDA approval of its product, Reblozyl, for the treatment of anemia failing an erythropoiesis stimulating agent and requiring two or more red blood cell units over eight weeks in adult patients with very low- to intermediate-risk MDS with ring sideroblasts or with myelodysplastic/myeloproliferative neoplasm with ring sideroblasts and thrombocytosis. In June 2020, Merck further announced that the European Commission approved Reblozyl for the treatment of transfusion-dependent anemia in adult patients with MDS or beta thalassemia and in September 2020, Merck announced that Health Canada approved Reblozyl for the treatment of adult patients with red blood cell transfusion-dependent anemia associated with beta thalassemia. In August 2023, Bristol-Myers Squibb Company announced that the FDA approved Reblozyl for the treatment of anemia without previous erythropoiesis stimulating agent use (ESA-naïve) in adult patients with very low- to intermediate-risk MDS who may require regular red blood cell transfusions. In April 2024, Bristol-Myers Squibb Company further announced that the European Commission expanded approval of Reblozyl to include treatment of adult patients with and without ring sideroblasts with transfusion-dependent anemia due to lower-risk MDS. In June 2024, Geron Corporation announced that the FDA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imetelstat (RYTELO) for the treatment of adult patients with low- to intermediate-1 risk MDS with transfusion-dependent anemia requiring four or more red blood cell units over eight weeks who have not responded to or have lost response to or are ineligible for erythropoiesis-stimulating agents.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March 2022, CTI BioPharma Corp. (which was acquired by Swedish Orphan Biovitrum AB in June 2023) received FDA accelerated approval of its product, pacritinib (Vonjo), for the treatment of adults with intermediate or high-risk primary or secondary (post-polycythemia vera or post-essential thrombocythemia) myelofibrosis with a platelet count below 50 × 10</w:t>
      </w:r>
      <w:r>
        <w:rPr>
          <w:rFonts w:ascii="Arial;sans-serif" w:hAnsi="Arial;sans-serif"/>
          <w:b w:val="false"/>
          <w:color w:val="000000"/>
          <w:sz w:val="13"/>
        </w:rPr>
        <w:t>9</w:t>
      </w:r>
      <w:r>
        <w:rPr>
          <w:rFonts w:ascii="Arial;sans-serif" w:hAnsi="Arial;sans-serif"/>
          <w:b w:val="false"/>
          <w:color w:val="000000"/>
          <w:sz w:val="20"/>
        </w:rPr>
        <w:t xml:space="preserve">/L. In September 2023, GSK plc announced that the FDA approved its product, Ojjaara, for the treatment of intermediate or high-risk myelofibrosis, including primary myelofibrosis or secondary myelofibrosis (post-polycythaemia vera and post-essential thrombocythaemia), in adults with anemia. Additionally, MorphoSys AG (which was acquired by Novartis AG in July 2024) is also developing a product candidate as a treatment for myelofibrosis, and Incyte Corporation is developing an ALK2 inhibitor product candidate for the treatment of myelofibrosis. Geron Corporation is also developing imetelstat as a treatment for myelofibrosis.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companies that are developing product candidates that are designed to target the TGF-ß signaling pathways include Scholar Rock Holding Corporation, Biogen Inc. and Regeneron Pharmaceuticals,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do not have a sales or marketing infrastructure and have no experience in the sale or marketing of biopharmaceutical products. To achieve commercial success for any approved product, we must develop or acquire a sales and marketing organization, outsource these functions to third parties or enter into strategic collaborations.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if approved, effectively or to market our products effectively since we have no experience in the sales and marketing of biopharmaceutical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if approved, on our own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inability to recruit, train and retain adequate numbers of effective sales and marketing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inability of sales personnel to obtain access to or educate adequate numbers of physicians on the benefits of our products, if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unforeseen costs and expenses associated with creating an independent sales and marketing organization;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of marketing and promotion above those anticipated by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if approved, outside of our control and would make us subject to a number of risks including that we may not be able to control the amount or timing of resources that our collaborative partner devotes to our products, if any,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if approved, or may be unable to do so on terms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favorable to us. Acceptable third parties may fail to devote the necessary resources and attention to sell and market our products, if any, effectively.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a product candidate we develop receives marketing approval, it may fail to achieve the degree of market acceptance by physicians, patients, third-party payors and others in the medical community necessary for commercial success. The revenues that we generate from their sales may be limited, and we may never become profitable.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clinical indications for which our product candidates are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physicians, hospitals and patients considering our product candidates as a safe and effective treatment;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and perceived advantages of our product candidates over alternative treatments;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prevalence and severity of any side effects;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labeling or product insert requirements of the FDA or comparable foreign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limitations or warnings contained in the labeling approved by the FDA or comparable foreign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of market introduction of our product candidates in relation to other potentially competitive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our product candidates in relation to alternative treatments;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amount of upfront costs or training required for physicians to administer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availability of coverage and adequate reimbursement from third-party payors and government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patients to pay out-of-pocket in the absence of comprehensive coverage and reimbursement by third-party payors and government authorities;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relative convenience and ease of administration, including as compared to alternative treatments and competitive therapies;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effectiveness of our sales and marketing efforts and distribution support;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presence or perceived risk of potential product liability claims.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Enacted and future healthcare legislation may increase the difficulty and cost for us to progress our clinical programs and obtain marketing approval of and commercialize our product candidates and may affect the prices we may set.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ACA was enacted, which substantially changed the way healthcare is financed by both governmental and private insurers.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its enactment, there have been judicial, Congressional and executive branch challenges and amendments to certain aspects of the ACA. For example, on August 16, 2022, the Inflation Reduction Act of 2022, or the IRA, was signed into law, which among other things, extends enhanced subsidies for individuals purchasing health insurance coverage in ACA marketplaces through plan year 2025. The IRA also eliminates the “donut hole” under the Medicare Part D program beginning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2025 by significantly lowering the beneficiary maximum out-of-pocket cost and through a newly established manufacturer discount program. It is unclear how any additional healthcare reform measures of the second Trump administration will impact the ACA and our business.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including the Infrastructure Investment and Jobs Act and the Consolidated Appropriations Act of 2023, will remain in effect until 2032, unless additional action is taken by Congress.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new laws or any other similar laws introduced in the future may result in additional reductions in Medicare and other health care funding, which could negatively affect our customers and accordingly, our financial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Moreover, payment methodologies may be subject to changes in healthcare legislation and regulatory initiatives. For example, the Centers for Medicare and Medicaid Services, or CMS, may develop new payment and delivery models, such as bundled payment models. In addition, recently there has been heightened governmental scrutiny over the manner in which manufacturers set prices for their marketed products, which has resulted in several U.S. presidential executive orders, Congressional inquiries and proposed and enacted federal legislation designed to, among other things, bring more transparency to drug pricing, reduce the cost of prescription drugs under Medicare and review the relationship between pricing and manufacturer patient programs. For example, the IRA, among other things, (1) directs the U.S. Department of Health and Human Services, or HHS, to negotiate the price of certain high-expenditure single-source drugs that have been on the market for at least 7 years and biologics that have been on the market for at least 7 years covered under Medicare (the “Medicare Drug Price Negotiation Program”)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15, 2024, HHS announced the agreed-upon reimbursement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Center for Medicare and Medicaid Innovation to consider new payment and healthcare models to limit drug spending and eliminating the Biden administration’s executive order that directed HHS to establishing an AI task force and developing a strategic plan, directing HHS and other agencies to lower prescription drug costs for Medicare through a variety of initiatives, including by improving upon the Medicare Drug Price Negotiation Program,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markets outside of the United States, reimbursement and healthcare payment systems vary significantly by country, and many countries have instituted price ceilings on specific products and therapies. For example,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began to apply on January 12, 2025 through a phased implementation,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cannot predict the likelihood, nature or extent of government regulation that may arise from future legislation or administrative action in the United States or any other jurisdiction. The implementation of cost containment measures or other healthcare reforms may negatively impact our operations.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Disruptions at the FDA, the SEC and other government agencies or comparable regulatory authorities caused by funding shortages or global health concerns could hinder their ability to hire and retain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ability of the FDA or comparable foreign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Average review times at the FDA have fluctuated in recent years as a result. In addition, government funding of the Securities and Exchange Commission, or the SEC, and other government agencies or comparable foreign regulatory authorities on which our operations may rely, including those that fund research and development activities is subject to the political process, which is inherently fluid and unpredictable.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Disruptions at the FDA, other agencies or comparable foreign regulatory authorities may also slow the time necessary for new drugs to be reviewed and/or approved, which would adversely affect our business. For example, in 2023, the U.S. government was on the verge of a shutdown and has previously shut down several times, and certain regulatory agencies, such as the FDA and the SEC, had to furlough critical employees and stop critical activities during such previous shutdowns. 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business operations and current and future relationships with investigators, healthcare professionals, consultants, third-party payors, patient organizations and customers may be subject to applicable healthcare regulatory laws, which could expose us to penalties.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and their business associates, independent contractors of a covered entity that perform certain services involving the use or disclosure of individually identifiable health information, as well as their covered subcontractors;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Federal Food, Drug, and Cosmetic Act, which prohibits, among other things, the adulteration or misbranding of drugs, biologics and medical devices;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Public Health Service Act, which prohibits, among other things, the introduction into interstate commerce of a biological product unless a biologics license is in effect for that product;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CMS information related to certain payments and other transfers of value made in the prior year to physicians (defined to include doctors, dentists, optometrists,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podiatrists, and chiropractors), other healthcare professionals (such as physician assistants and nurse practitioners), and teaching hospitals, as well as ownership and investment interests held by such physicians and their immediate family members;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analogous U.S. state and foreign laws and regulations, including: anti-kickback and false claims laws, which may apply to our business practices, including but not limited to, research, distribution, sales and marketing arrangements and claims involving healthcare items or services reimbursed by any third-party payor, including private insurers; laws that require pharmaceutical companies to comply with the pharmaceutical industry’s voluntary compliance guidelines and the relevant compliance guidance promulgated by the U.S. federal government or foreign regulatory authorities, or otherwise restrict payments that may be made to healthcare providers and other potential referral sources; laws and regulations that require drug manufacturers to file reports relating to drug pricing and marketing information, which requires tracking gifts and other remuneration and items of value provided to healthcare professionals and entities; laws that require the registration of pharmaceutical sales representatives; and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our activities are also subject to certain federal, state consumer and foreign protection and unfair competition laws, which broadly regulate marketplace activities and activities that potentially harm consumers.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the market opportunities for our product candidates are smaller than we believe they are, even assuming approval of a product candidate, our business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projections of both the number of people who are affected by disease within our potential target indications, as well as the subset of these people who have the potential to benefit from treatment with our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Any product candidates we develop may become subject to unfavorable third-party coverage and reimbursement practices, as well as pricing regulations.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available only to limited levels, we may not successfully commercialize any product candidate for which we obtain marketing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significant uncertainty related to third-party payor coverage and reimbursement of newly approved products. In the United States, for example, principal decisions about reimbursement for new products are typically made by the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if approved, to each third-party payor separately, with no assurance that coverage and adequate reimbursement will be applied consistently or obtained in the first instance.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if any. Nonetheless, our product candidates may not be considered medically necessary or cost effective. We cannot be sure that coverage and reimbursement will be available for any product that we commercialize and, if reimbursement is available, what the level of reimbursement will be.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Furthermore, obtaining coverage and adequate reimbursement for products administered under the supervision of a physician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if approved, may be reduced compared with the United States and may be insufficient to generate commercially reasonable revenue and profits.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 party or instituted by the United States Patent and Trademark Office, or USPTO, to determine who was the first to invent any of the subject matter covered by the patent claims of our applications.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if any, on an independent basis which do not infringe our patents or other intellectual property rights, or will design around the claims of patents that we have had issued that cover our products,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or our licensors, as the case may be, might not have been the first to file patent applications for these inventions;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others may independently develop similar or alternative technologies or duplicate any of our technologies;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our pending patent applications will not result in issued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there are prior public disclosures that could invalidate our or our licensors’ patents, as the case may be, or parts of our or their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others may circumvent our owned or in-licensed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there are unpublished applications or patent applications maintained in secrecy that may later issue with claims covering our products, if any, or technology similar to ours;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laws of foreign countries may not protect our or our licensors’, as the case may be, proprietary rights to the same extent as the laws of the United States;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claims of our owned or in-licensed issued patents or patent applications, if and when issued, may not cover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not develop additional proprietary technologies for which we can obtain patent protection;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product candidates or diagnostic tests we develop may be covered by third parties’ patents or other exclusive rights; or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patents of others may have an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dependent on patents, know-how and proprietary technology, both our own and licensed from others. Any termination of these licenses could result in the loss of significant rights and could harm our ability to commercialize our product candidates. See the section titled “Management’s Discussion and Analysis of Financial Condition and Results of Operations—Licensing Agreements” set forth in Part I, Item 2 of this Quarterly Report on Form 10-Q for additional information regarding our license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Disputes may also arise between us and our licensors regarding intellectual property subject to a license agreement, including: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right to sublicense patents and other rights to third parties under collaborative development relationships;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our obligations under our patent license with a third party, we could lose license rights that are important to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protect the confidentiality of our trade secrets, our business and competitive position would be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patent protection, we rely heavily upon know-how and to some extent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Third-party claims of intellectual property infringement may prevent or delay our product discovery and development efforts. </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We are aware of issued patents, in the United States and abroad, relating to methods of treating patients with PAH and methods of treating Duchenne muscular dystrophy. If any such patent were to be asserted against us, we believe that we have defenses against any such action, including that these patents would not be infringed by our product candidates and/or that these patents are not valid. However, if these patents were asserted against us and our defenses to such an action were unsuccessful, unless we obtain a license to these patents, which may not be available on commercially reasonable terms, or at all, we could be liable for damages and precluded from commercializing cibotercept or KER-065, as applicable, in certain indications, which could have a material adverse effect on our business, financial condition, cash flows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 third-party claims that we infringe its intellectual property rights, we may face a number of issues,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court prohibiting us from developing, manufacturing, marketing or selling our product candidates, or from using our proprietary technologies, unless the third party licenses its product rights to us, which it is not required to do;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a license is available from a third party, we may have to pay substantial royalties, upfront fees and other amounts, and/or grant cross-licenses to intellectual property rights for our products, if any;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redesigning our product candidates or processes so they do not infringe, which may not be possible or may require substantial monetary expenditures and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cibotercept, KER-065, elritercept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Lastly, we may need to indemnify our customers and distributors against claims relating to the infringement of intellectual property rights of third parties related to our product candidates, including cibotercept, KER-065 and elritercept.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if approved, or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 parties may assert that our employees or consultants have wrongfully used or disclosed confidential information or misappropriated trade secrets.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not be successful in obtaining or maintaining necessary rights to develop any future product candidates on acceptable terms.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candidates may also require specific formulations to work effectively and efficiently and these rights may be held by others. We may develop products containing our compounds and pre-existing pharmaceutical compounds.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involved in lawsuits to protect or enforce our patents or the patents of our licensors, which could be expensive, time-consuming and unsuccessful.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merit, would involve substantial litigation expense and would be a substantial diversion of employee resources from our business.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may choose to challenge the patentability of claims in a third party’s U.S. patent by requesting that the USPTO review the patent claims in an </w:t>
      </w:r>
      <w:r>
        <w:rPr>
          <w:rFonts w:ascii="Arial;sans-serif" w:hAnsi="Arial;sans-serif"/>
          <w:b w:val="false"/>
          <w:i/>
          <w:color w:val="000000"/>
          <w:sz w:val="20"/>
        </w:rPr>
        <w:t>ex-parte</w:t>
      </w:r>
      <w:r>
        <w:rPr>
          <w:color w:val="000000"/>
        </w:rPr>
        <w:t xml:space="preserve"> </w:t>
      </w:r>
      <w:r>
        <w:rPr>
          <w:rFonts w:ascii="Arial;sans-serif" w:hAnsi="Arial;sans-serif"/>
          <w:b w:val="false"/>
          <w:color w:val="000000"/>
          <w:sz w:val="20"/>
        </w:rPr>
        <w:t xml:space="preserve">re-exam,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if approved,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Issued patents covering our product candidates could be found invalid or unenforceable if challenged in court or the USPTO.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the patents included in our patent portfolio may expire before, or soon after, our first product achieves marketing approval in the United States or foreign jurisdictions. For example, the patents related to novel ALK2 inhibitors in the patent family that we license from The General Hospital Corporation are expected to expire in April 2038, without taking into account any possible patent term adjustments or extensions.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2046, without taking into account any possible patent term adjustments or extensions. However, we cannot be assured that the USPTO or relevant foreign patent offices will grant any of these patent applications.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Changes in patent law in the U.S. and in ex-U.S. jurisdictions could diminish the value of patents in general, thereby impairing our ability to protect our products, if approved.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Arial;sans-serif" w:hAnsi="Arial;sans-serif"/>
          <w:b w:val="false"/>
          <w:i/>
          <w:color w:val="000000"/>
          <w:sz w:val="20"/>
        </w:rPr>
        <w:t>Amgen Inc. v. Sanofi,</w:t>
      </w:r>
      <w:r>
        <w:rPr>
          <w:color w:val="000000"/>
        </w:rPr>
        <w:t xml:space="preserve"> </w:t>
      </w:r>
      <w:r>
        <w:rPr>
          <w:rFonts w:ascii="Arial;sans-serif" w:hAnsi="Arial;sans-serif"/>
          <w:b w:val="false"/>
          <w:color w:val="000000"/>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Arial;sans-serif" w:hAnsi="Arial;sans-serif"/>
          <w:b w:val="false"/>
          <w:i/>
          <w:color w:val="000000"/>
          <w:sz w:val="20"/>
        </w:rPr>
        <w:t>Assoc. for Molecular Pathology v. Myriad Genetics, Inc.,</w:t>
      </w:r>
      <w:r>
        <w:rPr>
          <w:color w:val="000000"/>
        </w:rPr>
        <w:t xml:space="preserve"> </w:t>
      </w:r>
      <w:r>
        <w:rPr>
          <w:rFonts w:ascii="Arial;sans-serif" w:hAnsi="Arial;sans-serif"/>
          <w:b w:val="false"/>
          <w:color w:val="000000"/>
          <w:sz w:val="20"/>
        </w:rPr>
        <w:t xml:space="preserve">the U.S.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Some of our in-licensed intellectual property that is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It is possible that patent filings we may choose to in-license in the future may be subject to the Bayh-Dole Act. In particular, under the Bayh-Dole Act, the federal government retains a “nonexclusive, nontransferable, irrevocable, paid-up license” for its own benefit to inventions produced with its financial assistance.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Intellectual property discovered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government-funded programs are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Moreover, we sometimes collaborate with academic institutions to accelerate our preclinical research or development. While it is our policy to avoid engaging our university partners in projects in which there is a risk that federal funds may be commingled, we cannot be sure that any co-developed intellectual property will be free from government rights pursuant to the Bayh-Dole Act. Further, we may choose to license intellectual property in the future that may be subject to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limited foreign intellectual property rights and may not be able to protect our intellectual property rights throughout the world.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licensing partners are forced to grant a license to third parties with respect to any patents relevant to our business, our competitive position may be impaired, and our business, financial condition, results of operations and prospects may be adversely affected. Also,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if approved, in jurisdictions where we do not have any issued patents and our patent claims or other intellectual property rights may not be effective or sufficient to prevent them from competing.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incur substantial costs as a result of litigation or other proceedings relating to patents, and we may be unable to protect our rights to our products, if approved, and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our licensing partners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or our licensing partners, may not be able to detect infringement against our owned or in-licensed patents, as the case may be, which may be especially difficult for manufacturing processes or formulation patents. Even if we or our licensing partners detect infringement by a third party of our owned or in-licensed patents, we or our licensing partners, as the case may be, may choose not to pursue litigation against or settlement with the third party. If we, or our licensing partners,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licensing partners to enforce our owned or in-licensed patents, as the case may be, against such third party.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another party questions the patentability of any of our claims in our owned or in-licensed U.S. patents, the third-party can request that the USPTO review the patent claims such as in an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 xml:space="preserve">review, </w:t>
      </w:r>
      <w:r>
        <w:rPr>
          <w:rFonts w:ascii="Arial;sans-serif" w:hAnsi="Arial;sans-serif"/>
          <w:b w:val="false"/>
          <w:i/>
          <w:color w:val="000000"/>
          <w:sz w:val="20"/>
        </w:rPr>
        <w:t>ex parte</w:t>
      </w:r>
      <w:r>
        <w:rPr>
          <w:color w:val="000000"/>
        </w:rPr>
        <w:t xml:space="preserve"> </w:t>
      </w:r>
      <w:r>
        <w:rPr>
          <w:rFonts w:ascii="Arial;sans-serif" w:hAnsi="Arial;sans-serif"/>
          <w:b w:val="false"/>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Patent terms may be inadequate to protect our competitive position on our product candidates for an adequate amount of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do not obtain patent term extension and data exclusivity for any product candidates we may develop, our business may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Reliance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or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Public health crises and government measures taken in response also impact our CROs, and may affect our ability to initiate and complete our preclinical studies and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or comparable foreign regulatory authorities. Any such delay or rejection could prevent us from commercializing our clinical-stage product candidate or any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currently have the infrastructure or capability internally to manufacture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each of cibotercept, KER-065 and elritercept.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and at an acceptable cost. Moreover, our suppliers are often subject to strict manufacturing requirements and rigorous testing requirements, which could limit or delay production. Any changes in regulatory requirements, policy and guidelines, including the imposition of additional regulatory oversight around manufacturing and testing requirements generally or with respect to our technology in particular, could also limit or delay production. The long transition periods necessary to switch manufacturers and suppliers, if necessary,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significantly delay our clinical trials and the commercialization of our products, if approved, which could materially adversely affect our business, financial condition and results of operation.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facilities used by our contract manufacturers to manufacture our product candidates are subject to review by the FDA or comparable foreign regulatory authorities pursuant to inspections that will be conducted after we submit our NDA or BLA to the FDA, or similar applications to comparable foreign regulatory authorities. We do not control the manufacturing process of, and are completely dependent on, our contract manufacturing partners for compliance with cGMP requirements for manufacture of drug and biologic products. If our contract manufacturers cannot successfully manufacture material that conforms to our specifications and the strict regulatory requirements of the FDA or comparable foreign regulatory authorities, we will not be able to secure or maintain regulatory approval for our product candidates manufactured at these manufacturing facilities. In addition, we have limited control over the ability of our contract manufacturers to maintain adequate quality control, quality assurance and qualified personnel. Despite our efforts to audit and verify regulatory compliance, one or more of our third-party manufacturing partners may be found on regulatory inspection by the FDA or other comparable foreign regulatory authorities to be noncompliant with cGMP regulations. If the FDA or a comparable foreign regulatory authority does not approve these facilities for the manufacture of our product candidates or if any regulatory authority withdraws its approval in the future, we and they may need to find alternative manufacturing facilities, which would negatively impact the ability to develop, obtain regulatory approval for or market our product candidates, if approved. The failure of our manufacturers to comply with regulatory requirements could also result in an enforcement action against us, including the seizure of products and shutting down of production. If any of our third-party suppliers fails to comply with cGMP or other applicable manufacturing regulations, our ability to develop and commercialize the products could suffer significant interruptions. We face risks inherent in relying on a single CMO, as any disruption, such as a fire, natural hazards or vandalism at the CMO could significantly interrupt our manufacturing capability. All of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are dependent on our existing third-party collaborations with Takeda and Hansoh to commercialize elritercept, and if Takeda and Hansoh are not successful in commercializing elritercept in their respective licensed territories, we will lose a significant source of potential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Takeda Agreement, Takeda will pay us milestone payments upon the achievement of specified development, commercial and sales milestones. In addition, if a licensed product is approved for marketing within the Takeda Territory, which includes all countries globally other than the territories of mainland China, Hong Kong and Macau, we will be entitled to receive royalty payments based on tiered increments of annual net sales in the Takeda Territory, with such percentage ranging from the low double-digits to high teens, subject to specified potential royalty reductions. However, under the terms of the Takeda Agreement, Takeda may terminate the agreement in its entirety or on a country-by-country basis for convenience and without cause on written notice of a certain period. In addition, Takeda generally has control over the further clinical development of elritercept and any other licensed compounds in the Takeda Territory. Takeda’s decisions with respect to such development will affect the timing and availability of potential future payments under the Takeda Agreement, if any. If the Takeda Agreement is terminated early, or if Takeda’s development activities are terminated early or suspended for an extended period of time, or are otherwise unsuccessful, our business and business prospects would be materially and adversely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under the terms of the license agreement with Hansoh, Hansoh will pay us milestone payments upon the achievement of specified development and commercial milestones. In addition, if elritercept, or a licensed product containing elritercept, is approved for marketing within the territories of mainland China, Hong Kong and Macau, which we refer to collectively as the Hansoh Territory, we will be entitled to receive royalty payments based on a tiered percentage of annual net sales in each region within the Hansoh Territory, with such percentage ranging from the low double digit to high teens, subject to specified potential royalty reductions. We are relying on Hansoh to commercialize elritercept in the Hansoh Territory, and if Hansoh is not able to commercialize elritercept in those countries, or determines not to pursue development or commercialization of elritercept in those countries, we will not receive any milestone or royalty payments under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current and future collaborations are and will be important to our business. If we are unable to enter into new collaborations, or if these or our current collaborations are not successful, our business could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Other than our respective collaborations with Takeda and Hansoh for elritercept, we have no active collaborations for any of our product candidates. Our collaborations with Takeda and Hansoh and any future collaboration arrangements may not ultimately be successful, which could have a negative impact on our business, results of operations, financial condition and growth prospects. We do not maintain significant rights or control of future development and commercialization activities under our collaboration with Takeda. This could lead to potential disputes in the future over the terms of the collaboration and the respective rights of the parties, and these risks and uncertainties could be present with respect to our potential future collaborations as well.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future collaborations we enter into may pose a number of risks, including, but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have significant discretion in determining the efforts and resources that they will apply;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not perform their obligations as expected;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could independently develop, or develop with third parties, products that compete directly or indirectly with our products, if approved, and product candidates if the collaborators believe that the competitive products are more likely to be successfully developed or can be commercialized under terms that are more economically attractive than ours;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infringe the intellectual property rights of third parties, which may expose us to litigation and potential liability;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on Form 10-Q also apply to the activities of our therapeutic collaborators.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engage in future acquisitions or strategic collaborations, this may increase our capital requirements, dilute our stockholders, cause us to incur debt or assume contingent liabilities and subject us to other risks.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may evaluate various acquisition opportunities and strategic collaborations, including licensing or acquiring complementary products, intellectual property rights, technologies or businesses. Any potential acquisition or strategic collaboration may entail numerous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increased operating expenses and cash requirements;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assumption of additional indebtedness or contingent liabilities;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issuance of our equity securities;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assimilation of operations, intellectual property and products of an acquired company, including difficulties associated with integrating new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diversion of our management’s attention from our existing programs and initiatives in pursuing such a strategic merger or acquisition;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retention of key employees, the loss of key personnel and uncertainties in our ability to maintain key business relationships;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risks and uncertainties associated with the other party to such a transaction, including the prospects of that party and their existing products or product candidates and marketing approvals;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if we undertake acquisitions or pursue collaborations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Employee Matters, Managing Our Growth and Other Risks Relating to Our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highly dependent on our key personnel, including our Chief Executive Officer, Chief Operating Officer and Chief Medical Officer. If we are not successful in attracting, motivating and retaining highly qualified personnel, we may not be able to successfully implement our business strategy.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scientific personnel including Jasbir Seehra, Ph.D., our Chief Executive Officer, Christopher Rovaldi, our Chief Operating Officer, and Yung H. Chyung, our Chief Medical Officer. We believe that their drug discovery and development experience and overall biopharmaceutical company management experience would be difficult to replace. Any of our executive officers could leave our employment at any time, as all of our employees are “at-will” employees. The loss of the services of our key personnel and any of our other executive officers, key employees, and scientific and medical advisors, and our inability to find suitable replacements, could result in delays in our research and development objectives and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strategic alternatives review process may not result in an executed or consummated transaction or other strategic alternative, and the process of reviewing strategic alternatives or its conclusion could adversely affect our business and our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2025, we announced that our board of directors has determined to initiate a formal review process to evaluate strategic alternatives to enhance our stockholder value. In connection with this determination, our board of directors has authorized the formation of a committee, consisting of independent and disinterested directors, to oversee the process, or the Strategic Committee, and make a recommendation to the full board of directors. The Strategic Committee, with the assistance of outside financial and legal advisors, intends to consider a comprehensive range of strategic alternatives, including but not limited to a sale of us or other business combination transaction, continued investment in our pipeline, and/or return of excess capital to stockholders. Any potential strategic alternative would be dependent on a number of factors that may be beyond our control, including, among other things, market conditions, industry trends, regulatory approvals, and the availability of financing for a potential transaction on reasonable terms. The process of reviewing potential strategic alternatives may be time-consuming, distracting, and disruptive to our business operations, which may cause concern to our employees, investors, strategic partners, licensing partners and other constituencies and may have a material impact on our business and operating results and/or result in increased volatility in our share price. We have and will continue to incur substantial expenses associated with identifying, evaluating, and negotiating potential strategic alternatives. There can be no assurance that any potential transaction or other strategic alternative will be completed on terms favorable to us or at all, and that, even if consummated, will provide greater value to our stockholders than that reflected in the current price of our common stock. Until the process is concluded,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need to grow the size of our organization, and we may experience difficulties in managing this growth.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we had 163 full-time employees, including 130 employees engaged in research and development and 33 employees engaged in management or general and administrative activities. As our clinical development and commercialization plans and strategies develop, we expect we will need additional managerial, operational, sales, marketing, financial, legal and other personnel. Future growth would impose significant added responsibilities on members of management,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identifying, recruiting, integrating, maintaining and motivating additional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2" name="Frame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managing our development efforts effectively, including the clinical and FDA review process for cibotercept, KER-065, elritercept and any future product candidates, while complying with our contractual obligations to contractors and other third parties;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improving our operational, financial and management controls, reporting systems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future financial performance and our ability to commercialize cibotercept, KER-065, elritercept and any other product candidates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cibotercept, KER-065, elritercept and our other product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not able to effectively expand our organization by hiring qualified new employees and expanding our groups of consultants and contractors, we may not be able to successfully implement the tasks necessary to further develop and commercialize cibotercept, KER-065, elritercept and our other product candidates and, accordingly, may not achieve our research, development and commercialization goals.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If our internal computer systems, or those used by our contract research organizations, or other contractors or consultants with whom we work, fail, suffer security incidents, or are or were otherwise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and trade secrets (collectively, sensitive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In particular, severe ransomware attacks are becoming increasingly prevalent and can lead to significant interruptions in our operations, ability to provide products and services, loss of sensitive data and income, reputational harm, and diversion of funds. Extortion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3"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payments may alleviate the negative impact of a ransomware attack, but we may be unwilling or unable to make such payments due to, for example, applicable laws or regulations prohibiting such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increasingly dependent upon information technology systems, infrastructure and data to operate our business, particularly due to our hybrid-work policies. Hybrid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third parties to operate critical business systems to process sensitive information in a variety of contexts, including, without limitation, cloud-based infrastructure, encryption and authentication technology, employee email and other functions. We also work with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have implemented security measures designed to protect against security incidents, there can be no assurance that these measures will be effective. We take steps to detect and remediate vulnerabilities in our information systems, but we have not always been and may not in the future be able to detect and remediate all vulnerabilities on a timely basis because the threats and techniques used to exploit the vulnerability change frequently and are often sophisticated in nature. Therefore, such vulnerabilities could be exploited and result in a security incident, but may not be detected until after the security incident has occurred. Unremediated high risk or critical vulnerabilities pose material risks to our business. Further, we have at times experienced and may in the future experience delays in developing and deploying remedial measures designed to address any such identified vulnerabilities.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costs to respond to a security incident and/or to mitigate any security vulnerabilities that we identify could be significant, our efforts to address these problems may not be successful, and these problems could result in unexpected interruptions, delays, cessation of service, negative publicity, and other harm to our business and our competitive position.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(or a third party with whom we work) experience a security incident or are perceived to have experienced a security incident, we may experience adverse consequences. Additionally, our sensitive information could be leaked, disclosed, or revealed as a result of or in connection with our employee’s, personnel’s, or vendor’s use of generative AI technologies, resulting in adverse consequences. In each case, these consequences may include: government enforcement actions (for example, investigations, fines, penalties, audits, and inspections); additional reporting requirements and/or oversight; restrictions on processing sensitive information (including personal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individuals to stop conducting business with us or negatively impact our ability to grow and operate our business. For example, the loss of preclinical or clinical data could result in delays in our regulatory approval efforts and significantly increase our costs to recover or reproduce the data. Any security incident affecting us, our current and future CROs, collaborators, contractors, consultants or other partners or our industry,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74"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real or perceived, could harm our reputation, erode confidence in the effectiveness of our security measures and lead to regulatory scrutiny. Likewise, we use third parties for the manufacture of our product candidates and to conduct clinical trials, and similar events relating to their computer systems could also have a material adverse effect on our business. To the extent that any disruption or security incident were to result in a loss of, or damage to, our data or applications, or inappropriate disclosure of confidential or proprietary information, we could face governmental reporting obligations, fines, incur liability and the further development and commercialization of our product candidates could be delayed.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Furthermore,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Most jurisdictions have enacted laws requiring companies to notify individuals, regulatory authorities, and others of security incidents involving certain types of data. In addition, our agreements with collaborators may require us to notify them in the event of a security incident. Such mandatory disclosures and related actions can be costly, and the disclosure or the failure to comply with such applicable requirements could lead to adverse consequences such as negative publicity, may cause our collaborators to lose confidence in the effectiveness of our security measures and require us to expend significant capital and other resources to respond to and/or alleviate problems caused by the actual or perceived security incident.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any actual or perceived security incident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the EU, UK and United States notably. In addition, security incidents and other incidents of unauthorized access to our information technology systems and data can be difficult to detect and any delay in identifying such breaches or incidents may lead to increased harm and legal exposure of the type described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government enforcement actions, including administrative, civil or criminal fines or penalties, private litigation (including class claims) and mass arbitration demands; fines and penalties; disruptions of our business operations; reputational harm; loss of revenue or profits; other liabilities and adverse publicity and could negatively affect our operating results and business. Compliance or the failure to comply with such laws and regulations could increase the costs of our products, could limit their use or adoption, and could otherwise negatively affect our operating results and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ordinary course of business, we collect, receive, store, process, generate, use, transfer, disclose, make accessible, protect, secure, dispose of, transmit, and share (collectively, process) personal data and other sensitive information, including personal data, proprietary and confidential business data, trade secrets, intellectual property and data we collect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numerous federal and state laws and regulations, including federal and state health information privacy laws, state data breach notification laws, and federal and state consumer protection laws (including Section 5 of the Federal Trade Commission Act) and other similar laws (e.g., wiretapping laws), that govern the collection, use, disclosure and protection of health information and other personal information could apply to our operations or the operations of our collaborators. In addition, we obtain health information from third parties, including research institutions from which we obtain clinical trial data, that are subject to privacy and security requirements under HIPAA, as amended by HITECH, which imposes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specific requirements relating to the privacy, security, and transmission of individually identifiable protected health information. Depending on the facts and circumstances, we could be subject to civil, criminal and administrative penalties and fines if we violate HIPAA.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certain state and foreign laws govern the privacy and security of health information in certain circumstances, some of which are more stringent than U.S. federal law and many of which differ from each other in significant ways and may not have the same effect, thus complicating compliance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the CPRA, collectively referred to as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Other laws and regulations also apply to our business model. We are subject to new laws governing the privacy of consumer health data.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Additionally, under various privacy laws and other obligations, we may be required to obtain certain consents to process personal data.</w:t>
      </w:r>
      <w:r>
        <w:rPr>
          <w:color w:val="000000"/>
        </w:rPr>
        <w:t xml:space="preserve"> </w:t>
      </w:r>
      <w:r>
        <w:rPr>
          <w:rFonts w:ascii="Arial;sans-serif" w:hAnsi="Arial;sans-serif"/>
          <w:b w:val="false"/>
          <w:color w:val="000000"/>
          <w:sz w:val="20"/>
        </w:rPr>
        <w:t>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Outside the United States, an increasing number of laws, regulations, and industry standards govern data privacy and security. For example, the EU's General Data Protection Regulation, or EU GDPR, the United Kingdom’s GDPR, or UK GDPR (collectively referred to as the GDPR), Brazil’s General Data Protection Law (Lei Geral de Proteção de Dados Pessoais) (Law No. 13,709/2018), Turkey’s Personal Data Protection Law, South Korea’s Personal Information Protection Act, Taiwan’s Personal Data Protection Act, Peru’s Personal Data Protection Law, South Africa’s Protection of Personal Information Act, and China’s Personal Information Protection Law impose strict requirements for processing personal data. For example, under GDPR, companies may face temporary or definitive bans on data processing and other corrective actions; fines of up to €20 million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the EEA, and the UK have significantly restricted the transfer of personal data to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EU-U.S. Data Privacy Framework and the UK Extension to the EU-U.S. Data Privacy Framework, under which we have self-certified to allow for transfers from the EEA and/or UK to the United States,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Laws such as these give rise to an increasingly complex set of compliance obligations on us. These data protection rules continue to evolve and may result in ever-increasing regulatory and public scrutiny and escalating levels of enforcement and sanctions and increased costs of compliance. We strive to comply with these rules and obligations to the extent possible. Such compliance is a rigorous and time-consuming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also bound by contractual obligations related to data privacy and security, and our efforts to comply with such obligations may not be successful. We publish privacy policies, marketing materials, whitepapers and other statements, such as statements related to compliance with certain certifications or self-regulatory principles, concerning data privacy and security. Although we endeavor to comply with our policies and other documentation, we may at times fail to do so or may be perceived to have failed to do so. Regulators in the United States are increasingly scrutinizing these statements, and if these policies, materials, statements or documentation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Obligations related to data privacy and security (and individuals’ data privacy expectations) are quickly changing, becoming increasingly stringent and creating uncertainty. Additionally, these obligations are subject to differing applications and interpretations, which may be inconsistent or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with whom we work on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and inspections); litigation (including class 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Compliance with U.S. and foreign data protection laws and regulations could require us to take on more onerous obligations in our contracts, increase our costs of legal compliance, restrict our ability to collect, use and disclose data, or in some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impact our or our partners’ or suppliers’ ability to operate in certain jurisdictions. Failure to comply with these laws and regulations could result in government investigations and/or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imprisonment, possible exclusion from participation in Medicare, Medicaid and other federal or comparable foreign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Public health crises could adversely impact our business, including the timing or results of our preclinical studies and clinical trials.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result of any public health crises, we may experience disruptions that could severely impact our business, preclinical studies and clinical trials,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receiving approval from local regulatory authorities to initiate our planned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or difficulties in enrolling patients in our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or difficulties in clinical site initiation, including difficulties in recruiting clinical site investigators and clinical site staff;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clinical sites receiving the supplies and materials needed to conduct our clinical trials, including interruption in global shipping that may affect the transport of clinical trial materials;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local regulations as part of a response to public health crises, which may require us to change the ways in which our clinical trials are conducted, which may result in unexpected costs, or to discontinue the clinical trials altogether;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risk that participants enrolled in our clinical trials will acquire any contagious diseases while the clinical trial is ongoing, which could impact the results of the clinical trial, including by increasing the number of observed adverse events;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interruptions in preclinical studies due to restricted or limited operations at our research and development laboratory facility or delays in receiving the supplies and materials needed to conduct our preclinical studies;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necessary interactions with local regulators, ethics committees and other important agencies and contractors due to limitations in employee resources or forced furlough of government employees;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limitations in employee resources that would otherwise be focused on the conduct of our clinical trials, including because of sickness of employees or their families or the desire of employees to avoid contact with large groups of people;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refusal of the FDA or comparable foreign regulatory authorities to accept data from clinical trials in these affected geographies;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interruption or delays to our sourced discovery and clinical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extent a public health crises adversely affects our business, financial condition and results of operations, it may also have the effect of heightening many of the other risks described in this “Risk Factors” section.</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A variety of risks are associated with operating our business internationally which could materially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conduct certain research and development and clinical operations in Australia, New Zealand, Europe, the United Kingdom and other foreign countries, and may also conduct certain future clinical trials outside of the United States. Additionally, while we have not taken any steps to enter into any non-U.S. markets, we may do so in the future. Accordingly, we are subject to risks related to operating in foreign countries,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different standards of care in various countries that could complicate the evaluation of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different United States and foreign drug import and export rules;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reduced protection for intellectual property rights in certain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unexpected changes in tariffs, trade barriers and regulatory requirements;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economic weakness, including inflation, or political instability in particular foreign economies and markets;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compliance with tax, employment, immigration, and labor laws for employees living or traveling abroad;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compliance with the FCPA and other anti-corruption and anti-bribery laws;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foreign taxes, including withholding of payroll taxes;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workforce uncertainty in countries where labor unrest is more common than in the United States;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production shortages resulting from any events affecting raw material supply or manufacturing capabilities abroad;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different payor reimbursement regimes, governmental payors or patient self-pay systems and price controls;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potential liability resulting from development work conducted by foreign partners;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business interruptions resulting from natural disasters, outbreaks of contagious diseases and other public health crises, or geopolitical actions, including war and terrorism, or systems failure including cybersecurity breaches;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compliance with evolving and expansive foreign regulatory requirements, including data privacy laws (such as the GDPR).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in connection with the ongoing war between Russia and Ukraine, the U.S. government and EU countries have imposed enhanced export controls on certain products and sanctions on certain industry sectors and parties in Russia. The U.S. government has also indicated it will consider imposing additional sanctions and other similar measures in the near future. Although we do not currently conduct any clinical trials in Russia or Ukraine, further escalation of geopolitical tensions could have a broader impact that expands into other markets where we do business or conduct certain research and development operations, which could adversely affect our business, our supply chain for our product candidates, our collaborators or our ability to carry out our clinical trials.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subject to certain U.S. and foreign anti-corruption, anti-money laundering, export control, sanctions and other trade laws and regulations. We can face serious consequences for violations.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presently conducting clinical development in Australia, New Zealand, Europe, the United Kingdom and other foreign countries and may choose to conduct additional international clinical trials in the future. The U.S. Foreign Corrupt Practices Act, or FCPA, prohibits companies and their employees and third-party intermediaries from paying, offering, promising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authorizing others to pay or offer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The FCPA presents particular challenges in the pharmaceutical industry, because, in many countries, hospitals are owned and operated by the government, and doctors and other hospital employees are considered foreign officials. We can be held liable for the corrupt or other illegal activities of our employees, representatives, contractors, business partners and agents, even if we do not explicitly authorize or have actual knowledge of such activities. Noncompliance with the FCPA and anti-corruption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our products, if approved, may be subject to export controls, trade sanctions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environmental, health and safety laws and regulations, we could become subject to fines or penalties or incur costs that could have a material adverse effect on the success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Changes in tax laws or regulations that are applied adversely to us may have a material adverse effect on our business, cash flow, financial condition or results of operations. </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Legislation enacted in 2017, informally titled the Tax Cuts and Jobs Act of 2017, or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in response to the COVID-19 pandemic, the Coronavirus Aid, Relief, and Economic Security, or CARES, Act was signed into law in March 2020. The CARES Act modifies certain of the changes made by the Tax Act. Changes in corporate tax rates, the realization of net deferred tax assets relating to our U.S. operations, and the deductibility of expenses under the Tax Act, as amended by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For example, the IRA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as amended by the CARES Act, or newly enacted federal tax legislation.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ability to use our net operating loss, or NOL, carryforwards and certain tax credit carryforwards may be subject to limitation.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2024, we had $160.3 million of U.S. federal and $180.9 million of state NOL carryforwards. Under the Tax Act, as modified by the CARES Act, federal NOLs incurred in taxable years beginning after December 31, 2017 can be carried forward indefinitely, but the deductibility of federal NOLs in taxable years beginning after December 31, 2020, is limited. We expect to use most of our U.S. federal and state NOL carryforwards during 2025, subject to limitation.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2024, we had $11.9 million of U.S. federal and $5.4 million of state tax credit carryforwards. We expect to use some of our U.S. federal and state tax credit carryforwards during 2025, subject to limitation.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NOL and tax credit carryforwards are subject to review and possible adjustment by the U.S. and state tax authorities.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 and research and development, or R&amp;D, tax credit carryforwards to offset its post-change taxable income and tax may be limited. This could limit the amount of NOLs or R&amp;D tax credit carryforwards that we can utilize annually to offset future taxable income or tax liabilities. Subsequent ownership changes and changes to the U.S. tax rules in respect of the utilization of NOLs and R&amp;D tax credits carried forward may further affect the limitation in future years. In addition, at the state level, there may be periods during which the use of NOLs is suspended or otherwise limited, which could accelerate or permanently increase state taxes owed.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 December 31, 2024, we completed a study to assess whether an ownership change has occurred or whether there have been multiple ownership changes since our formation. The results of this study indicated that we experienced ownership changes as defined by Section 382 of the Code in 2016 and 2020. These ownership changes have subjected and will continue to subject our NOL and tax credit carryforwards to an annual limitation, which may significantly restrict our ability to use them to offset our taxable income and tax in periods following an ownership change. Based on the results of the study, management has determined that these limitations may have a material impact on our ability to utilize our NOLs and R&amp;D tax credit carryforwards to offset future taxable income and tax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An active, liquid and orderly trading market may not develop for our common stock and as a result it may be difficult for you to sell your shares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our IPO in April 2020, there was no public market for shares of our common stock. Although our common stock is currently listed on the Nasdaq Global Market, we cannot assure you that an active trading market for our shares will develop or be sustained. In the absence of an active trading market for our common stock, investors may not be able to sell their shares of common stock without depressing the market price for the common stock, or may not be able to sell the shares at all. An inactive trading market may also impair our ability to raise capital to continue to fund operations by selling shares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may impair our ability to enter into collaborations or acquire other companies or technologies using our shares as consideration.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quarterly operating results may fluctuate significantly or may fall below the expectations of investors or securities analysts, each of which may cause our stock price to fluctuate or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our operating results to be subject to quarterly fluctuations. Our net loss and other operating results will be affected by numerous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variations in the level of expense related to the ongoing development of our product candidates and preclinical and clinical development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preclinical studies and ongoing and future clinical trials, or the addition or termination of clinical trials or funding support by us, or current or future collaborators or licensing partners;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additions and departures of key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strategic decisions by us, such as acquisitions, divestitures, spin-offs, joint ventures, strategic investments or changes in business strategy;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any of our product candidates receives regulatory approval, the terms of such approval and market acceptance and demand for such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developments affecting our product candidates;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general economic conditions, including as a result of bank failures, as well as economic conditions specifically affecting the biopharmaceutical industry.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market price of our common stock has been and is likely to continue to be volatile and fluctuate substantially.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market price of our common stock has been and is likely to continue to be highly volatile and may fluctuate substantially as a result of a variety of factors, some of which are related in complex ways. The market price for our common stock may fluctuate significantly in response to numerous factors, many of which are beyond our control, including the factors listed below and other factors described in this “Risk Factors” section: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preclinical studies and clinical trials of cibotercept, KER-065, elritercept and any other product candidate we may develop or those of our competitors;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actual or anticipated changes in estimates as to financial results, development timelines or recommendations by securities analysts;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commencement or termination of collaboration, licensing or similar arrangements for our development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announcements by our competitors of significant acquisitions, strategic partnerships, joint ventures, collaborations or capital commitments;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or discontinuation of any of our development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clinical trials of product candidates of our competitors;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or legal developments in the United States and other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developments or disputes concerning patent applications, issued patents or other proprietary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recruitment or departure of key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level of expenses related to the development of cibotercept, KER-065, elritercept and any other product candidate we may develop;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variations in our financial results or those of companies that are perceived to be similar to us;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announcements or expectations of additional financing efforts by us;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sales of our common stock by us, our insiders or other stockholders;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recommendations and changes in estimates or recommendations by securities analysts, if any, that cover our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the structure of healthcare payment systems;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market conditions in the pharmaceutical and biotechnology sectors;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general economic, political, and market conditions and overall fluctuations in the financial markets in the United States and abroad, such as potential future disruptions in access to bank deposits or lending commitments due to bank failures;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investors’ general perception of us and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stock market in general, and the markets for pharmaceutical, biopharmaceutical and biotechnology stocks in particular, have experienced extreme price and volume fluctuations that have been often unrelated or disproportionate to the operating performance of the issuer. In addition, the trading prices for common stock of other pharmaceutical, biopharmaceutical and biotechnology companies have been highly volatile as a result of public health crises, geopolitical tensions, a resulting global slowdown of economic activity, increased inflation, tariffs and other adverse effects or developments. The extent to which these factors may impact our business, preclinical studies and clinical trials will depend on future developments, which are highly uncertain and cannot be predicted with confidence.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and other market and industry factors may cause the market price and demand for our common stock to fluctuate substantially, regardless of our actual operating performance, which may negatively affect the liquidity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could be subject to securities class action litigation.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been brought against public companies following declines in the market prices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operating results, financial condition and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Pursuant to our 2020 Equity Incentive Plan, or 2020 Plan, our management is authorized to grant stock options and other equity-based awards to our employees, directors and consultants. The number of shares of our common stock reserved for issuance under our 2020 Plan will automatically increase on January 1 of each year, for a period of ten years, from January 1, 2021 continuing through January 1, 2030, by 4.0% of the total number of shares of our common stock outstanding on December 31 of the preceding calendar year, or a lesser number of shares as may be determined by our board of directors. If our board of directors elects to increase the number of shares available for future grant by the maximum amount each year, our stockholders may experience additional dilution, which could cause our stock price to fall.</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do not intend to pay dividends on our common stock so any returns will be limited to the value of our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 should not rely on an investment in our common stock to provide dividend income.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executive officers, directors and stockholders and their affiliates who beneficially own more than 5% of our common stock have the ability to exercise significant influence over our company, which will limit your ability to influence corporate matters and could delay or prevent a change in corporate control.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31, 2025, our executive officers, directors and stockholders and their affiliates who beneficially own more than 5% of our common stock beneficially held a significant percentage of our outstanding common stock. As a result, these stockholders, if they act together, will be able to exercise significant influence over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delaying, deferring or preventing a change of control of our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impeding a merger, consolidation, takeover or other business combination involving our company; or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discouraging a potential acquirer from making a tender offer or otherwise attempting to obtain control of our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Conflicts of interest may arise because some members of our board of directors are representatives of our principal stockholders.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Certain of our principal stockholders or their affiliates are venture capital funds or other investment vehicles that could invest in entities that directly or indirectly compete with us. As a result of these relationships, conflicts may arise between the interests of the principal stockholders or their affiliates and the interests of other stockholders, and members of our board of directors that are representatives of such principal stockholders may not be disinterested in such conflicts. Neither the principal stockholders nor the representatives of the principal stockholders on our board of directors, by the terms of our amended and restated certificate of incorporation, are required to offer us any transaction opportunity of which they become aware and could take any such opportunity for themselves or offer it their other affiliates, unless such opportunity is expressly offered to them solely in their capacity as members of our board of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Sales of a substantial number of shares of our common stock in the public market could cause our stock price to fall.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our existing stockholders sell, or indicate an intention to sell, substantial amounts of our common stock in the public market, the market price of our common stock could decline. We are unable to predict the effect that such sales, particularly by our directors, executive officers and significant stockholders, may have on the prevailing market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filed registration statements on Form S-8 registering the issuance of shares of common stock subject to options, restricted stock units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under the Securities Act in the case of our affiliates. In addition, certain holders of shares of our common stock have rights, subject to some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securities or industry analysts publish inaccurate or unfavorable research about our business, our stock price and trading volume could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trading market for our common stock will rely, in part, on the research and reports that industry or financial analysts publish about us or our business. We do not have any control over these analysts. If one or more of the analysts covering our business downgrade their evaluations of our stock or publish inaccurate or unfavorable research about our business, the price of our stock would likely decline. If one or more of these analysts cease to cover our stock or fail to publish reports on us regularly, we could lose visibility in the market for our stock, which, in turn, could cause our stock price and trading volume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incur significantly increased costs as a result of operating as a public company, and our management will be required to devote substantial time to new compliance initiatives and corporate governance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public company, we will incur significant legal, accounting and other expenses that we did not incur as a private company. The Sarbanes-Oxley Act of 2002, as amended, or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are evaluating these rules and regulations, and cannot predict or estimate the amount or timing of additional costs we may incur or the timing of such costs.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required, pursuant to Section 404 of the Sarbanes-Oxley Act, to assess the effectiveness of our internal control over financial reporting annually and disclosure controls and procedures quarterly. In particular, we must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pursuant to Section 404 of the Sarbanes-Oxley Act, to report on the effectiveness of our internal control over financial reporting, beginning with our fiscal year ended December 31, 2023. This assessment includes disclosure of any material weaknesses identified by our management in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or the Exchange Act, we will need to implement additional financial and management controls, reporting systems and procedures and hire additional accounting and finance staff.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disclosure controls and procedures may not prevent or detect all errors or acts of fraud.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stockholder rights plan and 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2025, our board of directors adopted a stockholder rights plan that would cause substantial dilution to, and substantially increase the costs paid by, a stockholder who attempts to acquire us on terms not approved by our board of directors. The intent of the stockholder rights plan is to protect our stockholders’ interests by encouraging anyone seeking control of our company to negotiate with our board of directors. However, our stockholder rights plan could make it more difficult for a third party to acquire us without the consent of our board of directors, even if doing so may be beneficial to our stockholders. This plan may discourage, delay or prevent a tender offer or takeover attempt, including offers or attempts that could result in a premium over the market price of our common stock. This plan could reduce the price that stockholders might be willing to pay for shares of our common stock in the future. Furthermore, the anti-takeover provisions of our stockholder rights plan may entrench management and make it more difficult to replace management even if the stockholders consider it beneficial to do so.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 a classified board of directors such that not all members of the board are elected at one time;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allow the authorized number of our directors to be changed only by resolution of our board of directors;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limit the manner in which stockholders can remove directors from the board;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 advance notice requirements for stockholder proposals that can be acted on at stockholder meetings and nominations to our board of directors;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that stockholder actions must be effected at a duly called stockholder meeting and prohibit actions by our stockholders by written consent;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prohibit our stockholders from calling a special meeting of our stockholders;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the approval of the holders of at least 66 2/3% of the votes that all our stockholders would be entitled to cast to amend or repeal certain provisions of our charter or bylaws.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amended and restated certificate of incorporation designates the Court of Chancery of the State of Delaware as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the following types of actions or proceedings under Delaware statutory or common law: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derivative action or proceeding brought on our behalf;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or proceeding asserting a claim of breach of a fiduciary duty owed by any of our current or former directors, officers or other employees to us or our stockholders;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or proceeding asserting a claim against us or any of our current or former directors, officers or other employees, arising out of or pursuant to any provision of the Delaware General Corporation Law, our certificate of incorporation or our bylaws;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or proceeding to interpret, apply, enforce or determine the validity of our certificate of incorporation or our bylaws;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asserting a claim against us or any of our directors, officers or other employees governed by the internal affairs doctrine.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provision would not apply to suits brought to enforce a duty or liability created by the Exchange Act or any other claim for which the U.S. federal courts have exclusive jurisdiction.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our amended and restated certificate of incorporation provides that the federal district courts of the United States will be the exclusive forum for resolving any complaint asserting a cause of action arising under the Securities Act, unless we consent in writing to the selection of an alternative forum.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exclusive-forum provisions may limit a stockholder’s ability to bring a claim in a judicial forum that it finds favorable for disputes with us or our directors, officers or other employees, which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For example, the Court of Chancery of the State of Delaware recently determined that a provision stating that U.S. federal district courts are the exclusive forum for resolving any complaint asserting a cause of action arising under the Securities Act is not enforceable. However, on March 18, 2020, this decision was ultimately overturned by the Delaware Supreme Court.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20"/>
        <w:jc w:val="left"/>
        <w:rPr>
          <w:rFonts w:ascii="Arial;sans-serif" w:hAnsi="Arial;sans-serif"/>
          <w:b/>
          <w:color w:val="000000"/>
          <w:sz w:val="20"/>
        </w:rPr>
      </w:pPr>
      <w:r>
        <w:rPr>
          <w:rFonts w:ascii="Arial;sans-serif" w:hAnsi="Arial;sans-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 Issuer Purchases of Equity Securities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Rule 10b5-1 Trading Arrangements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March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1647"/>
        <w:gridCol w:w="1455"/>
        <w:gridCol w:w="1470"/>
        <w:gridCol w:w="109"/>
        <w:gridCol w:w="109"/>
        <w:gridCol w:w="109"/>
        <w:gridCol w:w="300"/>
        <w:gridCol w:w="300"/>
        <w:gridCol w:w="301"/>
        <w:gridCol w:w="109"/>
        <w:gridCol w:w="109"/>
        <w:gridCol w:w="109"/>
        <w:gridCol w:w="287"/>
        <w:gridCol w:w="287"/>
        <w:gridCol w:w="288"/>
        <w:gridCol w:w="109"/>
        <w:gridCol w:w="109"/>
        <w:gridCol w:w="109"/>
        <w:gridCol w:w="230"/>
        <w:gridCol w:w="230"/>
        <w:gridCol w:w="231"/>
        <w:gridCol w:w="109"/>
        <w:gridCol w:w="109"/>
        <w:gridCol w:w="109"/>
        <w:gridCol w:w="236"/>
        <w:gridCol w:w="188"/>
        <w:gridCol w:w="28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21"/>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color w:val="000000"/>
                <w:sz w:val="18"/>
              </w:rPr>
            </w:pPr>
            <w:r>
              <w:rPr>
                <w:rFonts w:ascii="Arial;sans-serif" w:hAnsi="Arial;sans-serif"/>
                <w:b/>
                <w:color w:val="000000"/>
                <w:sz w:val="18"/>
              </w:rPr>
              <w:t>Incorporated by Reference</w:t>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Schedule</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color w:val="000000"/>
                <w:sz w:val="18"/>
              </w:rPr>
            </w:pPr>
            <w:r>
              <w:rPr>
                <w:rFonts w:ascii="Arial;sans-serif" w:hAnsi="Arial;sans-serif"/>
                <w:b/>
                <w:color w:val="000000"/>
                <w:sz w:val="18"/>
              </w:rPr>
              <w:t>Filing Date</w:t>
            </w:r>
          </w:p>
        </w:tc>
      </w:tr>
      <w:tr>
        <w:trPr/>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2">
              <w:r>
                <w:rPr>
                  <w:rStyle w:val="InternetLink"/>
                  <w:rFonts w:ascii="Arial;sans-serif" w:hAnsi="Arial;sans-serif"/>
                  <w:b w:val="false"/>
                  <w:color w:val="3051F2"/>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3051F2"/>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April 13, 2020</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4">
              <w:r>
                <w:rPr>
                  <w:rStyle w:val="InternetLink"/>
                  <w:rFonts w:ascii="Arial;sans-serif" w:hAnsi="Arial;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March 6, 2025</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6">
              <w:r>
                <w:rPr>
                  <w:rStyle w:val="InternetLink"/>
                  <w:rFonts w:ascii="Arial;sans-serif" w:hAnsi="Arial;sans-serif"/>
                  <w:b w:val="false"/>
                  <w:color w:val="000080"/>
                  <w:sz w:val="18"/>
                  <w:u w:val="single"/>
                </w:rPr>
                <w:t>3.</w:t>
              </w:r>
            </w:hyperlink>
            <w:hyperlink r:id="rId7">
              <w:r>
                <w:rPr>
                  <w:rStyle w:val="InternetLink"/>
                  <w:rFonts w:ascii="Arial;sans-serif" w:hAnsi="Arial;sans-serif"/>
                  <w:b w:val="false"/>
                  <w:color w:val="000080"/>
                  <w:sz w:val="18"/>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18"/>
                  <w:u w:val="single"/>
                </w:rPr>
                <w:t>Certificate of Designation of Series A Junior Participating Preferred Stock filed with the Secretary of State of the State of Delaware on April 9, 2025</w:t>
              </w:r>
            </w:hyperlink>
            <w:r>
              <w:rPr>
                <w:rFonts w:ascii="Arial;sans-serif" w:hAnsi="Arial;sans-serif"/>
                <w:b w:val="false"/>
                <w:color w:val="0E32E1"/>
                <w:sz w:val="18"/>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April 10, 2025</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9">
              <w:r>
                <w:rPr>
                  <w:rStyle w:val="InternetLink"/>
                  <w:rFonts w:ascii="Arial;sans-serif" w:hAnsi="Arial;sans-serif"/>
                  <w:b w:val="false"/>
                  <w:color w:val="000080"/>
                  <w:sz w:val="18"/>
                  <w:u w:val="single"/>
                </w:rPr>
                <w:t>4.1</w:t>
              </w:r>
            </w:hyperlink>
            <w:hyperlink r:id="rId10">
              <w:r>
                <w:rPr>
                  <w:rStyle w:val="InternetLink"/>
                  <w:rFonts w:ascii="Arial;sans-serif" w:hAnsi="Arial;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80"/>
                  <w:sz w:val="18"/>
                  <w:u w:val="single"/>
                </w:rPr>
                <w:t xml:space="preserve">Rights Agreement, dated as of April 9, 2025 between </w:t>
              </w:r>
            </w:hyperlink>
            <w:hyperlink r:id="rId12">
              <w:r>
                <w:rPr>
                  <w:rStyle w:val="InternetLink"/>
                  <w:rFonts w:ascii="Arial;sans-serif" w:hAnsi="Arial;sans-serif"/>
                  <w:b w:val="false"/>
                  <w:color w:val="000080"/>
                  <w:sz w:val="18"/>
                  <w:u w:val="single"/>
                </w:rPr>
                <w:t>Registrant</w:t>
              </w:r>
            </w:hyperlink>
            <w:hyperlink r:id="rId13">
              <w:r>
                <w:rPr>
                  <w:rStyle w:val="InternetLink"/>
                  <w:rFonts w:ascii="Arial;sans-serif" w:hAnsi="Arial;sans-serif"/>
                  <w:b w:val="false"/>
                  <w:color w:val="000080"/>
                  <w:sz w:val="18"/>
                  <w:u w:val="single"/>
                </w:rPr>
                <w:t xml:space="preserve"> and Computershare Trust Company, N.A., which includes the form of Certificate of Designation as Exhibit A, the form of Right Certificate as Exhibit B</w:t>
              </w:r>
            </w:hyperlink>
            <w:r>
              <w:rPr>
                <w:rFonts w:ascii="Arial;sans-serif" w:hAnsi="Arial;sans-serif"/>
                <w:b w:val="false"/>
                <w:color w:val="0E32E1"/>
                <w:sz w:val="18"/>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April 10, 2025</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Arial;sans-serif" w:hAnsi="Arial;sans-serif"/>
                  <w:b w:val="false"/>
                  <w:color w:val="0E32E1"/>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80"/>
                  <w:sz w:val="18"/>
                  <w:u w:val="single"/>
                </w:rPr>
                <w:t>Letter Agreement, dated April 17, 2025, by and between the Company and Pontifax</w:t>
              </w:r>
            </w:hyperlink>
            <w:hyperlink r:id="rId16">
              <w:r>
                <w:rPr>
                  <w:rStyle w:val="InternetLink"/>
                  <w:rFonts w:ascii="Arial;sans-serif" w:hAnsi="Arial;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April 18, 2025</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311q12025.htm">
              <w:r>
                <w:rPr>
                  <w:rStyle w:val="InternetLink"/>
                  <w:rFonts w:ascii="Arial;sans-serif" w:hAnsi="Arial;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1q12025.htm">
              <w:r>
                <w:rPr>
                  <w:rStyle w:val="InternetLink"/>
                  <w:rFonts w:ascii="Arial;sans-serif" w:hAnsi="Arial;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312q12025.htm">
              <w:r>
                <w:rPr>
                  <w:rStyle w:val="InternetLink"/>
                  <w:rFonts w:ascii="Arial;sans-serif" w:hAnsi="Arial;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2q12025.htm">
              <w:r>
                <w:rPr>
                  <w:rStyle w:val="InternetLink"/>
                  <w:rFonts w:ascii="Arial;sans-serif" w:hAnsi="Arial;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321q12025.htm">
              <w:r>
                <w:rPr>
                  <w:rStyle w:val="InternetLink"/>
                  <w:rFonts w:ascii="Arial;sans-serif" w:hAnsi="Arial;sans-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21q12025.htm">
              <w:r>
                <w:rPr>
                  <w:rStyle w:val="InternetLink"/>
                  <w:rFonts w:ascii="Arial;sans-serif" w:hAnsi="Arial;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Cover Page formatted as Inline XBRL and included within the Exhibit 101 attachments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Certain exhibits omitted pursuant to Item 601(b)(2) of Regulation S-K. The Registrant will furnish supplementally a copy of any omitted exhibit to the SEC upon request. The Registrant may request confidential treatment pursuant to Rule 24b-2 of the Exchange Act for any exhibits so 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r>
              <w:rPr>
                <w:rFonts w:ascii="Arial;sans-serif" w:hAnsi="Arial;sans-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tbl>
      <w:tblPr>
        <w:tblW w:w="8462" w:type="dxa"/>
        <w:jc w:val="left"/>
        <w:tblInd w:w="0" w:type="dxa"/>
        <w:tblLayout w:type="fixed"/>
        <w:tblCellMar>
          <w:top w:w="28" w:type="dxa"/>
          <w:left w:w="28" w:type="dxa"/>
          <w:bottom w:w="28" w:type="dxa"/>
          <w:right w:w="28" w:type="dxa"/>
        </w:tblCellMar>
      </w:tblPr>
      <w:tblGrid>
        <w:gridCol w:w="624"/>
        <w:gridCol w:w="547"/>
        <w:gridCol w:w="553"/>
        <w:gridCol w:w="456"/>
        <w:gridCol w:w="456"/>
        <w:gridCol w:w="456"/>
        <w:gridCol w:w="1573"/>
        <w:gridCol w:w="1573"/>
        <w:gridCol w:w="222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8"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KEROS THERAPEUTICS, INC.</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Date: May 6, 2025</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Jasbir Seehra</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Jasbir Seehra, Ph.D.</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76" w:before="0" w:after="0"/>
              <w:jc w:val="left"/>
              <w:rPr/>
            </w:pPr>
            <w:r>
              <w:rPr>
                <w:rFonts w:ascii="Arial;sans-serif" w:hAnsi="Arial;sans-serif"/>
                <w:b w:val="false"/>
                <w:color w:val="000000"/>
                <w:sz w:val="20"/>
              </w:rPr>
              <w:t>(</w:t>
            </w:r>
            <w:r>
              <w:rPr>
                <w:rFonts w:ascii="Arial;sans-serif" w:hAnsi="Arial;sans-serif"/>
                <w:b w:val="false"/>
                <w:i/>
                <w:color w:val="000000"/>
                <w:sz w:val="20"/>
              </w:rPr>
              <w:t>Principal Executive Officer</w:t>
            </w:r>
            <w:r>
              <w:rPr>
                <w:rFonts w:ascii="Arial;sans-serif" w:hAnsi="Arial;sans-serif"/>
                <w:b w:val="false"/>
                <w:color w:val="000000"/>
                <w:sz w:val="20"/>
              </w:rPr>
              <w: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Date: May 6, 2025</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Keith Regnante</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Keith Regnante</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76" w:before="0" w:after="0"/>
              <w:jc w:val="left"/>
              <w:rPr/>
            </w:pPr>
            <w:r>
              <w:rPr>
                <w:rFonts w:ascii="Arial;sans-serif" w:hAnsi="Arial;sans-serif"/>
                <w:b w:val="false"/>
                <w:color w:val="000000"/>
                <w:sz w:val="20"/>
              </w:rPr>
              <w:t>(</w:t>
            </w:r>
            <w:r>
              <w:rPr>
                <w:rFonts w:ascii="Arial;sans-serif" w:hAnsi="Arial;sans-serif"/>
                <w:b w:val="false"/>
                <w:i/>
                <w:color w:val="000000"/>
                <w:sz w:val="20"/>
                <w:shd w:fill="FFFFFF" w:val="clear"/>
              </w:rPr>
              <w:t>Principal Financial Officer and Principal Accounting Officer</w:t>
            </w:r>
            <w:r>
              <w:rPr>
                <w:rFonts w:ascii="Arial;sans-serif" w:hAnsi="Arial;sans-serif"/>
                <w:b w:val="false"/>
                <w:color w:val="000000"/>
                <w:sz w:val="20"/>
                <w:shd w:fill="FFFFFF" w:val="clear"/>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31.1</w:t>
      </w:r>
    </w:p>
    <w:p>
      <w:pPr>
        <w:pStyle w:val="TextBody"/>
        <w:bidi w:val="0"/>
        <w:spacing w:lineRule="auto" w:line="288" w:before="36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EXECUTIVE OFFICER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Jasbir Seehra, Ph.D., certify that:</w:t>
      </w:r>
    </w:p>
    <w:tbl>
      <w:tblPr>
        <w:tblW w:w="6927" w:type="dxa"/>
        <w:jc w:val="left"/>
        <w:tblInd w:w="0" w:type="dxa"/>
        <w:tblLayout w:type="fixed"/>
        <w:tblCellMar>
          <w:top w:w="28" w:type="dxa"/>
          <w:left w:w="28" w:type="dxa"/>
          <w:bottom w:w="28" w:type="dxa"/>
          <w:right w:w="28" w:type="dxa"/>
        </w:tblCellMar>
      </w:tblPr>
      <w:tblGrid>
        <w:gridCol w:w="124"/>
        <w:gridCol w:w="109"/>
        <w:gridCol w:w="109"/>
        <w:gridCol w:w="1927"/>
        <w:gridCol w:w="1927"/>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1.</w:t>
            </w:r>
          </w:p>
        </w:tc>
        <w:tc>
          <w:tcPr>
            <w:tcW w:w="65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 have reviewed this Quarterly Report on Form 10-Q of Keros Therapeutics,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665"/>
        <w:jc w:val="left"/>
        <w:rPr>
          <w:color w:val="000000"/>
        </w:rPr>
      </w:pPr>
      <w:r>
        <w:rPr>
          <w:color w:val="000000"/>
        </w:rPr>
        <w:t> </w:t>
      </w:r>
    </w:p>
    <w:tbl>
      <w:tblPr>
        <w:tblW w:w="4364" w:type="dxa"/>
        <w:jc w:val="left"/>
        <w:tblInd w:w="0" w:type="dxa"/>
        <w:tblLayout w:type="fixed"/>
        <w:tblCellMar>
          <w:top w:w="28" w:type="dxa"/>
          <w:left w:w="28" w:type="dxa"/>
          <w:bottom w:w="28" w:type="dxa"/>
          <w:right w:w="28" w:type="dxa"/>
        </w:tblCellMar>
      </w:tblPr>
      <w:tblGrid>
        <w:gridCol w:w="580"/>
        <w:gridCol w:w="511"/>
        <w:gridCol w:w="514"/>
        <w:gridCol w:w="120"/>
        <w:gridCol w:w="120"/>
        <w:gridCol w:w="120"/>
        <w:gridCol w:w="702"/>
        <w:gridCol w:w="702"/>
        <w:gridCol w:w="99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6, 2025</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Jasbir Seehra, Ph.D.</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3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Jasbir Seehra, Ph.D.</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Chief Executive Officer </w:t>
            </w:r>
          </w:p>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31.2</w:t>
      </w:r>
    </w:p>
    <w:p>
      <w:pPr>
        <w:pStyle w:val="TextBody"/>
        <w:bidi w:val="0"/>
        <w:spacing w:lineRule="auto" w:line="288" w:before="36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FINANCIAL OFFICER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Keith Regnante, certify that:</w:t>
      </w:r>
    </w:p>
    <w:tbl>
      <w:tblPr>
        <w:tblW w:w="6927" w:type="dxa"/>
        <w:jc w:val="left"/>
        <w:tblInd w:w="0" w:type="dxa"/>
        <w:tblLayout w:type="fixed"/>
        <w:tblCellMar>
          <w:top w:w="28" w:type="dxa"/>
          <w:left w:w="28" w:type="dxa"/>
          <w:bottom w:w="28" w:type="dxa"/>
          <w:right w:w="28" w:type="dxa"/>
        </w:tblCellMar>
      </w:tblPr>
      <w:tblGrid>
        <w:gridCol w:w="124"/>
        <w:gridCol w:w="109"/>
        <w:gridCol w:w="109"/>
        <w:gridCol w:w="1927"/>
        <w:gridCol w:w="1927"/>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1.</w:t>
            </w:r>
          </w:p>
        </w:tc>
        <w:tc>
          <w:tcPr>
            <w:tcW w:w="65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I have reviewed this Quarterly Report on Form 10-Q of Keros Therapeutics,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665"/>
        <w:jc w:val="left"/>
        <w:rPr>
          <w:color w:val="000000"/>
        </w:rPr>
      </w:pPr>
      <w:r>
        <w:rPr>
          <w:color w:val="000000"/>
        </w:rPr>
        <w:t> </w:t>
      </w:r>
    </w:p>
    <w:tbl>
      <w:tblPr>
        <w:tblW w:w="6974" w:type="dxa"/>
        <w:jc w:val="left"/>
        <w:tblInd w:w="0" w:type="dxa"/>
        <w:tblLayout w:type="fixed"/>
        <w:tblCellMar>
          <w:top w:w="28" w:type="dxa"/>
          <w:left w:w="28" w:type="dxa"/>
          <w:bottom w:w="28" w:type="dxa"/>
          <w:right w:w="28" w:type="dxa"/>
        </w:tblCellMar>
      </w:tblPr>
      <w:tblGrid>
        <w:gridCol w:w="580"/>
        <w:gridCol w:w="511"/>
        <w:gridCol w:w="514"/>
        <w:gridCol w:w="120"/>
        <w:gridCol w:w="120"/>
        <w:gridCol w:w="120"/>
        <w:gridCol w:w="1464"/>
        <w:gridCol w:w="1464"/>
        <w:gridCol w:w="208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Date: May 6, 2025</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/s/ Keith Regnante</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18"/>
              </w:rPr>
            </w:pPr>
            <w:r>
              <w:rPr>
                <w:rFonts w:ascii="Arial;sans-serif" w:hAnsi="Arial;sans-serif"/>
                <w:b w:val="false"/>
                <w:color w:val="000000"/>
                <w:sz w:val="18"/>
              </w:rPr>
              <w:t>Keith Regnante</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Chief Financial Officer </w:t>
            </w:r>
          </w:p>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319" w:before="0" w:after="0"/>
        <w:jc w:val="left"/>
        <w:rPr>
          <w:color w:val="000000"/>
        </w:rPr>
      </w:pPr>
      <w:r>
        <w:rPr>
          <w:color w:val="000000"/>
        </w:rPr>
        <w:t> </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18"/>
        </w:rPr>
        <w:t>Pursuant to the requirement set forth in Rule 13a-14(b) of the Securities Exchange Act of 1934, as amended (the “Exchange Act”), and Section 1350 of Chapter 63 of Title 18 of the United States Code (18 U.S.C. §1350),</w:t>
      </w:r>
      <w:r>
        <w:rPr>
          <w:color w:val="000000"/>
        </w:rPr>
        <w:t> </w:t>
      </w:r>
      <w:r>
        <w:rPr>
          <w:rFonts w:ascii="Arial;sans-serif" w:hAnsi="Arial;sans-serif"/>
          <w:b w:val="false"/>
          <w:color w:val="000000"/>
          <w:sz w:val="18"/>
        </w:rPr>
        <w:t>Jasbir Seehra, Ph.D., Chief Executive Officer of Keros Therapeutics, Inc. (the “Company”) and Keith Regnante, Chief Financial Officer of the Company, each hereby certifies that, to the best of his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The Company’s Quarterly Report on Form 10-Q for the period ended March 31, 2025, to which this Certification is attached as Exhibit 32.1 (the “Quarterly Report”), fully complies with the requirements of Section 13(a) or Section 15(d) of the Exchange Act,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720"/>
        <w:jc w:val="left"/>
        <w:rPr/>
      </w:pPr>
      <w:r>
        <w:rPr/>
      </w:r>
    </w:p>
    <w:p>
      <w:pPr>
        <w:pStyle w:val="TextBody"/>
        <w:bidi w:val="0"/>
        <w:spacing w:lineRule="auto" w:line="319" w:before="0" w:after="0"/>
        <w:jc w:val="left"/>
        <w:rPr/>
      </w:pPr>
      <w:r>
        <w:rPr>
          <w:rFonts w:ascii="Arial;sans-serif" w:hAnsi="Arial;sans-serif"/>
          <w:b/>
          <w:color w:val="000000"/>
          <w:sz w:val="18"/>
        </w:rPr>
        <w:t>In Witness Whereof</w:t>
      </w:r>
      <w:r>
        <w:rPr>
          <w:rFonts w:ascii="Arial;sans-serif" w:hAnsi="Arial;sans-serif"/>
          <w:b w:val="false"/>
          <w:color w:val="000000"/>
          <w:sz w:val="18"/>
        </w:rPr>
        <w:t>, the undersigned have set their hands hereto as of the 6th day of May, 2025.</w:t>
      </w:r>
    </w:p>
    <w:tbl>
      <w:tblPr>
        <w:tblW w:w="5351" w:type="dxa"/>
        <w:jc w:val="left"/>
        <w:tblInd w:w="0" w:type="dxa"/>
        <w:tblLayout w:type="fixed"/>
        <w:tblCellMar>
          <w:top w:w="28" w:type="dxa"/>
          <w:left w:w="28" w:type="dxa"/>
          <w:bottom w:w="28" w:type="dxa"/>
          <w:right w:w="28" w:type="dxa"/>
        </w:tblCellMar>
      </w:tblPr>
      <w:tblGrid>
        <w:gridCol w:w="124"/>
        <w:gridCol w:w="109"/>
        <w:gridCol w:w="109"/>
        <w:gridCol w:w="1467"/>
        <w:gridCol w:w="1467"/>
        <w:gridCol w:w="2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Jasbir Seehra</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Jasbir Seehra, Ph.D.</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 Keith Regnante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Keith Regnante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i/>
                <w:color w:val="000000"/>
                <w:sz w:val="18"/>
              </w:rPr>
            </w:pPr>
            <w:r>
              <w:rPr>
                <w:rFonts w:ascii="Arial;sans-serif" w:hAnsi="Arial;sans-serif"/>
                <w:b w:val="false"/>
                <w:i/>
                <w:color w:val="000000"/>
                <w:sz w:val="18"/>
              </w:rPr>
              <w:t>(Principal Financial Officer and Principal Accounting Officer)</w:t>
            </w:r>
          </w:p>
        </w:tc>
      </w:tr>
    </w:tbl>
    <w:p>
      <w:pPr>
        <w:pStyle w:val="TextBody"/>
        <w:bidi w:val="0"/>
        <w:spacing w:lineRule="auto" w:line="319" w:before="140" w:after="283"/>
        <w:jc w:val="left"/>
        <w:rPr>
          <w:rFonts w:ascii="Arial;sans-serif" w:hAnsi="Arial;sans-serif"/>
          <w:b w:val="false"/>
          <w:color w:val="000000"/>
          <w:sz w:val="18"/>
        </w:rPr>
      </w:pPr>
      <w:r>
        <w:rPr>
          <w:rFonts w:ascii="Arial;sans-serif" w:hAnsi="Arial;sans-serif"/>
          <w:b w:val="false"/>
          <w:color w:val="000000"/>
          <w:sz w:val="18"/>
        </w:rPr>
        <w:t>This certification accompanies the Form 10-Q to which it relates, is not deemed filed with the Securities and Exchange Commission and is not to be incorporated by reference into any filing of Keros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4710/000119312520105266/d891585dex31.htm" TargetMode="External"/><Relationship Id="rId3" Type="http://schemas.openxmlformats.org/officeDocument/2006/relationships/hyperlink" Target="https://www.sec.gov/Archives/edgar/data/1664710/000119312520105266/d891585dex31.htm" TargetMode="External"/><Relationship Id="rId4" Type="http://schemas.openxmlformats.org/officeDocument/2006/relationships/hyperlink" Target="https://www.sec.gov/Archives/edgar/data/1664710/000166471025000025/exhibit31.htm" TargetMode="External"/><Relationship Id="rId5" Type="http://schemas.openxmlformats.org/officeDocument/2006/relationships/hyperlink" Target="https://www.sec.gov/Archives/edgar/data/1664710/000166471025000025/exhibit31.htm" TargetMode="External"/><Relationship Id="rId6" Type="http://schemas.openxmlformats.org/officeDocument/2006/relationships/hyperlink" Target="https://www.sec.gov/Archives/edgar/data/1664710/000166471025000033/exhibit314925.htm" TargetMode="External"/><Relationship Id="rId7" Type="http://schemas.openxmlformats.org/officeDocument/2006/relationships/hyperlink" Target="https://www.sec.gov/Archives/edgar/data/1664710/000166471025000033/exhibit314925.htm" TargetMode="External"/><Relationship Id="rId8" Type="http://schemas.openxmlformats.org/officeDocument/2006/relationships/hyperlink" Target="https://www.sec.gov/Archives/edgar/data/1664710/000166471025000033/exhibit314925.htm" TargetMode="External"/><Relationship Id="rId9" Type="http://schemas.openxmlformats.org/officeDocument/2006/relationships/hyperlink" Target="https://www.sec.gov/Archives/edgar/data/1664710/000166471025000033/exhibit41492025.htm" TargetMode="External"/><Relationship Id="rId10" Type="http://schemas.openxmlformats.org/officeDocument/2006/relationships/hyperlink" Target="https://www.sec.gov/Archives/edgar/data/1664710/000166471025000033/exhibit41492025.htm" TargetMode="External"/><Relationship Id="rId11" Type="http://schemas.openxmlformats.org/officeDocument/2006/relationships/hyperlink" Target="https://www.sec.gov/Archives/edgar/data/1664710/000166471025000033/exhibit41492025.htm" TargetMode="External"/><Relationship Id="rId12" Type="http://schemas.openxmlformats.org/officeDocument/2006/relationships/hyperlink" Target="https://www.sec.gov/Archives/edgar/data/1664710/000166471025000033/exhibit41492025.htm" TargetMode="External"/><Relationship Id="rId13" Type="http://schemas.openxmlformats.org/officeDocument/2006/relationships/hyperlink" Target="https://www.sec.gov/Archives/edgar/data/1664710/000166471025000033/exhibit41492025.htm" TargetMode="External"/><Relationship Id="rId14" Type="http://schemas.openxmlformats.org/officeDocument/2006/relationships/hyperlink" Target="https://www.sec.gov/Archives/edgar/data/1664710/000166471025000038/exhibit10141725.htm" TargetMode="External"/><Relationship Id="rId15" Type="http://schemas.openxmlformats.org/officeDocument/2006/relationships/hyperlink" Target="https://www.sec.gov/Archives/edgar/data/1664710/000166471025000038/exhibit10141725.htm" TargetMode="External"/><Relationship Id="rId16" Type="http://schemas.openxmlformats.org/officeDocument/2006/relationships/hyperlink" Target="https://www.sec.gov/Archives/edgar/data/1664710/000166471025000038/exhibit10141725.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65408</Words>
  <Characters>368218</Characters>
  <CharactersWithSpaces>432595</CharactersWithSpaces>
  <Paragraphs>2114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