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728345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694055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SECURITIES AND EXCHANGE COMMISSION</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Washington, D.C. 20549</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________________________________________</w:t>
      </w:r>
    </w:p>
    <w:p>
      <w:pPr>
        <w:spacing w:after="0" w:line="55"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FORM 10-K</w:t>
      </w:r>
    </w:p>
    <w:p>
      <w:pPr>
        <w:spacing w:after="0" w:line="66"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________________________________________</w:t>
      </w:r>
    </w:p>
    <w:p>
      <w:pPr>
        <w:spacing w:after="0" w:line="6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6" w:lineRule="exact"/>
        <w:rPr>
          <w:sz w:val="24"/>
          <w:szCs w:val="24"/>
          <w:color w:val="auto"/>
        </w:rPr>
      </w:pPr>
    </w:p>
    <w:p>
      <w:pPr>
        <w:ind w:left="520" w:hanging="49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87"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OR</w:t>
      </w:r>
    </w:p>
    <w:p>
      <w:pPr>
        <w:spacing w:after="0" w:line="82" w:lineRule="exact"/>
        <w:rPr>
          <w:sz w:val="24"/>
          <w:szCs w:val="24"/>
          <w:color w:val="auto"/>
        </w:rPr>
      </w:pPr>
    </w:p>
    <w:p>
      <w:pPr>
        <w:ind w:left="20"/>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41" w:lineRule="exact"/>
        <w:rPr>
          <w:sz w:val="24"/>
          <w:szCs w:val="24"/>
          <w:color w:val="auto"/>
        </w:rPr>
      </w:pPr>
    </w:p>
    <w:p>
      <w:pPr>
        <w:ind w:left="52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5" w:lineRule="exact"/>
        <w:rPr>
          <w:sz w:val="24"/>
          <w:szCs w:val="24"/>
          <w:color w:val="auto"/>
        </w:rPr>
      </w:pPr>
    </w:p>
    <w:p>
      <w:pPr>
        <w:ind w:left="3920"/>
        <w:spacing w:after="0"/>
        <w:tabs>
          <w:tab w:leader="none" w:pos="71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001-39264</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________________________________________</w:t>
      </w:r>
    </w:p>
    <w:p>
      <w:pPr>
        <w:spacing w:after="0" w:line="9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KEROS THERAPEUTICS, INC.</w:t>
      </w:r>
    </w:p>
    <w:p>
      <w:pPr>
        <w:spacing w:after="0" w:line="74"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48" w:lineRule="exact"/>
        <w:rPr>
          <w:sz w:val="24"/>
          <w:szCs w:val="24"/>
          <w:color w:val="auto"/>
        </w:rPr>
      </w:pPr>
    </w:p>
    <w:p>
      <w:pPr>
        <w:ind w:left="3740"/>
        <w:spacing w:after="0"/>
        <w:rPr>
          <w:sz w:val="20"/>
          <w:szCs w:val="20"/>
          <w:color w:val="auto"/>
        </w:rPr>
      </w:pPr>
      <w:r>
        <w:rPr>
          <w:rFonts w:ascii="Arial" w:cs="Arial" w:eastAsia="Arial" w:hAnsi="Arial"/>
          <w:sz w:val="17"/>
          <w:szCs w:val="17"/>
          <w:b w:val="1"/>
          <w:bCs w:val="1"/>
          <w:color w:val="auto"/>
        </w:rPr>
        <w:t>________________________________________</w:t>
      </w:r>
    </w:p>
    <w:p>
      <w:pPr>
        <w:spacing w:after="0" w:line="200" w:lineRule="exact"/>
        <w:rPr>
          <w:sz w:val="24"/>
          <w:szCs w:val="24"/>
          <w:color w:val="auto"/>
        </w:rPr>
      </w:pP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224"/>
        </w:trPr>
        <w:tc>
          <w:tcPr>
            <w:tcW w:w="4440" w:type="dxa"/>
            <w:vAlign w:val="bottom"/>
            <w:gridSpan w:val="3"/>
          </w:tcPr>
          <w:p>
            <w:pPr>
              <w:jc w:val="center"/>
              <w:ind w:left="1045"/>
              <w:spacing w:after="0"/>
              <w:rPr>
                <w:sz w:val="20"/>
                <w:szCs w:val="20"/>
                <w:color w:val="auto"/>
              </w:rPr>
            </w:pPr>
            <w:r>
              <w:rPr>
                <w:rFonts w:ascii="Arial" w:cs="Arial" w:eastAsia="Arial" w:hAnsi="Arial"/>
                <w:sz w:val="17"/>
                <w:szCs w:val="17"/>
                <w:b w:val="1"/>
                <w:bCs w:val="1"/>
                <w:color w:val="auto"/>
              </w:rPr>
              <w:t>Delaware</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40" w:type="dxa"/>
            <w:vAlign w:val="bottom"/>
          </w:tcPr>
          <w:p>
            <w:pPr>
              <w:jc w:val="right"/>
              <w:ind w:right="1428"/>
              <w:spacing w:after="0"/>
              <w:rPr>
                <w:sz w:val="20"/>
                <w:szCs w:val="20"/>
                <w:color w:val="auto"/>
              </w:rPr>
            </w:pPr>
            <w:r>
              <w:rPr>
                <w:rFonts w:ascii="Arial" w:cs="Arial" w:eastAsia="Arial" w:hAnsi="Arial"/>
                <w:sz w:val="17"/>
                <w:szCs w:val="17"/>
                <w:b w:val="1"/>
                <w:bCs w:val="1"/>
                <w:color w:val="auto"/>
              </w:rPr>
              <w:t>81-1173868</w:t>
            </w:r>
          </w:p>
        </w:tc>
        <w:tc>
          <w:tcPr>
            <w:tcW w:w="0" w:type="dxa"/>
            <w:vAlign w:val="bottom"/>
          </w:tcPr>
          <w:p>
            <w:pPr>
              <w:spacing w:after="0"/>
              <w:rPr>
                <w:sz w:val="1"/>
                <w:szCs w:val="1"/>
                <w:color w:val="auto"/>
              </w:rPr>
            </w:pPr>
          </w:p>
        </w:tc>
      </w:tr>
      <w:tr>
        <w:trPr>
          <w:trHeight w:val="183"/>
        </w:trPr>
        <w:tc>
          <w:tcPr>
            <w:tcW w:w="4440" w:type="dxa"/>
            <w:vAlign w:val="bottom"/>
            <w:gridSpan w:val="3"/>
          </w:tcPr>
          <w:p>
            <w:pPr>
              <w:jc w:val="center"/>
              <w:ind w:left="1045"/>
              <w:spacing w:after="0"/>
              <w:rPr>
                <w:sz w:val="20"/>
                <w:szCs w:val="20"/>
                <w:color w:val="auto"/>
              </w:rPr>
            </w:pPr>
            <w:r>
              <w:rPr>
                <w:rFonts w:ascii="Arial" w:cs="Arial" w:eastAsia="Arial" w:hAnsi="Arial"/>
                <w:sz w:val="13"/>
                <w:szCs w:val="13"/>
                <w:b w:val="1"/>
                <w:bCs w:val="1"/>
                <w:color w:val="auto"/>
                <w:w w:val="96"/>
              </w:rPr>
              <w:t>(State or other jurisdiction of</w:t>
            </w: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tcPr>
          <w:p>
            <w:pPr>
              <w:jc w:val="center"/>
              <w:ind w:right="608"/>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65"/>
        </w:trPr>
        <w:tc>
          <w:tcPr>
            <w:tcW w:w="4440" w:type="dxa"/>
            <w:vAlign w:val="bottom"/>
            <w:gridSpan w:val="3"/>
          </w:tcPr>
          <w:p>
            <w:pPr>
              <w:jc w:val="center"/>
              <w:ind w:left="1085"/>
              <w:spacing w:after="0"/>
              <w:rPr>
                <w:sz w:val="20"/>
                <w:szCs w:val="20"/>
                <w:color w:val="auto"/>
              </w:rPr>
            </w:pPr>
            <w:r>
              <w:rPr>
                <w:rFonts w:ascii="Arial" w:cs="Arial" w:eastAsia="Arial" w:hAnsi="Arial"/>
                <w:sz w:val="13"/>
                <w:szCs w:val="13"/>
                <w:b w:val="1"/>
                <w:bCs w:val="1"/>
                <w:color w:val="auto"/>
                <w:w w:val="96"/>
              </w:rPr>
              <w:t>incorporation or organization)</w:t>
            </w: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tcPr>
          <w:p>
            <w:pPr>
              <w:jc w:val="center"/>
              <w:ind w:right="608"/>
              <w:spacing w:after="0"/>
              <w:rPr>
                <w:sz w:val="20"/>
                <w:szCs w:val="20"/>
                <w:color w:val="auto"/>
              </w:rPr>
            </w:pPr>
            <w:r>
              <w:rPr>
                <w:rFonts w:ascii="Arial" w:cs="Arial" w:eastAsia="Arial" w:hAnsi="Arial"/>
                <w:sz w:val="13"/>
                <w:szCs w:val="13"/>
                <w:b w:val="1"/>
                <w:bCs w:val="1"/>
                <w:color w:val="auto"/>
                <w:w w:val="95"/>
              </w:rPr>
              <w:t>Identification Number)</w:t>
            </w:r>
          </w:p>
        </w:tc>
        <w:tc>
          <w:tcPr>
            <w:tcW w:w="0" w:type="dxa"/>
            <w:vAlign w:val="bottom"/>
          </w:tcPr>
          <w:p>
            <w:pPr>
              <w:spacing w:after="0"/>
              <w:rPr>
                <w:sz w:val="1"/>
                <w:szCs w:val="1"/>
                <w:color w:val="auto"/>
              </w:rPr>
            </w:pPr>
          </w:p>
        </w:tc>
      </w:tr>
      <w:tr>
        <w:trPr>
          <w:trHeight w:val="256"/>
        </w:trPr>
        <w:tc>
          <w:tcPr>
            <w:tcW w:w="7220" w:type="dxa"/>
            <w:vAlign w:val="bottom"/>
            <w:gridSpan w:val="6"/>
          </w:tcPr>
          <w:p>
            <w:pPr>
              <w:ind w:left="1520"/>
              <w:spacing w:after="0"/>
              <w:rPr>
                <w:sz w:val="20"/>
                <w:szCs w:val="20"/>
                <w:color w:val="auto"/>
              </w:rPr>
            </w:pPr>
            <w:r>
              <w:rPr>
                <w:rFonts w:ascii="Arial" w:cs="Arial" w:eastAsia="Arial" w:hAnsi="Arial"/>
                <w:sz w:val="17"/>
                <w:szCs w:val="17"/>
                <w:b w:val="1"/>
                <w:bCs w:val="1"/>
                <w:color w:val="auto"/>
              </w:rPr>
              <w:t>99 Hayden Avenue, Suite 120, Building E</w:t>
            </w:r>
          </w:p>
        </w:tc>
        <w:tc>
          <w:tcPr>
            <w:tcW w:w="3240" w:type="dxa"/>
            <w:vAlign w:val="bottom"/>
            <w:vMerge w:val="restart"/>
          </w:tcPr>
          <w:p>
            <w:pPr>
              <w:jc w:val="right"/>
              <w:ind w:right="1648"/>
              <w:spacing w:after="0"/>
              <w:rPr>
                <w:sz w:val="20"/>
                <w:szCs w:val="20"/>
                <w:color w:val="auto"/>
              </w:rPr>
            </w:pPr>
            <w:r>
              <w:rPr>
                <w:rFonts w:ascii="Arial" w:cs="Arial" w:eastAsia="Arial" w:hAnsi="Arial"/>
                <w:sz w:val="17"/>
                <w:szCs w:val="17"/>
                <w:b w:val="1"/>
                <w:bCs w:val="1"/>
                <w:color w:val="auto"/>
              </w:rPr>
              <w:t>02421</w:t>
            </w:r>
          </w:p>
        </w:tc>
        <w:tc>
          <w:tcPr>
            <w:tcW w:w="0" w:type="dxa"/>
            <w:vAlign w:val="bottom"/>
          </w:tcPr>
          <w:p>
            <w:pPr>
              <w:spacing w:after="0"/>
              <w:rPr>
                <w:sz w:val="1"/>
                <w:szCs w:val="1"/>
                <w:color w:val="auto"/>
              </w:rPr>
            </w:pPr>
          </w:p>
        </w:tc>
      </w:tr>
      <w:tr>
        <w:trPr>
          <w:trHeight w:val="174"/>
        </w:trPr>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440" w:type="dxa"/>
            <w:vAlign w:val="bottom"/>
            <w:gridSpan w:val="3"/>
          </w:tcPr>
          <w:p>
            <w:pPr>
              <w:ind w:left="2220"/>
              <w:spacing w:after="0"/>
              <w:rPr>
                <w:sz w:val="20"/>
                <w:szCs w:val="20"/>
                <w:color w:val="auto"/>
              </w:rPr>
            </w:pPr>
            <w:r>
              <w:rPr>
                <w:rFonts w:ascii="Arial" w:cs="Arial" w:eastAsia="Arial" w:hAnsi="Arial"/>
                <w:sz w:val="17"/>
                <w:szCs w:val="17"/>
                <w:b w:val="1"/>
                <w:bCs w:val="1"/>
                <w:color w:val="auto"/>
              </w:rPr>
              <w:t>Lexington, Massachusetts</w:t>
            </w:r>
          </w:p>
        </w:tc>
        <w:tc>
          <w:tcPr>
            <w:tcW w:w="2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440" w:type="dxa"/>
            <w:vAlign w:val="bottom"/>
            <w:gridSpan w:val="3"/>
          </w:tcPr>
          <w:p>
            <w:pPr>
              <w:jc w:val="center"/>
              <w:ind w:left="106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Pr>
          <w:p>
            <w:pPr>
              <w:jc w:val="center"/>
              <w:ind w:right="588"/>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r>
        <w:trPr>
          <w:trHeight w:val="361"/>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8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w w:val="99"/>
              </w:rPr>
              <w:t>Tel: (617) 314-6297</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gridSpan w:val="4"/>
          </w:tcPr>
          <w:p>
            <w:pPr>
              <w:jc w:val="center"/>
              <w:ind w:right="280"/>
              <w:spacing w:after="0"/>
              <w:rPr>
                <w:sz w:val="20"/>
                <w:szCs w:val="20"/>
                <w:color w:val="auto"/>
              </w:rPr>
            </w:pPr>
            <w:r>
              <w:rPr>
                <w:rFonts w:ascii="Arial" w:cs="Arial" w:eastAsia="Arial" w:hAnsi="Arial"/>
                <w:sz w:val="13"/>
                <w:szCs w:val="13"/>
                <w:color w:val="auto"/>
                <w:w w:val="96"/>
              </w:rPr>
              <w:t>(Registrant's telephone number, including area code)</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220" w:type="dxa"/>
            <w:vAlign w:val="bottom"/>
            <w:gridSpan w:val="6"/>
          </w:tcPr>
          <w:p>
            <w:pPr>
              <w:jc w:val="center"/>
              <w:ind w:left="3165"/>
              <w:spacing w:after="0"/>
              <w:rPr>
                <w:sz w:val="20"/>
                <w:szCs w:val="20"/>
                <w:color w:val="auto"/>
              </w:rPr>
            </w:pPr>
            <w:r>
              <w:rPr>
                <w:rFonts w:ascii="Arial" w:cs="Arial" w:eastAsia="Arial" w:hAnsi="Arial"/>
                <w:sz w:val="17"/>
                <w:szCs w:val="17"/>
                <w:color w:val="auto"/>
                <w:w w:val="99"/>
              </w:rPr>
              <w:t>________________________________________</w:t>
            </w:r>
          </w:p>
        </w:tc>
        <w:tc>
          <w:tcPr>
            <w:tcW w:w="3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3820" w:type="dxa"/>
            <w:vAlign w:val="bottom"/>
            <w:gridSpan w:val="5"/>
          </w:tcPr>
          <w:p>
            <w:pPr>
              <w:jc w:val="center"/>
              <w:ind w:right="180"/>
              <w:spacing w:after="0"/>
              <w:rPr>
                <w:sz w:val="20"/>
                <w:szCs w:val="20"/>
                <w:color w:val="auto"/>
              </w:rPr>
            </w:pPr>
            <w:r>
              <w:rPr>
                <w:rFonts w:ascii="Arial" w:cs="Arial" w:eastAsia="Arial" w:hAnsi="Arial"/>
                <w:sz w:val="14"/>
                <w:szCs w:val="14"/>
                <w:color w:val="auto"/>
              </w:rPr>
              <w:t>Securities registered pursuant to Section 12(b) of the Act:</w:t>
            </w:r>
          </w:p>
        </w:tc>
        <w:tc>
          <w:tcPr>
            <w:tcW w:w="3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440" w:type="dxa"/>
            <w:vAlign w:val="bottom"/>
            <w:gridSpan w:val="3"/>
          </w:tcPr>
          <w:p>
            <w:pPr>
              <w:jc w:val="center"/>
              <w:ind w:right="957"/>
              <w:spacing w:after="0"/>
              <w:rPr>
                <w:sz w:val="20"/>
                <w:szCs w:val="20"/>
                <w:color w:val="auto"/>
              </w:rPr>
            </w:pPr>
            <w:r>
              <w:rPr>
                <w:rFonts w:ascii="Arial" w:cs="Arial" w:eastAsia="Arial" w:hAnsi="Arial"/>
                <w:sz w:val="14"/>
                <w:szCs w:val="14"/>
                <w:color w:val="auto"/>
              </w:rPr>
              <w:t>Title of each class</w:t>
            </w:r>
          </w:p>
        </w:tc>
        <w:tc>
          <w:tcPr>
            <w:tcW w:w="2780" w:type="dxa"/>
            <w:vAlign w:val="bottom"/>
            <w:gridSpan w:val="3"/>
          </w:tcPr>
          <w:p>
            <w:pPr>
              <w:jc w:val="center"/>
              <w:ind w:right="1240"/>
              <w:spacing w:after="0"/>
              <w:rPr>
                <w:sz w:val="20"/>
                <w:szCs w:val="20"/>
                <w:color w:val="auto"/>
              </w:rPr>
            </w:pPr>
            <w:r>
              <w:rPr>
                <w:rFonts w:ascii="Arial" w:cs="Arial" w:eastAsia="Arial" w:hAnsi="Arial"/>
                <w:sz w:val="14"/>
                <w:szCs w:val="14"/>
                <w:color w:val="auto"/>
                <w:w w:val="99"/>
              </w:rPr>
              <w:t>Trading Symbol</w:t>
            </w:r>
          </w:p>
        </w:tc>
        <w:tc>
          <w:tcPr>
            <w:tcW w:w="3240" w:type="dxa"/>
            <w:vAlign w:val="bottom"/>
          </w:tcPr>
          <w:p>
            <w:pPr>
              <w:jc w:val="center"/>
              <w:ind w:right="148"/>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21"/>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Common Stock, $0.0001 par value per share</w:t>
            </w: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center"/>
              <w:ind w:right="865"/>
              <w:spacing w:after="0"/>
              <w:rPr>
                <w:sz w:val="20"/>
                <w:szCs w:val="20"/>
                <w:color w:val="auto"/>
              </w:rPr>
            </w:pPr>
            <w:r>
              <w:rPr>
                <w:rFonts w:ascii="Arial" w:cs="Arial" w:eastAsia="Arial" w:hAnsi="Arial"/>
                <w:sz w:val="14"/>
                <w:szCs w:val="14"/>
                <w:b w:val="1"/>
                <w:bCs w:val="1"/>
                <w:color w:val="auto"/>
              </w:rPr>
              <w:t>KROS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6" w:lineRule="exact"/>
        <w:rPr>
          <w:sz w:val="24"/>
          <w:szCs w:val="24"/>
          <w:color w:val="auto"/>
        </w:rPr>
      </w:pPr>
    </w:p>
    <w:p>
      <w:pPr>
        <w:ind w:right="2960"/>
        <w:spacing w:after="0" w:line="22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61"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7" w:lineRule="exact"/>
        <w:rPr>
          <w:sz w:val="24"/>
          <w:szCs w:val="24"/>
          <w:color w:val="auto"/>
        </w:rPr>
      </w:pP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28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1400" w:type="dxa"/>
        <w:tblCellMar>
          <w:top w:w="0" w:type="dxa"/>
          <w:left w:w="0" w:type="dxa"/>
          <w:bottom w:w="0" w:type="dxa"/>
          <w:right w:w="0" w:type="dxa"/>
        </w:tblCellMar>
      </w:tblPr>
      <w:tr>
        <w:trPr>
          <w:trHeight w:val="225"/>
        </w:trPr>
        <w:tc>
          <w:tcPr>
            <w:tcW w:w="23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6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320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29"/>
        </w:trPr>
        <w:tc>
          <w:tcPr>
            <w:tcW w:w="2360" w:type="dxa"/>
            <w:vAlign w:val="bottom"/>
          </w:tcPr>
          <w:p>
            <w:pPr>
              <w:spacing w:after="0"/>
              <w:rPr>
                <w:sz w:val="20"/>
                <w:szCs w:val="20"/>
                <w:color w:val="auto"/>
              </w:rPr>
            </w:pPr>
            <w:r>
              <w:rPr>
                <w:rFonts w:ascii="Arial" w:cs="Arial" w:eastAsia="Arial" w:hAnsi="Arial"/>
                <w:sz w:val="14"/>
                <w:szCs w:val="14"/>
                <w:color w:val="auto"/>
              </w:rPr>
              <w:t>Non-accelerated filer</w:t>
            </w:r>
          </w:p>
        </w:tc>
        <w:tc>
          <w:tcPr>
            <w:tcW w:w="16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320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429"/>
        </w:trPr>
        <w:tc>
          <w:tcPr>
            <w:tcW w:w="2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0" w:type="dxa"/>
            <w:vAlign w:val="bottom"/>
          </w:tcPr>
          <w:p>
            <w:pPr>
              <w:ind w:left="5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43" w:lineRule="exact"/>
        <w:rPr>
          <w:sz w:val="24"/>
          <w:szCs w:val="24"/>
          <w:color w:val="auto"/>
        </w:rPr>
      </w:pPr>
    </w:p>
    <w:p>
      <w:pPr>
        <w:ind w:right="30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180"/>
          </w:cols>
          <w:pgMar w:left="320" w:top="1222" w:right="399" w:bottom="1440" w:gutter="0" w:footer="0" w:header="0"/>
        </w:sectPr>
      </w:pPr>
    </w:p>
    <w:p>
      <w:pPr>
        <w:spacing w:after="0" w:line="286"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22" w:right="399" w:bottom="1440" w:gutter="0" w:footer="0" w:header="0"/>
          <w:type w:val="continuous"/>
        </w:sectPr>
      </w:pPr>
    </w:p>
    <w:bookmarkStart w:id="1" w:name="page2"/>
    <w:bookmarkEnd w:id="1"/>
    <w:p>
      <w:pPr>
        <w:ind w:right="460"/>
        <w:spacing w:after="0" w:line="17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June 30, 2021, the last business day of the registrant's most recently completed second fiscal quarter, was $657.3 million, based on a closing price of $42.47 per share of the registrant’s common stock as reported on the Nasdaq Global Market. The calculation does not reflect a determination that certain persons are affiliates of the registrant for any other purpose.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As of March 2, 2022, there were 24,000,453 outstanding shares of the registrant's common stock, par value $0.0001 per share.</w:t>
      </w:r>
    </w:p>
    <w:p>
      <w:pPr>
        <w:spacing w:after="0" w:line="36"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2"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2022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39370</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91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94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PART I.</w:t>
            </w:r>
          </w:p>
        </w:tc>
        <w:tc>
          <w:tcPr>
            <w:tcW w:w="9180" w:type="dxa"/>
            <w:vAlign w:val="bottom"/>
          </w:tcPr>
          <w:p>
            <w:pPr>
              <w:spacing w:after="0"/>
              <w:rPr>
                <w:sz w:val="19"/>
                <w:szCs w:val="19"/>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1"/>
        </w:trPr>
        <w:tc>
          <w:tcPr>
            <w:tcW w:w="940" w:type="dxa"/>
            <w:vAlign w:val="bottom"/>
            <w:vMerge w:val="continue"/>
          </w:tcPr>
          <w:p>
            <w:pPr>
              <w:spacing w:after="0"/>
              <w:rPr>
                <w:sz w:val="16"/>
                <w:szCs w:val="16"/>
                <w:color w:val="auto"/>
              </w:rPr>
            </w:pPr>
          </w:p>
        </w:tc>
        <w:tc>
          <w:tcPr>
            <w:tcW w:w="9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w:t>
            </w:r>
          </w:p>
        </w:tc>
        <w:tc>
          <w:tcPr>
            <w:tcW w:w="9180" w:type="dxa"/>
            <w:vAlign w:val="bottom"/>
          </w:tcPr>
          <w:p>
            <w:pPr>
              <w:ind w:left="100"/>
              <w:spacing w:after="0"/>
              <w:rPr>
                <w:rFonts w:ascii="Arial" w:cs="Arial" w:eastAsia="Arial" w:hAnsi="Arial"/>
                <w:sz w:val="17"/>
                <w:szCs w:val="17"/>
                <w:color w:val="auto"/>
              </w:rPr>
            </w:pPr>
            <w:hyperlink w:anchor="page6">
              <w:r>
                <w:rPr>
                  <w:rFonts w:ascii="Arial" w:cs="Arial" w:eastAsia="Arial" w:hAnsi="Arial"/>
                  <w:sz w:val="17"/>
                  <w:szCs w:val="17"/>
                  <w:color w:val="auto"/>
                </w:rPr>
                <w:t>Business</w:t>
              </w:r>
            </w:hyperlink>
          </w:p>
        </w:tc>
        <w:tc>
          <w:tcPr>
            <w:tcW w:w="64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1</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1A.</w:t>
            </w:r>
          </w:p>
        </w:tc>
        <w:tc>
          <w:tcPr>
            <w:tcW w:w="9180" w:type="dxa"/>
            <w:vAlign w:val="bottom"/>
          </w:tcPr>
          <w:p>
            <w:pPr>
              <w:ind w:left="100"/>
              <w:spacing w:after="0"/>
              <w:rPr>
                <w:rFonts w:ascii="Arial" w:cs="Arial" w:eastAsia="Arial" w:hAnsi="Arial"/>
                <w:sz w:val="17"/>
                <w:szCs w:val="17"/>
                <w:color w:val="auto"/>
              </w:rPr>
            </w:pPr>
            <w:hyperlink w:anchor="page48">
              <w:r>
                <w:rPr>
                  <w:rFonts w:ascii="Arial" w:cs="Arial" w:eastAsia="Arial" w:hAnsi="Arial"/>
                  <w:sz w:val="17"/>
                  <w:szCs w:val="17"/>
                  <w:color w:val="auto"/>
                </w:rPr>
                <w:t>Risk Factors</w:t>
              </w:r>
            </w:hyperlink>
          </w:p>
        </w:tc>
        <w:tc>
          <w:tcPr>
            <w:tcW w:w="640" w:type="dxa"/>
            <w:vAlign w:val="bottom"/>
          </w:tcPr>
          <w:p>
            <w:pPr>
              <w:jc w:val="right"/>
              <w:spacing w:after="0"/>
              <w:rPr>
                <w:rFonts w:ascii="Arial" w:cs="Arial" w:eastAsia="Arial" w:hAnsi="Arial"/>
                <w:sz w:val="17"/>
                <w:szCs w:val="17"/>
                <w:color w:val="auto"/>
              </w:rPr>
            </w:pPr>
            <w:hyperlink w:anchor="page48">
              <w:r>
                <w:rPr>
                  <w:rFonts w:ascii="Arial" w:cs="Arial" w:eastAsia="Arial" w:hAnsi="Arial"/>
                  <w:sz w:val="17"/>
                  <w:szCs w:val="17"/>
                  <w:color w:val="auto"/>
                </w:rPr>
                <w:t>43</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1B.</w:t>
            </w:r>
          </w:p>
        </w:tc>
        <w:tc>
          <w:tcPr>
            <w:tcW w:w="9180" w:type="dxa"/>
            <w:vAlign w:val="bottom"/>
          </w:tcPr>
          <w:p>
            <w:pPr>
              <w:ind w:left="100"/>
              <w:spacing w:after="0"/>
              <w:rPr>
                <w:rFonts w:ascii="Arial" w:cs="Arial" w:eastAsia="Arial" w:hAnsi="Arial"/>
                <w:sz w:val="17"/>
                <w:szCs w:val="17"/>
                <w:color w:val="auto"/>
              </w:rPr>
            </w:pPr>
            <w:hyperlink w:anchor="page93">
              <w:r>
                <w:rPr>
                  <w:rFonts w:ascii="Arial" w:cs="Arial" w:eastAsia="Arial" w:hAnsi="Arial"/>
                  <w:sz w:val="17"/>
                  <w:szCs w:val="17"/>
                  <w:color w:val="auto"/>
                </w:rPr>
                <w:t>Unresolved Staff Comments</w:t>
              </w:r>
            </w:hyperlink>
          </w:p>
        </w:tc>
        <w:tc>
          <w:tcPr>
            <w:tcW w:w="640" w:type="dxa"/>
            <w:vAlign w:val="bottom"/>
          </w:tcPr>
          <w:p>
            <w:pPr>
              <w:jc w:val="right"/>
              <w:spacing w:after="0"/>
              <w:rPr>
                <w:rFonts w:ascii="Arial" w:cs="Arial" w:eastAsia="Arial" w:hAnsi="Arial"/>
                <w:sz w:val="17"/>
                <w:szCs w:val="17"/>
                <w:color w:val="auto"/>
              </w:rPr>
            </w:pPr>
            <w:hyperlink w:anchor="page93">
              <w:r>
                <w:rPr>
                  <w:rFonts w:ascii="Arial" w:cs="Arial" w:eastAsia="Arial" w:hAnsi="Arial"/>
                  <w:sz w:val="17"/>
                  <w:szCs w:val="17"/>
                  <w:color w:val="auto"/>
                </w:rPr>
                <w:t>88</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2.</w:t>
            </w:r>
          </w:p>
        </w:tc>
        <w:tc>
          <w:tcPr>
            <w:tcW w:w="9180" w:type="dxa"/>
            <w:vAlign w:val="bottom"/>
          </w:tcPr>
          <w:p>
            <w:pPr>
              <w:ind w:left="100"/>
              <w:spacing w:after="0"/>
              <w:rPr>
                <w:rFonts w:ascii="Arial" w:cs="Arial" w:eastAsia="Arial" w:hAnsi="Arial"/>
                <w:sz w:val="17"/>
                <w:szCs w:val="17"/>
                <w:color w:val="auto"/>
              </w:rPr>
            </w:pPr>
            <w:hyperlink w:anchor="page93">
              <w:r>
                <w:rPr>
                  <w:rFonts w:ascii="Arial" w:cs="Arial" w:eastAsia="Arial" w:hAnsi="Arial"/>
                  <w:sz w:val="17"/>
                  <w:szCs w:val="17"/>
                  <w:color w:val="auto"/>
                </w:rPr>
                <w:t>Properties</w:t>
              </w:r>
            </w:hyperlink>
          </w:p>
        </w:tc>
        <w:tc>
          <w:tcPr>
            <w:tcW w:w="640" w:type="dxa"/>
            <w:vAlign w:val="bottom"/>
          </w:tcPr>
          <w:p>
            <w:pPr>
              <w:jc w:val="right"/>
              <w:spacing w:after="0"/>
              <w:rPr>
                <w:rFonts w:ascii="Arial" w:cs="Arial" w:eastAsia="Arial" w:hAnsi="Arial"/>
                <w:sz w:val="17"/>
                <w:szCs w:val="17"/>
                <w:color w:val="auto"/>
              </w:rPr>
            </w:pPr>
            <w:hyperlink w:anchor="page93">
              <w:r>
                <w:rPr>
                  <w:rFonts w:ascii="Arial" w:cs="Arial" w:eastAsia="Arial" w:hAnsi="Arial"/>
                  <w:sz w:val="17"/>
                  <w:szCs w:val="17"/>
                  <w:color w:val="auto"/>
                </w:rPr>
                <w:t>88</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3.</w:t>
            </w:r>
          </w:p>
        </w:tc>
        <w:tc>
          <w:tcPr>
            <w:tcW w:w="9180" w:type="dxa"/>
            <w:vAlign w:val="bottom"/>
          </w:tcPr>
          <w:p>
            <w:pPr>
              <w:ind w:left="100"/>
              <w:spacing w:after="0"/>
              <w:rPr>
                <w:rFonts w:ascii="Arial" w:cs="Arial" w:eastAsia="Arial" w:hAnsi="Arial"/>
                <w:sz w:val="17"/>
                <w:szCs w:val="17"/>
                <w:color w:val="auto"/>
              </w:rPr>
            </w:pPr>
            <w:hyperlink w:anchor="page93">
              <w:r>
                <w:rPr>
                  <w:rFonts w:ascii="Arial" w:cs="Arial" w:eastAsia="Arial" w:hAnsi="Arial"/>
                  <w:sz w:val="17"/>
                  <w:szCs w:val="17"/>
                  <w:color w:val="auto"/>
                </w:rPr>
                <w:t>Legal Proceedings</w:t>
              </w:r>
            </w:hyperlink>
          </w:p>
        </w:tc>
        <w:tc>
          <w:tcPr>
            <w:tcW w:w="640" w:type="dxa"/>
            <w:vAlign w:val="bottom"/>
          </w:tcPr>
          <w:p>
            <w:pPr>
              <w:jc w:val="right"/>
              <w:spacing w:after="0"/>
              <w:rPr>
                <w:rFonts w:ascii="Arial" w:cs="Arial" w:eastAsia="Arial" w:hAnsi="Arial"/>
                <w:sz w:val="17"/>
                <w:szCs w:val="17"/>
                <w:color w:val="auto"/>
              </w:rPr>
            </w:pPr>
            <w:hyperlink w:anchor="page93">
              <w:r>
                <w:rPr>
                  <w:rFonts w:ascii="Arial" w:cs="Arial" w:eastAsia="Arial" w:hAnsi="Arial"/>
                  <w:sz w:val="17"/>
                  <w:szCs w:val="17"/>
                  <w:color w:val="auto"/>
                </w:rPr>
                <w:t>88</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4.</w:t>
            </w:r>
          </w:p>
        </w:tc>
        <w:tc>
          <w:tcPr>
            <w:tcW w:w="9180" w:type="dxa"/>
            <w:vAlign w:val="bottom"/>
          </w:tcPr>
          <w:p>
            <w:pPr>
              <w:ind w:left="100"/>
              <w:spacing w:after="0"/>
              <w:rPr>
                <w:rFonts w:ascii="Arial" w:cs="Arial" w:eastAsia="Arial" w:hAnsi="Arial"/>
                <w:sz w:val="17"/>
                <w:szCs w:val="17"/>
                <w:color w:val="auto"/>
              </w:rPr>
            </w:pPr>
            <w:hyperlink w:anchor="page93">
              <w:r>
                <w:rPr>
                  <w:rFonts w:ascii="Arial" w:cs="Arial" w:eastAsia="Arial" w:hAnsi="Arial"/>
                  <w:sz w:val="17"/>
                  <w:szCs w:val="17"/>
                  <w:color w:val="auto"/>
                </w:rPr>
                <w:t>Mine Safety Disclosures</w:t>
              </w:r>
            </w:hyperlink>
          </w:p>
        </w:tc>
        <w:tc>
          <w:tcPr>
            <w:tcW w:w="640" w:type="dxa"/>
            <w:vAlign w:val="bottom"/>
          </w:tcPr>
          <w:p>
            <w:pPr>
              <w:jc w:val="right"/>
              <w:spacing w:after="0"/>
              <w:rPr>
                <w:rFonts w:ascii="Arial" w:cs="Arial" w:eastAsia="Arial" w:hAnsi="Arial"/>
                <w:sz w:val="17"/>
                <w:szCs w:val="17"/>
                <w:color w:val="auto"/>
              </w:rPr>
            </w:pPr>
            <w:hyperlink w:anchor="page93">
              <w:r>
                <w:rPr>
                  <w:rFonts w:ascii="Arial" w:cs="Arial" w:eastAsia="Arial" w:hAnsi="Arial"/>
                  <w:sz w:val="17"/>
                  <w:szCs w:val="17"/>
                  <w:color w:val="auto"/>
                </w:rPr>
                <w:t>88</w:t>
              </w:r>
            </w:hyperlink>
          </w:p>
        </w:tc>
        <w:tc>
          <w:tcPr>
            <w:tcW w:w="0" w:type="dxa"/>
            <w:vAlign w:val="bottom"/>
          </w:tcPr>
          <w:p>
            <w:pPr>
              <w:spacing w:after="0"/>
              <w:rPr>
                <w:sz w:val="1"/>
                <w:szCs w:val="1"/>
                <w:color w:val="auto"/>
              </w:rPr>
            </w:pPr>
          </w:p>
        </w:tc>
      </w:tr>
      <w:tr>
        <w:trPr>
          <w:trHeight w:val="470"/>
        </w:trPr>
        <w:tc>
          <w:tcPr>
            <w:tcW w:w="940" w:type="dxa"/>
            <w:vAlign w:val="bottom"/>
          </w:tcPr>
          <w:p>
            <w:pPr>
              <w:ind w:left="20"/>
              <w:spacing w:after="0"/>
              <w:rPr>
                <w:sz w:val="20"/>
                <w:szCs w:val="20"/>
                <w:color w:val="auto"/>
              </w:rPr>
            </w:pPr>
            <w:r>
              <w:rPr>
                <w:rFonts w:ascii="Arial" w:cs="Arial" w:eastAsia="Arial" w:hAnsi="Arial"/>
                <w:sz w:val="17"/>
                <w:szCs w:val="17"/>
                <w:b w:val="1"/>
                <w:bCs w:val="1"/>
                <w:color w:val="auto"/>
              </w:rPr>
              <w:t>PART II.</w:t>
            </w:r>
          </w:p>
        </w:tc>
        <w:tc>
          <w:tcPr>
            <w:tcW w:w="9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5.</w:t>
            </w:r>
          </w:p>
        </w:tc>
        <w:tc>
          <w:tcPr>
            <w:tcW w:w="9180" w:type="dxa"/>
            <w:vAlign w:val="bottom"/>
          </w:tcPr>
          <w:p>
            <w:pPr>
              <w:ind w:left="100"/>
              <w:spacing w:after="0"/>
              <w:rPr>
                <w:rFonts w:ascii="Arial" w:cs="Arial" w:eastAsia="Arial" w:hAnsi="Arial"/>
                <w:sz w:val="17"/>
                <w:szCs w:val="17"/>
                <w:color w:val="auto"/>
              </w:rPr>
            </w:pPr>
            <w:hyperlink w:anchor="page94">
              <w:r>
                <w:rPr>
                  <w:rFonts w:ascii="Arial" w:cs="Arial" w:eastAsia="Arial" w:hAnsi="Arial"/>
                  <w:sz w:val="17"/>
                  <w:szCs w:val="17"/>
                  <w:color w:val="auto"/>
                </w:rPr>
                <w:t>Market for Registrant’s Common Equity, Related Stockholder Matters and Issuer Purchases of Equity Securities.</w:t>
              </w:r>
            </w:hyperlink>
          </w:p>
        </w:tc>
        <w:tc>
          <w:tcPr>
            <w:tcW w:w="640" w:type="dxa"/>
            <w:vAlign w:val="bottom"/>
          </w:tcPr>
          <w:p>
            <w:pPr>
              <w:jc w:val="right"/>
              <w:spacing w:after="0"/>
              <w:rPr>
                <w:rFonts w:ascii="Arial" w:cs="Arial" w:eastAsia="Arial" w:hAnsi="Arial"/>
                <w:sz w:val="17"/>
                <w:szCs w:val="17"/>
                <w:color w:val="auto"/>
              </w:rPr>
            </w:pPr>
            <w:hyperlink w:anchor="page94">
              <w:r>
                <w:rPr>
                  <w:rFonts w:ascii="Arial" w:cs="Arial" w:eastAsia="Arial" w:hAnsi="Arial"/>
                  <w:sz w:val="17"/>
                  <w:szCs w:val="17"/>
                  <w:color w:val="auto"/>
                </w:rPr>
                <w:t>89</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6.</w:t>
            </w:r>
          </w:p>
        </w:tc>
        <w:tc>
          <w:tcPr>
            <w:tcW w:w="9180" w:type="dxa"/>
            <w:vAlign w:val="bottom"/>
          </w:tcPr>
          <w:p>
            <w:pPr>
              <w:ind w:left="100"/>
              <w:spacing w:after="0"/>
              <w:rPr>
                <w:sz w:val="20"/>
                <w:szCs w:val="20"/>
                <w:color w:val="auto"/>
              </w:rPr>
            </w:pPr>
            <w:r>
              <w:rPr>
                <w:rFonts w:ascii="Arial" w:cs="Arial" w:eastAsia="Arial" w:hAnsi="Arial"/>
                <w:sz w:val="17"/>
                <w:szCs w:val="17"/>
                <w:color w:val="auto"/>
              </w:rPr>
              <w:t>[Reserved]</w:t>
            </w:r>
          </w:p>
        </w:tc>
        <w:tc>
          <w:tcPr>
            <w:tcW w:w="640" w:type="dxa"/>
            <w:vAlign w:val="bottom"/>
          </w:tcPr>
          <w:p>
            <w:pPr>
              <w:jc w:val="right"/>
              <w:spacing w:after="0"/>
              <w:rPr>
                <w:rFonts w:ascii="Arial" w:cs="Arial" w:eastAsia="Arial" w:hAnsi="Arial"/>
                <w:sz w:val="17"/>
                <w:szCs w:val="17"/>
                <w:color w:val="auto"/>
              </w:rPr>
            </w:pPr>
            <w:hyperlink w:anchor="page95">
              <w:r>
                <w:rPr>
                  <w:rFonts w:ascii="Arial" w:cs="Arial" w:eastAsia="Arial" w:hAnsi="Arial"/>
                  <w:sz w:val="17"/>
                  <w:szCs w:val="17"/>
                  <w:color w:val="auto"/>
                </w:rPr>
                <w:t>90</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7.</w:t>
            </w:r>
          </w:p>
        </w:tc>
        <w:tc>
          <w:tcPr>
            <w:tcW w:w="9180" w:type="dxa"/>
            <w:vAlign w:val="bottom"/>
          </w:tcPr>
          <w:p>
            <w:pPr>
              <w:ind w:left="100"/>
              <w:spacing w:after="0"/>
              <w:rPr>
                <w:rFonts w:ascii="Arial" w:cs="Arial" w:eastAsia="Arial" w:hAnsi="Arial"/>
                <w:sz w:val="17"/>
                <w:szCs w:val="17"/>
                <w:color w:val="auto"/>
              </w:rPr>
            </w:pPr>
            <w:hyperlink w:anchor="page95">
              <w:r>
                <w:rPr>
                  <w:rFonts w:ascii="Arial" w:cs="Arial" w:eastAsia="Arial" w:hAnsi="Arial"/>
                  <w:sz w:val="17"/>
                  <w:szCs w:val="17"/>
                  <w:color w:val="auto"/>
                </w:rPr>
                <w:t>Management’s Discussion and Analysis of Financial Condition and Results of Operations</w:t>
              </w:r>
            </w:hyperlink>
          </w:p>
        </w:tc>
        <w:tc>
          <w:tcPr>
            <w:tcW w:w="640" w:type="dxa"/>
            <w:vAlign w:val="bottom"/>
          </w:tcPr>
          <w:p>
            <w:pPr>
              <w:jc w:val="right"/>
              <w:spacing w:after="0"/>
              <w:rPr>
                <w:rFonts w:ascii="Arial" w:cs="Arial" w:eastAsia="Arial" w:hAnsi="Arial"/>
                <w:sz w:val="17"/>
                <w:szCs w:val="17"/>
                <w:color w:val="auto"/>
              </w:rPr>
            </w:pPr>
            <w:hyperlink w:anchor="page95">
              <w:r>
                <w:rPr>
                  <w:rFonts w:ascii="Arial" w:cs="Arial" w:eastAsia="Arial" w:hAnsi="Arial"/>
                  <w:sz w:val="17"/>
                  <w:szCs w:val="17"/>
                  <w:color w:val="auto"/>
                </w:rPr>
                <w:t>90</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7A.</w:t>
            </w:r>
          </w:p>
        </w:tc>
        <w:tc>
          <w:tcPr>
            <w:tcW w:w="9180" w:type="dxa"/>
            <w:vAlign w:val="bottom"/>
          </w:tcPr>
          <w:p>
            <w:pPr>
              <w:ind w:left="100"/>
              <w:spacing w:after="0"/>
              <w:rPr>
                <w:rFonts w:ascii="Arial" w:cs="Arial" w:eastAsia="Arial" w:hAnsi="Arial"/>
                <w:sz w:val="17"/>
                <w:szCs w:val="17"/>
                <w:color w:val="auto"/>
              </w:rPr>
            </w:pPr>
            <w:hyperlink w:anchor="page106">
              <w:r>
                <w:rPr>
                  <w:rFonts w:ascii="Arial" w:cs="Arial" w:eastAsia="Arial" w:hAnsi="Arial"/>
                  <w:sz w:val="17"/>
                  <w:szCs w:val="17"/>
                  <w:color w:val="auto"/>
                </w:rPr>
                <w:t>Quantitative and Qualitative Disclosures About Market Risk</w:t>
              </w:r>
            </w:hyperlink>
          </w:p>
        </w:tc>
        <w:tc>
          <w:tcPr>
            <w:tcW w:w="640" w:type="dxa"/>
            <w:vAlign w:val="bottom"/>
          </w:tcPr>
          <w:p>
            <w:pPr>
              <w:jc w:val="right"/>
              <w:spacing w:after="0"/>
              <w:rPr>
                <w:rFonts w:ascii="Arial" w:cs="Arial" w:eastAsia="Arial" w:hAnsi="Arial"/>
                <w:sz w:val="17"/>
                <w:szCs w:val="17"/>
                <w:color w:val="auto"/>
              </w:rPr>
            </w:pPr>
            <w:hyperlink w:anchor="page106">
              <w:r>
                <w:rPr>
                  <w:rFonts w:ascii="Arial" w:cs="Arial" w:eastAsia="Arial" w:hAnsi="Arial"/>
                  <w:sz w:val="17"/>
                  <w:szCs w:val="17"/>
                  <w:color w:val="auto"/>
                </w:rPr>
                <w:t>101</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8.</w:t>
            </w:r>
          </w:p>
        </w:tc>
        <w:tc>
          <w:tcPr>
            <w:tcW w:w="9180" w:type="dxa"/>
            <w:vAlign w:val="bottom"/>
          </w:tcPr>
          <w:p>
            <w:pPr>
              <w:ind w:left="100"/>
              <w:spacing w:after="0"/>
              <w:rPr>
                <w:rFonts w:ascii="Arial" w:cs="Arial" w:eastAsia="Arial" w:hAnsi="Arial"/>
                <w:sz w:val="17"/>
                <w:szCs w:val="17"/>
                <w:color w:val="auto"/>
              </w:rPr>
            </w:pPr>
            <w:hyperlink w:anchor="page112">
              <w:r>
                <w:rPr>
                  <w:rFonts w:ascii="Arial" w:cs="Arial" w:eastAsia="Arial" w:hAnsi="Arial"/>
                  <w:sz w:val="17"/>
                  <w:szCs w:val="17"/>
                  <w:color w:val="auto"/>
                </w:rPr>
                <w:t>Financial Statements and Supplementary Data Consolidated Financial Statements</w:t>
              </w:r>
            </w:hyperlink>
          </w:p>
        </w:tc>
        <w:tc>
          <w:tcPr>
            <w:tcW w:w="640" w:type="dxa"/>
            <w:vAlign w:val="bottom"/>
          </w:tcPr>
          <w:p>
            <w:pPr>
              <w:jc w:val="right"/>
              <w:spacing w:after="0"/>
              <w:rPr>
                <w:rFonts w:ascii="Arial" w:cs="Arial" w:eastAsia="Arial" w:hAnsi="Arial"/>
                <w:sz w:val="17"/>
                <w:szCs w:val="17"/>
                <w:color w:val="auto"/>
              </w:rPr>
            </w:pPr>
            <w:hyperlink w:anchor="page106">
              <w:r>
                <w:rPr>
                  <w:rFonts w:ascii="Arial" w:cs="Arial" w:eastAsia="Arial" w:hAnsi="Arial"/>
                  <w:sz w:val="17"/>
                  <w:szCs w:val="17"/>
                  <w:color w:val="auto"/>
                </w:rPr>
                <w:t>102</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9.</w:t>
            </w:r>
          </w:p>
        </w:tc>
        <w:tc>
          <w:tcPr>
            <w:tcW w:w="9180" w:type="dxa"/>
            <w:vAlign w:val="bottom"/>
          </w:tcPr>
          <w:p>
            <w:pPr>
              <w:ind w:left="100"/>
              <w:spacing w:after="0"/>
              <w:rPr>
                <w:rFonts w:ascii="Arial" w:cs="Arial" w:eastAsia="Arial" w:hAnsi="Arial"/>
                <w:sz w:val="17"/>
                <w:szCs w:val="17"/>
                <w:color w:val="auto"/>
              </w:rPr>
            </w:pPr>
            <w:hyperlink w:anchor="page107">
              <w:r>
                <w:rPr>
                  <w:rFonts w:ascii="Arial" w:cs="Arial" w:eastAsia="Arial" w:hAnsi="Arial"/>
                  <w:sz w:val="17"/>
                  <w:szCs w:val="17"/>
                  <w:color w:val="auto"/>
                </w:rPr>
                <w:t>Changes in and Disagreements With Accountants on Accounting and Financial Disclosure</w:t>
              </w:r>
            </w:hyperlink>
          </w:p>
        </w:tc>
        <w:tc>
          <w:tcPr>
            <w:tcW w:w="640" w:type="dxa"/>
            <w:vAlign w:val="bottom"/>
          </w:tcPr>
          <w:p>
            <w:pPr>
              <w:jc w:val="right"/>
              <w:spacing w:after="0"/>
              <w:rPr>
                <w:rFonts w:ascii="Arial" w:cs="Arial" w:eastAsia="Arial" w:hAnsi="Arial"/>
                <w:sz w:val="17"/>
                <w:szCs w:val="17"/>
                <w:color w:val="auto"/>
              </w:rPr>
            </w:pPr>
            <w:hyperlink w:anchor="page107">
              <w:r>
                <w:rPr>
                  <w:rFonts w:ascii="Arial" w:cs="Arial" w:eastAsia="Arial" w:hAnsi="Arial"/>
                  <w:sz w:val="17"/>
                  <w:szCs w:val="17"/>
                  <w:color w:val="auto"/>
                </w:rPr>
                <w:t>102</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9A.</w:t>
            </w:r>
          </w:p>
        </w:tc>
        <w:tc>
          <w:tcPr>
            <w:tcW w:w="9180" w:type="dxa"/>
            <w:vAlign w:val="bottom"/>
          </w:tcPr>
          <w:p>
            <w:pPr>
              <w:ind w:left="100"/>
              <w:spacing w:after="0"/>
              <w:rPr>
                <w:rFonts w:ascii="Arial" w:cs="Arial" w:eastAsia="Arial" w:hAnsi="Arial"/>
                <w:sz w:val="17"/>
                <w:szCs w:val="17"/>
                <w:color w:val="auto"/>
              </w:rPr>
            </w:pPr>
            <w:hyperlink w:anchor="page107">
              <w:r>
                <w:rPr>
                  <w:rFonts w:ascii="Arial" w:cs="Arial" w:eastAsia="Arial" w:hAnsi="Arial"/>
                  <w:sz w:val="17"/>
                  <w:szCs w:val="17"/>
                  <w:color w:val="auto"/>
                </w:rPr>
                <w:t>Controls and Procedures</w:t>
              </w:r>
            </w:hyperlink>
          </w:p>
        </w:tc>
        <w:tc>
          <w:tcPr>
            <w:tcW w:w="640" w:type="dxa"/>
            <w:vAlign w:val="bottom"/>
          </w:tcPr>
          <w:p>
            <w:pPr>
              <w:jc w:val="right"/>
              <w:spacing w:after="0"/>
              <w:rPr>
                <w:rFonts w:ascii="Arial" w:cs="Arial" w:eastAsia="Arial" w:hAnsi="Arial"/>
                <w:sz w:val="17"/>
                <w:szCs w:val="17"/>
                <w:color w:val="auto"/>
              </w:rPr>
            </w:pPr>
            <w:hyperlink w:anchor="page107">
              <w:r>
                <w:rPr>
                  <w:rFonts w:ascii="Arial" w:cs="Arial" w:eastAsia="Arial" w:hAnsi="Arial"/>
                  <w:sz w:val="17"/>
                  <w:szCs w:val="17"/>
                  <w:color w:val="auto"/>
                </w:rPr>
                <w:t>102</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9B.</w:t>
            </w:r>
          </w:p>
        </w:tc>
        <w:tc>
          <w:tcPr>
            <w:tcW w:w="9180" w:type="dxa"/>
            <w:vAlign w:val="bottom"/>
          </w:tcPr>
          <w:p>
            <w:pPr>
              <w:ind w:left="100"/>
              <w:spacing w:after="0"/>
              <w:rPr>
                <w:rFonts w:ascii="Arial" w:cs="Arial" w:eastAsia="Arial" w:hAnsi="Arial"/>
                <w:sz w:val="17"/>
                <w:szCs w:val="17"/>
                <w:color w:val="auto"/>
              </w:rPr>
            </w:pPr>
            <w:hyperlink w:anchor="page108">
              <w:r>
                <w:rPr>
                  <w:rFonts w:ascii="Arial" w:cs="Arial" w:eastAsia="Arial" w:hAnsi="Arial"/>
                  <w:sz w:val="17"/>
                  <w:szCs w:val="17"/>
                  <w:color w:val="auto"/>
                </w:rPr>
                <w:t>Other Information</w:t>
              </w:r>
            </w:hyperlink>
          </w:p>
        </w:tc>
        <w:tc>
          <w:tcPr>
            <w:tcW w:w="640" w:type="dxa"/>
            <w:vAlign w:val="bottom"/>
          </w:tcPr>
          <w:p>
            <w:pPr>
              <w:jc w:val="right"/>
              <w:spacing w:after="0"/>
              <w:rPr>
                <w:rFonts w:ascii="Arial" w:cs="Arial" w:eastAsia="Arial" w:hAnsi="Arial"/>
                <w:sz w:val="17"/>
                <w:szCs w:val="17"/>
                <w:color w:val="auto"/>
              </w:rPr>
            </w:pPr>
            <w:hyperlink w:anchor="page108">
              <w:r>
                <w:rPr>
                  <w:rFonts w:ascii="Arial" w:cs="Arial" w:eastAsia="Arial" w:hAnsi="Arial"/>
                  <w:sz w:val="17"/>
                  <w:szCs w:val="17"/>
                  <w:color w:val="auto"/>
                </w:rPr>
                <w:t>103</w:t>
              </w:r>
            </w:hyperlink>
          </w:p>
        </w:tc>
        <w:tc>
          <w:tcPr>
            <w:tcW w:w="0" w:type="dxa"/>
            <w:vAlign w:val="bottom"/>
          </w:tcPr>
          <w:p>
            <w:pPr>
              <w:spacing w:after="0"/>
              <w:rPr>
                <w:sz w:val="1"/>
                <w:szCs w:val="1"/>
                <w:color w:val="auto"/>
              </w:rPr>
            </w:pPr>
          </w:p>
        </w:tc>
      </w:tr>
      <w:tr>
        <w:trPr>
          <w:trHeight w:val="242"/>
        </w:trPr>
        <w:tc>
          <w:tcPr>
            <w:tcW w:w="940" w:type="dxa"/>
            <w:vAlign w:val="bottom"/>
          </w:tcPr>
          <w:p>
            <w:pPr>
              <w:ind w:left="20"/>
              <w:spacing w:after="0"/>
              <w:rPr>
                <w:sz w:val="20"/>
                <w:szCs w:val="20"/>
                <w:color w:val="auto"/>
              </w:rPr>
            </w:pPr>
            <w:r>
              <w:rPr>
                <w:rFonts w:ascii="Arial" w:cs="Arial" w:eastAsia="Arial" w:hAnsi="Arial"/>
                <w:sz w:val="17"/>
                <w:szCs w:val="17"/>
                <w:color w:val="auto"/>
              </w:rPr>
              <w:t>Item 9C.</w:t>
            </w:r>
          </w:p>
        </w:tc>
        <w:tc>
          <w:tcPr>
            <w:tcW w:w="9180" w:type="dxa"/>
            <w:vAlign w:val="bottom"/>
          </w:tcPr>
          <w:p>
            <w:pPr>
              <w:ind w:left="100"/>
              <w:spacing w:after="0"/>
              <w:rPr>
                <w:sz w:val="20"/>
                <w:szCs w:val="20"/>
                <w:color w:val="auto"/>
              </w:rPr>
            </w:pPr>
            <w:r>
              <w:rPr>
                <w:rFonts w:ascii="Arial" w:cs="Arial" w:eastAsia="Arial" w:hAnsi="Arial"/>
                <w:sz w:val="17"/>
                <w:szCs w:val="17"/>
                <w:color w:val="auto"/>
              </w:rPr>
              <w:t>Disclosure Regarding Foreign Jurisdictions that Prevent Inspections</w:t>
            </w:r>
          </w:p>
        </w:tc>
        <w:tc>
          <w:tcPr>
            <w:tcW w:w="640" w:type="dxa"/>
            <w:vAlign w:val="bottom"/>
          </w:tcPr>
          <w:p>
            <w:pPr>
              <w:jc w:val="right"/>
              <w:spacing w:after="0"/>
              <w:rPr>
                <w:rFonts w:ascii="Arial" w:cs="Arial" w:eastAsia="Arial" w:hAnsi="Arial"/>
                <w:sz w:val="17"/>
                <w:szCs w:val="17"/>
                <w:color w:val="auto"/>
              </w:rPr>
            </w:pPr>
            <w:hyperlink w:anchor="page108">
              <w:r>
                <w:rPr>
                  <w:rFonts w:ascii="Arial" w:cs="Arial" w:eastAsia="Arial" w:hAnsi="Arial"/>
                  <w:sz w:val="17"/>
                  <w:szCs w:val="17"/>
                  <w:color w:val="auto"/>
                </w:rPr>
                <w:t>103</w:t>
              </w:r>
            </w:hyperlink>
          </w:p>
        </w:tc>
        <w:tc>
          <w:tcPr>
            <w:tcW w:w="0" w:type="dxa"/>
            <w:vAlign w:val="bottom"/>
          </w:tcPr>
          <w:p>
            <w:pPr>
              <w:spacing w:after="0"/>
              <w:rPr>
                <w:sz w:val="1"/>
                <w:szCs w:val="1"/>
                <w:color w:val="auto"/>
              </w:rPr>
            </w:pPr>
          </w:p>
        </w:tc>
      </w:tr>
      <w:tr>
        <w:trPr>
          <w:trHeight w:val="470"/>
        </w:trPr>
        <w:tc>
          <w:tcPr>
            <w:tcW w:w="940" w:type="dxa"/>
            <w:vAlign w:val="bottom"/>
          </w:tcPr>
          <w:p>
            <w:pPr>
              <w:ind w:left="20"/>
              <w:spacing w:after="0"/>
              <w:rPr>
                <w:sz w:val="20"/>
                <w:szCs w:val="20"/>
                <w:color w:val="auto"/>
              </w:rPr>
            </w:pPr>
            <w:r>
              <w:rPr>
                <w:rFonts w:ascii="Arial" w:cs="Arial" w:eastAsia="Arial" w:hAnsi="Arial"/>
                <w:sz w:val="17"/>
                <w:szCs w:val="17"/>
                <w:b w:val="1"/>
                <w:bCs w:val="1"/>
                <w:color w:val="auto"/>
              </w:rPr>
              <w:t>PART III.</w:t>
            </w:r>
          </w:p>
        </w:tc>
        <w:tc>
          <w:tcPr>
            <w:tcW w:w="9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10.</w:t>
            </w:r>
          </w:p>
        </w:tc>
        <w:tc>
          <w:tcPr>
            <w:tcW w:w="9180" w:type="dxa"/>
            <w:vAlign w:val="bottom"/>
          </w:tcPr>
          <w:p>
            <w:pPr>
              <w:ind w:left="100"/>
              <w:spacing w:after="0"/>
              <w:rPr>
                <w:sz w:val="20"/>
                <w:szCs w:val="20"/>
                <w:color w:val="auto"/>
              </w:rPr>
            </w:pPr>
            <w:r>
              <w:rPr>
                <w:rFonts w:ascii="Arial" w:cs="Arial" w:eastAsia="Arial" w:hAnsi="Arial"/>
                <w:sz w:val="17"/>
                <w:szCs w:val="17"/>
                <w:color w:val="auto"/>
              </w:rPr>
              <w:t>Directors, Executive Officers and Corporate Governance</w:t>
            </w:r>
          </w:p>
        </w:tc>
        <w:tc>
          <w:tcPr>
            <w:tcW w:w="640" w:type="dxa"/>
            <w:vAlign w:val="bottom"/>
          </w:tcPr>
          <w:p>
            <w:pPr>
              <w:jc w:val="right"/>
              <w:spacing w:after="0"/>
              <w:rPr>
                <w:rFonts w:ascii="Arial" w:cs="Arial" w:eastAsia="Arial" w:hAnsi="Arial"/>
                <w:sz w:val="17"/>
                <w:szCs w:val="17"/>
                <w:color w:val="auto"/>
              </w:rPr>
            </w:pPr>
            <w:hyperlink w:anchor="page108">
              <w:r>
                <w:rPr>
                  <w:rFonts w:ascii="Arial" w:cs="Arial" w:eastAsia="Arial" w:hAnsi="Arial"/>
                  <w:sz w:val="17"/>
                  <w:szCs w:val="17"/>
                  <w:color w:val="auto"/>
                </w:rPr>
                <w:t>103</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11.</w:t>
            </w:r>
          </w:p>
        </w:tc>
        <w:tc>
          <w:tcPr>
            <w:tcW w:w="9180" w:type="dxa"/>
            <w:vAlign w:val="bottom"/>
          </w:tcPr>
          <w:p>
            <w:pPr>
              <w:ind w:left="100"/>
              <w:spacing w:after="0"/>
              <w:rPr>
                <w:sz w:val="20"/>
                <w:szCs w:val="20"/>
                <w:color w:val="auto"/>
              </w:rPr>
            </w:pPr>
            <w:r>
              <w:rPr>
                <w:rFonts w:ascii="Arial" w:cs="Arial" w:eastAsia="Arial" w:hAnsi="Arial"/>
                <w:sz w:val="17"/>
                <w:szCs w:val="17"/>
                <w:color w:val="auto"/>
              </w:rPr>
              <w:t>Executive Compensation</w:t>
            </w:r>
          </w:p>
        </w:tc>
        <w:tc>
          <w:tcPr>
            <w:tcW w:w="640" w:type="dxa"/>
            <w:vAlign w:val="bottom"/>
          </w:tcPr>
          <w:p>
            <w:pPr>
              <w:jc w:val="right"/>
              <w:spacing w:after="0"/>
              <w:rPr>
                <w:rFonts w:ascii="Arial" w:cs="Arial" w:eastAsia="Arial" w:hAnsi="Arial"/>
                <w:sz w:val="17"/>
                <w:szCs w:val="17"/>
                <w:color w:val="auto"/>
              </w:rPr>
            </w:pPr>
            <w:hyperlink w:anchor="page108">
              <w:r>
                <w:rPr>
                  <w:rFonts w:ascii="Arial" w:cs="Arial" w:eastAsia="Arial" w:hAnsi="Arial"/>
                  <w:sz w:val="17"/>
                  <w:szCs w:val="17"/>
                  <w:color w:val="auto"/>
                </w:rPr>
                <w:t>103</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12.</w:t>
            </w:r>
          </w:p>
        </w:tc>
        <w:tc>
          <w:tcPr>
            <w:tcW w:w="9180" w:type="dxa"/>
            <w:vAlign w:val="bottom"/>
          </w:tcPr>
          <w:p>
            <w:pPr>
              <w:ind w:left="10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640" w:type="dxa"/>
            <w:vAlign w:val="bottom"/>
          </w:tcPr>
          <w:p>
            <w:pPr>
              <w:jc w:val="right"/>
              <w:spacing w:after="0"/>
              <w:rPr>
                <w:rFonts w:ascii="Arial" w:cs="Arial" w:eastAsia="Arial" w:hAnsi="Arial"/>
                <w:sz w:val="17"/>
                <w:szCs w:val="17"/>
                <w:color w:val="auto"/>
              </w:rPr>
            </w:pPr>
            <w:hyperlink w:anchor="page108">
              <w:r>
                <w:rPr>
                  <w:rFonts w:ascii="Arial" w:cs="Arial" w:eastAsia="Arial" w:hAnsi="Arial"/>
                  <w:sz w:val="17"/>
                  <w:szCs w:val="17"/>
                  <w:color w:val="auto"/>
                </w:rPr>
                <w:t>103</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13.</w:t>
            </w:r>
          </w:p>
        </w:tc>
        <w:tc>
          <w:tcPr>
            <w:tcW w:w="9180" w:type="dxa"/>
            <w:vAlign w:val="bottom"/>
          </w:tcPr>
          <w:p>
            <w:pPr>
              <w:ind w:left="10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640" w:type="dxa"/>
            <w:vAlign w:val="bottom"/>
          </w:tcPr>
          <w:p>
            <w:pPr>
              <w:jc w:val="right"/>
              <w:spacing w:after="0"/>
              <w:rPr>
                <w:rFonts w:ascii="Arial" w:cs="Arial" w:eastAsia="Arial" w:hAnsi="Arial"/>
                <w:sz w:val="17"/>
                <w:szCs w:val="17"/>
                <w:color w:val="auto"/>
              </w:rPr>
            </w:pPr>
            <w:hyperlink w:anchor="page108">
              <w:r>
                <w:rPr>
                  <w:rFonts w:ascii="Arial" w:cs="Arial" w:eastAsia="Arial" w:hAnsi="Arial"/>
                  <w:sz w:val="17"/>
                  <w:szCs w:val="17"/>
                  <w:color w:val="auto"/>
                </w:rPr>
                <w:t>103</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14.</w:t>
            </w:r>
          </w:p>
        </w:tc>
        <w:tc>
          <w:tcPr>
            <w:tcW w:w="9180" w:type="dxa"/>
            <w:vAlign w:val="bottom"/>
          </w:tcPr>
          <w:p>
            <w:pPr>
              <w:ind w:left="100"/>
              <w:spacing w:after="0"/>
              <w:rPr>
                <w:sz w:val="20"/>
                <w:szCs w:val="20"/>
                <w:color w:val="auto"/>
              </w:rPr>
            </w:pPr>
            <w:r>
              <w:rPr>
                <w:rFonts w:ascii="Arial" w:cs="Arial" w:eastAsia="Arial" w:hAnsi="Arial"/>
                <w:sz w:val="17"/>
                <w:szCs w:val="17"/>
                <w:color w:val="auto"/>
              </w:rPr>
              <w:t>Principal Accounting Fees and Services</w:t>
            </w:r>
          </w:p>
        </w:tc>
        <w:tc>
          <w:tcPr>
            <w:tcW w:w="640" w:type="dxa"/>
            <w:vAlign w:val="bottom"/>
          </w:tcPr>
          <w:p>
            <w:pPr>
              <w:jc w:val="right"/>
              <w:spacing w:after="0"/>
              <w:rPr>
                <w:rFonts w:ascii="Arial" w:cs="Arial" w:eastAsia="Arial" w:hAnsi="Arial"/>
                <w:sz w:val="17"/>
                <w:szCs w:val="17"/>
                <w:color w:val="auto"/>
              </w:rPr>
            </w:pPr>
            <w:hyperlink w:anchor="page108">
              <w:r>
                <w:rPr>
                  <w:rFonts w:ascii="Arial" w:cs="Arial" w:eastAsia="Arial" w:hAnsi="Arial"/>
                  <w:sz w:val="17"/>
                  <w:szCs w:val="17"/>
                  <w:color w:val="auto"/>
                </w:rPr>
                <w:t>103</w:t>
              </w:r>
            </w:hyperlink>
          </w:p>
        </w:tc>
        <w:tc>
          <w:tcPr>
            <w:tcW w:w="0" w:type="dxa"/>
            <w:vAlign w:val="bottom"/>
          </w:tcPr>
          <w:p>
            <w:pPr>
              <w:spacing w:after="0"/>
              <w:rPr>
                <w:sz w:val="1"/>
                <w:szCs w:val="1"/>
                <w:color w:val="auto"/>
              </w:rPr>
            </w:pPr>
          </w:p>
        </w:tc>
      </w:tr>
      <w:tr>
        <w:trPr>
          <w:trHeight w:val="470"/>
        </w:trPr>
        <w:tc>
          <w:tcPr>
            <w:tcW w:w="940" w:type="dxa"/>
            <w:vAlign w:val="bottom"/>
          </w:tcPr>
          <w:p>
            <w:pPr>
              <w:ind w:left="20"/>
              <w:spacing w:after="0"/>
              <w:rPr>
                <w:sz w:val="20"/>
                <w:szCs w:val="20"/>
                <w:color w:val="auto"/>
              </w:rPr>
            </w:pPr>
            <w:r>
              <w:rPr>
                <w:rFonts w:ascii="Arial" w:cs="Arial" w:eastAsia="Arial" w:hAnsi="Arial"/>
                <w:sz w:val="17"/>
                <w:szCs w:val="17"/>
                <w:b w:val="1"/>
                <w:bCs w:val="1"/>
                <w:color w:val="auto"/>
              </w:rPr>
              <w:t>PART IV.</w:t>
            </w:r>
          </w:p>
        </w:tc>
        <w:tc>
          <w:tcPr>
            <w:tcW w:w="9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15.</w:t>
            </w:r>
          </w:p>
        </w:tc>
        <w:tc>
          <w:tcPr>
            <w:tcW w:w="9180" w:type="dxa"/>
            <w:vAlign w:val="bottom"/>
          </w:tcPr>
          <w:p>
            <w:pPr>
              <w:ind w:left="100"/>
              <w:spacing w:after="0"/>
              <w:rPr>
                <w:rFonts w:ascii="Arial" w:cs="Arial" w:eastAsia="Arial" w:hAnsi="Arial"/>
                <w:sz w:val="17"/>
                <w:szCs w:val="17"/>
                <w:color w:val="auto"/>
              </w:rPr>
            </w:pPr>
            <w:hyperlink w:anchor="page109">
              <w:r>
                <w:rPr>
                  <w:rFonts w:ascii="Arial" w:cs="Arial" w:eastAsia="Arial" w:hAnsi="Arial"/>
                  <w:sz w:val="17"/>
                  <w:szCs w:val="17"/>
                  <w:color w:val="auto"/>
                </w:rPr>
                <w:t>Exhibits, Financial Statement Schedules</w:t>
              </w:r>
            </w:hyperlink>
          </w:p>
        </w:tc>
        <w:tc>
          <w:tcPr>
            <w:tcW w:w="640" w:type="dxa"/>
            <w:vAlign w:val="bottom"/>
          </w:tcPr>
          <w:p>
            <w:pPr>
              <w:jc w:val="right"/>
              <w:spacing w:after="0"/>
              <w:rPr>
                <w:rFonts w:ascii="Arial" w:cs="Arial" w:eastAsia="Arial" w:hAnsi="Arial"/>
                <w:sz w:val="17"/>
                <w:szCs w:val="17"/>
                <w:color w:val="auto"/>
              </w:rPr>
            </w:pPr>
            <w:hyperlink w:anchor="page109">
              <w:r>
                <w:rPr>
                  <w:rFonts w:ascii="Arial" w:cs="Arial" w:eastAsia="Arial" w:hAnsi="Arial"/>
                  <w:sz w:val="17"/>
                  <w:szCs w:val="17"/>
                  <w:color w:val="auto"/>
                </w:rPr>
                <w:t>104</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sz w:val="20"/>
                <w:szCs w:val="20"/>
                <w:color w:val="auto"/>
              </w:rPr>
            </w:pPr>
            <w:r>
              <w:rPr>
                <w:rFonts w:ascii="Arial" w:cs="Arial" w:eastAsia="Arial" w:hAnsi="Arial"/>
                <w:sz w:val="17"/>
                <w:szCs w:val="17"/>
                <w:color w:val="auto"/>
              </w:rPr>
              <w:t>Item 16.</w:t>
            </w:r>
          </w:p>
        </w:tc>
        <w:tc>
          <w:tcPr>
            <w:tcW w:w="9180" w:type="dxa"/>
            <w:vAlign w:val="bottom"/>
          </w:tcPr>
          <w:p>
            <w:pPr>
              <w:ind w:left="100"/>
              <w:spacing w:after="0"/>
              <w:rPr>
                <w:rFonts w:ascii="Arial" w:cs="Arial" w:eastAsia="Arial" w:hAnsi="Arial"/>
                <w:sz w:val="17"/>
                <w:szCs w:val="17"/>
                <w:color w:val="auto"/>
              </w:rPr>
            </w:pPr>
            <w:hyperlink w:anchor="page111">
              <w:r>
                <w:rPr>
                  <w:rFonts w:ascii="Arial" w:cs="Arial" w:eastAsia="Arial" w:hAnsi="Arial"/>
                  <w:sz w:val="17"/>
                  <w:szCs w:val="17"/>
                  <w:color w:val="auto"/>
                </w:rPr>
                <w:t>Form 10-K Summary</w:t>
              </w:r>
            </w:hyperlink>
          </w:p>
        </w:tc>
        <w:tc>
          <w:tcPr>
            <w:tcW w:w="640" w:type="dxa"/>
            <w:vAlign w:val="bottom"/>
          </w:tcPr>
          <w:p>
            <w:pPr>
              <w:jc w:val="right"/>
              <w:spacing w:after="0"/>
              <w:rPr>
                <w:rFonts w:ascii="Arial" w:cs="Arial" w:eastAsia="Arial" w:hAnsi="Arial"/>
                <w:sz w:val="17"/>
                <w:szCs w:val="17"/>
                <w:color w:val="auto"/>
              </w:rPr>
            </w:pPr>
            <w:hyperlink w:anchor="page111">
              <w:r>
                <w:rPr>
                  <w:rFonts w:ascii="Arial" w:cs="Arial" w:eastAsia="Arial" w:hAnsi="Arial"/>
                  <w:sz w:val="17"/>
                  <w:szCs w:val="17"/>
                  <w:color w:val="auto"/>
                </w:rPr>
                <w:t>106</w:t>
              </w:r>
            </w:hyperlink>
          </w:p>
        </w:tc>
        <w:tc>
          <w:tcPr>
            <w:tcW w:w="0" w:type="dxa"/>
            <w:vAlign w:val="bottom"/>
          </w:tcPr>
          <w:p>
            <w:pPr>
              <w:spacing w:after="0"/>
              <w:rPr>
                <w:sz w:val="1"/>
                <w:szCs w:val="1"/>
                <w:color w:val="auto"/>
              </w:rPr>
            </w:pPr>
          </w:p>
        </w:tc>
      </w:tr>
      <w:tr>
        <w:trPr>
          <w:trHeight w:val="215"/>
        </w:trPr>
        <w:tc>
          <w:tcPr>
            <w:tcW w:w="940" w:type="dxa"/>
            <w:vAlign w:val="bottom"/>
          </w:tcPr>
          <w:p>
            <w:pPr>
              <w:ind w:left="20"/>
              <w:spacing w:after="0"/>
              <w:rPr>
                <w:rFonts w:ascii="Arial" w:cs="Arial" w:eastAsia="Arial" w:hAnsi="Arial"/>
                <w:sz w:val="17"/>
                <w:szCs w:val="17"/>
                <w:color w:val="auto"/>
              </w:rPr>
            </w:pPr>
            <w:hyperlink w:anchor="page111">
              <w:r>
                <w:rPr>
                  <w:rFonts w:ascii="Arial" w:cs="Arial" w:eastAsia="Arial" w:hAnsi="Arial"/>
                  <w:sz w:val="17"/>
                  <w:szCs w:val="17"/>
                  <w:color w:val="auto"/>
                </w:rPr>
                <w:t>Signatures</w:t>
              </w:r>
            </w:hyperlink>
          </w:p>
        </w:tc>
        <w:tc>
          <w:tcPr>
            <w:tcW w:w="9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rFonts w:ascii="Arial" w:cs="Arial" w:eastAsia="Arial" w:hAnsi="Arial"/>
          <w:sz w:val="17"/>
          <w:szCs w:val="17"/>
          <w:color w:val="auto"/>
        </w:rPr>
      </w:pPr>
      <w:hyperlink w:anchor="page112">
        <w:r>
          <w:rPr>
            <w:rFonts w:ascii="Arial" w:cs="Arial" w:eastAsia="Arial" w:hAnsi="Arial"/>
            <w:sz w:val="17"/>
            <w:szCs w:val="17"/>
            <w:color w:val="auto"/>
          </w:rPr>
          <w:t>Consolidated Financial Statements</w:t>
        </w:r>
      </w:hyperlink>
    </w:p>
    <w:p>
      <w:pPr>
        <w:spacing w:after="0" w:line="6" w:lineRule="exact"/>
        <w:rPr>
          <w:sz w:val="20"/>
          <w:szCs w:val="20"/>
          <w:color w:val="auto"/>
        </w:rPr>
      </w:pPr>
    </w:p>
    <w:p>
      <w:pPr>
        <w:ind w:left="10480"/>
        <w:spacing w:after="0"/>
        <w:rPr>
          <w:rFonts w:ascii="Arial" w:cs="Arial" w:eastAsia="Arial" w:hAnsi="Arial"/>
          <w:sz w:val="17"/>
          <w:szCs w:val="17"/>
          <w:color w:val="auto"/>
        </w:rPr>
      </w:pPr>
      <w:r>
        <w:rPr>
          <w:rFonts w:ascii="Arial" w:cs="Arial" w:eastAsia="Arial" w:hAnsi="Arial"/>
          <w:sz w:val="17"/>
          <w:szCs w:val="17"/>
          <w:color w:val="auto"/>
        </w:rPr>
        <w:t>F-</w:t>
      </w:r>
      <w:hyperlink w:anchor="page112">
        <w:r>
          <w:rPr>
            <w:rFonts w:ascii="Arial" w:cs="Arial" w:eastAsia="Arial" w:hAnsi="Arial"/>
            <w:sz w:val="17"/>
            <w:szCs w:val="17"/>
            <w:color w:val="auto"/>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6826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60"/>
          </w:cols>
          <w:pgMar w:left="320" w:top="855" w:right="81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8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All statements other than statements of historical facts contained in this Annual Report on Form 10-K are forward-looking statements, including statements about:</w:t>
      </w:r>
    </w:p>
    <w:p>
      <w:pPr>
        <w:spacing w:after="0" w:line="149" w:lineRule="exact"/>
        <w:rPr>
          <w:sz w:val="20"/>
          <w:szCs w:val="20"/>
          <w:color w:val="auto"/>
        </w:rPr>
      </w:pPr>
    </w:p>
    <w:p>
      <w:pPr>
        <w:ind w:left="660" w:right="60" w:hanging="331"/>
        <w:spacing w:after="0" w:line="247"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of announcement of additional data for our ongoing Phase 2 clinical trial for our lead protein therapeutic product candidate, KER-050, in patients with myelodysplastic syndromes;</w:t>
      </w: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of announcement of data for our Phase 2 clinical trial for KER-050 in patients with myelofibrosis-associated cytopenias;</w:t>
      </w:r>
    </w:p>
    <w:p>
      <w:pPr>
        <w:spacing w:after="0" w:line="5" w:lineRule="exact"/>
        <w:rPr>
          <w:rFonts w:ascii="Arial" w:cs="Arial" w:eastAsia="Arial" w:hAnsi="Arial"/>
          <w:sz w:val="17"/>
          <w:szCs w:val="17"/>
          <w:color w:val="auto"/>
        </w:rPr>
      </w:pPr>
    </w:p>
    <w:p>
      <w:pPr>
        <w:ind w:left="660" w:right="180" w:hanging="331"/>
        <w:spacing w:after="0" w:line="247"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of initiation of and announcement of data for our two Phase 2 clinical trials for our lead small molecule product candidate, KER-047;</w:t>
      </w: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timing of announcement of data for our ongoing Phase 1 clinical trial for our third product candidate, KER-012;</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associated with the COVID-19 pandemic, which may adversely impact our business, preclinical studies and clinical trials;</w:t>
      </w:r>
    </w:p>
    <w:p>
      <w:pPr>
        <w:spacing w:after="0" w:line="5" w:lineRule="exact"/>
        <w:rPr>
          <w:rFonts w:ascii="Arial" w:cs="Arial" w:eastAsia="Arial" w:hAnsi="Arial"/>
          <w:sz w:val="17"/>
          <w:szCs w:val="17"/>
          <w:color w:val="auto"/>
        </w:rPr>
      </w:pPr>
    </w:p>
    <w:p>
      <w:pPr>
        <w:ind w:left="660" w:right="40" w:hanging="331"/>
        <w:spacing w:after="0" w:line="247"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receive the required regulatory approvals and clearances to successfully market and sell our products in the United States and certain other countries;</w:t>
      </w: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successfully advance our pipeline of additional product candidates;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develop sales and marketing capabilities;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rate and degree of market acceptance of any products we are able to commercialize;</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effects of increased competition as well as innovations by new and existing competitors in our market;</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obtain funding for our operations;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establish and maintain collaborations;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effectively manage our anticipated growth;</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 rights and proprietary technologies;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operate our business without infringing the intellectual property rights and proprietary technology of third parties;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costs associated with defending intellectual property infringement, product liability and other claims;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regulatory developments in the United States, Australia, New Zealand and other foreign countries;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attract and retain qualified employees;</w:t>
      </w:r>
    </w:p>
    <w:p>
      <w:pPr>
        <w:spacing w:after="0" w:line="5" w:lineRule="exact"/>
        <w:rPr>
          <w:rFonts w:ascii="Arial" w:cs="Arial" w:eastAsia="Arial" w:hAnsi="Arial"/>
          <w:sz w:val="17"/>
          <w:szCs w:val="17"/>
          <w:color w:val="auto"/>
        </w:rPr>
      </w:pPr>
    </w:p>
    <w:p>
      <w:pPr>
        <w:ind w:left="660" w:right="60" w:hanging="331"/>
        <w:spacing w:after="0" w:line="247" w:lineRule="auto"/>
        <w:tabs>
          <w:tab w:leader="none" w:pos="652"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qualify as an emerging growth company under the Jumpstart Our Business Startups Act of 2012;</w:t>
      </w: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statements regarding future revenue, hiring plans, expenses, capital expenditures, capital requirements and stock performance;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future trading prices of our common stock and the impact of securities analysts’ reports on these prices.</w:t>
      </w:r>
    </w:p>
    <w:p>
      <w:pPr>
        <w:spacing w:after="0" w:line="200" w:lineRule="exact"/>
        <w:rPr>
          <w:sz w:val="20"/>
          <w:szCs w:val="20"/>
          <w:color w:val="auto"/>
        </w:rPr>
      </w:pPr>
    </w:p>
    <w:p>
      <w:pPr>
        <w:spacing w:after="0" w:line="222"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statements involve known and unknown risks, uncertainties and other factors that may cause our actual results, levels of activity, performance or achievements to be materially different from the information expressed or implied by these forward-looking statements.</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You should read the section titled “Risk Factors” set forth in Part I, Item 1A of this Annual Report on Form 10-K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You should read this Annual Report on Form 10-K, completely and with the understanding that our actual future results may be materially different from what we expect. We qualify all of our forward-looking statements by these cautionary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COMPANY REFERENCES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Throughout this Annual Report on Form 10-K, “Keros,” the “Company,” “we,” “us” and “our” refer to Keros Therapeutics, Inc. and its subsidiaries.</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855" w:right="439" w:bottom="1440" w:gutter="0" w:footer="0" w:header="0"/>
        </w:sectPr>
      </w:pPr>
    </w:p>
    <w:bookmarkStart w:id="4" w:name="page5"/>
    <w:bookmarkEnd w:id="4"/>
    <w:p>
      <w:pPr>
        <w:ind w:left="3740"/>
        <w:spacing w:after="0"/>
        <w:rPr>
          <w:sz w:val="20"/>
          <w:szCs w:val="20"/>
          <w:color w:val="auto"/>
        </w:rPr>
      </w:pPr>
      <w:r>
        <w:rPr>
          <w:rFonts w:ascii="Arial" w:cs="Arial" w:eastAsia="Arial" w:hAnsi="Arial"/>
          <w:sz w:val="18"/>
          <w:szCs w:val="18"/>
          <w:b w:val="1"/>
          <w:bCs w:val="1"/>
          <w:color w:val="auto"/>
        </w:rPr>
        <w:t>SPECIAL NOTE REGARDING TRADEMARKS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All trademarks, trade names and service marks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340"/>
          </w:cols>
          <w:pgMar w:left="320" w:top="855" w:right="1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hematological and musculoskeletal disorders with high unmet medical need. We are a leader in understanding the role of the transforming growth factor-beta, or TGF-ß, family of proteins, which are master regulators of red blood cell and platelet production as well as of the growth, repair and maintenance of muscle and bone. We have leveraged this understanding and developed a discovery approach to generate large and small molecules to address diseases of these tissues. Targeting TGF-ß signaling pathways has been clinically proven to elicit robust changes in blood cells, muscle and bone, which we believe provides a precedent and strong rationale for our strategy. Our lead protein therapeutic product candidate, KER-050, is being developed for the treatment of low blood cell counts, or cytopenias, including anemia and thrombocytopenia, in patients with myelodysplastic syndromes, or MDS, and in patients with myelofibrosis. We have initiated a Phase 2 clinical trial in patients with MDS and reported preliminary data from Part 1 of this trial most recently in December 2021. We expect to report additional data from this ongoing trial in mid-2022. We have also commenced a Phase 2 clinical trial in patients with myelofibrosis and expect to report initial data from this trial by the end of</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2022. Our lead small molecule product candidate, KER-047, is being developed for the treatment of anemia resulting from iron imbalance. We have completed our Phase 1 clinical trial of KER-047 and expect to commence two open-label Phase 2 clinical trials in the first half of 2022, one in patients with iron deficiency anemia, or IDA, and one in patients with iron-refractory iron deficiency anemia, or IRIDA. Our third product candidate, KER-012, is being developed for the treatment of pulmonary arterial hypertension, or PAH, and for the treatment of disorders associated with bone loss, such as osteoporosis and osteogenesis imperfecta. We have commenced a Phase 1 clinical trial of KER-012 in healthy volunteers and expect to report initial data from Part 1 of this trial in the second quarter of 2022. We believe KER-047 and KER-012 offer substantial opportunities for us to continue to apply our understanding of TGF-ß signaling pathways and expand our development programs in related hematological and musculoskeletal disorders with high unmet medical need.</w:t>
      </w:r>
    </w:p>
    <w:p>
      <w:pPr>
        <w:spacing w:after="0" w:line="16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KER-050 is an engineered ligand trap comprised of a modified ligand-binding domain of the TGF-ß receptor known as activin receptor type IIA, or ActRIIA, that is fused to the portion of the human antibody known as the Fc domain. KER-050 is designed to increase red blood cell and platelet production by inhibiting the signaling of a subset of the TGF-ß family of proteins to promote hematopoiesis. We believe KER-050 has the potential to provide benefit to patients suffering from red blood cell and platelet differentiation and maturation defects occurring across the spectrum from early through terminal stages of hematopoiesis, and consequently may be effective for many patients that have limited treatment options or are refractory to available therapies. Based on data from our completed Phase 1 clinical trial of KER-050 in healthy volunteers and from our preclinical studies, we believe KER-050 has a differentiated pharmacologic effect on red blood cells and platelets and has the potential to treat multiple cytopenias in diseases of ineffective hematopoiesis. In December 2021, we announced additional preliminary results from Cohorts 1, 2 and 3 of our ongoing Phase 2 clinical trial evaluating KER-050 for the treatment of anemia and thrombocytopenia in patients with very low-, low-, or intermediate-risk MDS. We expect to report additional data from this trial in mid-2022. Additionally, in December 2021, we commenced an open-label Phase 2 clinical trial evaluating KER-050 for the treatment of patients with myelofibrosis-associated cytopenias and expect to report initial data from this trial by the end of 2022.</w:t>
      </w:r>
    </w:p>
    <w:p>
      <w:pPr>
        <w:spacing w:after="0" w:line="16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KER-047 is designed to selectively and potently inhibit activin receptor-like kinase-2, or ALK2, a TGF-ß receptor. We believe that KER-047 has the potential to ameliorate excessive ALK2 signaling, which is directly implicated in anemias arising from iron imbalance. We are developing KER-047 for the treatment of anemia resulting from iron imbalance as a direct consequence of elevated ALK2 signaling, including our initial target, IRIDA. In December 2020, we reported topline data from our completed Phase 1 clinical trial of KER-047 in healthy volunteers. We expect to commence two open-label Phase 2 clinical trials in the first half of 2022, one in patients with IDA and one in patients with IRIDA, and expect to report initial data from both trials by the end of 2022.</w:t>
      </w:r>
    </w:p>
    <w:p>
      <w:pPr>
        <w:spacing w:after="0" w:line="15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KER-012 is designed to bind to and inhibit the signaling of TGF-ß ligands that suppress bone growth, including activin A and activin B, to potentially promote bone growth. We believe that KER-012 has the potential to increase the signaling of bone morphogenic protein, or BMP, pathways through this inhibition of activin A and activin B signaling, and consequently treat diseases such as PAH that are associated with reduced BMP signaling due to inactivating mutations in the BMP receptors. We are developing KER-012 for the treatment of PAH and for the treatment of disorders associated with bone loss, such as osteoporosis and osteogenesis imperfecta. In a rat model of PAH, a rodent version of KER-012, or RKER-012, reduced PAH-associated inflammation, fibrosis and vascular remodeling was observed. Furthermore, KER-012 did not increase red blood cell production in non-human primates, indicating a lack of a potential dose-limiting red blood cell side effect. Additionally, in a pulmonary arterial banding, or PAB, mouse model of right ventricle overload, mice receiving RKER-012 did not have the changes in cardiac function and tissue remodeling exhibited in the PAB mice that received vehicle. These data support that RKER-012 has a cardio-protective mechanism of action that could potentially provide benefit in diseases such as PAH and other cardiovascular diseases. In addition, rats receiving RKER-012 were protected from PAH-associated bone loss, which we believe demonstrates proof-of-mechanism of KER-012 for the treatment of PAH and bone loss. In September 2021, we commenced a Phase 1 clinical trial of KER-012 in healthy volunteers and expect to report initial data from Part 1 of this trial in the second quarter of 2022 and additional data from Part 2 of this trial in the second half of 2022.</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6" w:name="page7"/>
    <w:bookmarkEnd w:id="6"/>
    <w:p>
      <w:pPr>
        <w:spacing w:after="0" w:line="249" w:lineRule="auto"/>
        <w:rPr>
          <w:sz w:val="20"/>
          <w:szCs w:val="20"/>
          <w:color w:val="auto"/>
        </w:rPr>
      </w:pPr>
      <w:r>
        <w:rPr>
          <w:rFonts w:ascii="Arial" w:cs="Arial" w:eastAsia="Arial" w:hAnsi="Arial"/>
          <w:sz w:val="17"/>
          <w:szCs w:val="17"/>
          <w:color w:val="auto"/>
        </w:rPr>
        <w:t>Our strategy focuses on the role of members of the TGF-ß family of proteins in the development of blood cells, muscle and bone. Aged and damaged cells are routinely replaced by new cells in normally functioning organs. These new cells are derived from stem cells that have the ability to differentiate into cells with specialized function when appropriate signals are provided to maintain the homeostatic state of the tissue. Members of the TGF-ß family of proteins, including activins and bone morphogenetic proteins, or BMPs, provide the necessary signals for this process of self-renewal and repair.</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We seek to address the limitations of current therapeutic approaches to treating diseases whose manifestations are linked to dysfunction of TGF-</w:t>
      </w:r>
    </w:p>
    <w:p>
      <w:pPr>
        <w:spacing w:after="0" w:line="6" w:lineRule="exact"/>
        <w:rPr>
          <w:sz w:val="20"/>
          <w:szCs w:val="20"/>
          <w:color w:val="auto"/>
        </w:rPr>
      </w:pPr>
    </w:p>
    <w:p>
      <w:pPr>
        <w:ind w:left="160" w:hanging="153"/>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signaling pathways by:</w:t>
      </w:r>
    </w:p>
    <w:p>
      <w:pPr>
        <w:spacing w:after="0" w:line="180" w:lineRule="exact"/>
        <w:rPr>
          <w:rFonts w:ascii="Arial" w:cs="Arial" w:eastAsia="Arial" w:hAnsi="Arial"/>
          <w:sz w:val="17"/>
          <w:szCs w:val="17"/>
          <w:color w:val="auto"/>
        </w:rPr>
      </w:pPr>
    </w:p>
    <w:p>
      <w:pPr>
        <w:ind w:left="660" w:right="1140" w:hanging="331"/>
        <w:spacing w:after="0" w:line="247" w:lineRule="auto"/>
        <w:tabs>
          <w:tab w:leader="none" w:pos="653" w:val="left"/>
        </w:tabs>
        <w:numPr>
          <w:ilvl w:val="1"/>
          <w:numId w:val="3"/>
        </w:numPr>
        <w:rPr>
          <w:rFonts w:ascii="Arial" w:cs="Arial" w:eastAsia="Arial" w:hAnsi="Arial"/>
          <w:sz w:val="17"/>
          <w:szCs w:val="17"/>
          <w:color w:val="auto"/>
        </w:rPr>
      </w:pPr>
      <w:r>
        <w:rPr>
          <w:rFonts w:ascii="Arial" w:cs="Arial" w:eastAsia="Arial" w:hAnsi="Arial"/>
          <w:sz w:val="17"/>
          <w:szCs w:val="17"/>
          <w:color w:val="auto"/>
        </w:rPr>
        <w:t>Leveraging our comprehensive insights into the TGF-ß signaling pathways to discover therapeutics to treat hematological and musculoskeletal disorders.</w:t>
      </w:r>
    </w:p>
    <w:p>
      <w:pPr>
        <w:ind w:left="660" w:right="720" w:hanging="331"/>
        <w:spacing w:after="0" w:line="247" w:lineRule="auto"/>
        <w:tabs>
          <w:tab w:leader="none" w:pos="653" w:val="left"/>
        </w:tabs>
        <w:numPr>
          <w:ilvl w:val="1"/>
          <w:numId w:val="3"/>
        </w:numPr>
        <w:rPr>
          <w:rFonts w:ascii="Arial" w:cs="Arial" w:eastAsia="Arial" w:hAnsi="Arial"/>
          <w:sz w:val="17"/>
          <w:szCs w:val="17"/>
          <w:color w:val="auto"/>
        </w:rPr>
      </w:pPr>
      <w:r>
        <w:rPr>
          <w:rFonts w:ascii="Arial" w:cs="Arial" w:eastAsia="Arial" w:hAnsi="Arial"/>
          <w:sz w:val="17"/>
          <w:szCs w:val="17"/>
          <w:color w:val="auto"/>
        </w:rPr>
        <w:t>Expanding our library of proprietary molecules that are engineered to induce desired biological effects, such as increased blood cell production, inhibit heterotopic ossification and increased muscle and bone mass.</w:t>
      </w:r>
    </w:p>
    <w:p>
      <w:pPr>
        <w:ind w:left="660" w:right="60" w:hanging="331"/>
        <w:spacing w:after="0" w:line="247" w:lineRule="auto"/>
        <w:tabs>
          <w:tab w:leader="none" w:pos="653" w:val="left"/>
        </w:tabs>
        <w:numPr>
          <w:ilvl w:val="1"/>
          <w:numId w:val="3"/>
        </w:numPr>
        <w:rPr>
          <w:rFonts w:ascii="Arial" w:cs="Arial" w:eastAsia="Arial" w:hAnsi="Arial"/>
          <w:sz w:val="17"/>
          <w:szCs w:val="17"/>
          <w:color w:val="auto"/>
        </w:rPr>
      </w:pPr>
      <w:r>
        <w:rPr>
          <w:rFonts w:ascii="Arial" w:cs="Arial" w:eastAsia="Arial" w:hAnsi="Arial"/>
          <w:sz w:val="17"/>
          <w:szCs w:val="17"/>
          <w:color w:val="auto"/>
        </w:rPr>
        <w:t>Engineering proprietary molecules to selectively target specific proteins in the TGF-ß signaling pathways to provide therapeutic benefit while potentially minimizing safety risks.</w:t>
      </w:r>
    </w:p>
    <w:p>
      <w:pPr>
        <w:ind w:left="660" w:right="680" w:hanging="331"/>
        <w:spacing w:after="0" w:line="247" w:lineRule="auto"/>
        <w:tabs>
          <w:tab w:leader="none" w:pos="653" w:val="left"/>
        </w:tabs>
        <w:numPr>
          <w:ilvl w:val="1"/>
          <w:numId w:val="3"/>
        </w:numPr>
        <w:rPr>
          <w:rFonts w:ascii="Arial" w:cs="Arial" w:eastAsia="Arial" w:hAnsi="Arial"/>
          <w:sz w:val="17"/>
          <w:szCs w:val="17"/>
          <w:color w:val="auto"/>
        </w:rPr>
      </w:pPr>
      <w:r>
        <w:rPr>
          <w:rFonts w:ascii="Arial" w:cs="Arial" w:eastAsia="Arial" w:hAnsi="Arial"/>
          <w:sz w:val="17"/>
          <w:szCs w:val="17"/>
          <w:color w:val="auto"/>
        </w:rPr>
        <w:t>Developing product candidates for the treatment of diseases where targeting the TGF-ß signaling pathways has clinical validation or biological rationale to improve our probability of success in the clinic.</w:t>
      </w:r>
    </w:p>
    <w:p>
      <w:pPr>
        <w:ind w:left="660" w:right="200" w:hanging="331"/>
        <w:spacing w:after="0" w:line="257" w:lineRule="auto"/>
        <w:tabs>
          <w:tab w:leader="none" w:pos="653" w:val="left"/>
        </w:tabs>
        <w:numPr>
          <w:ilvl w:val="1"/>
          <w:numId w:val="3"/>
        </w:numPr>
        <w:rPr>
          <w:rFonts w:ascii="Arial" w:cs="Arial" w:eastAsia="Arial" w:hAnsi="Arial"/>
          <w:sz w:val="17"/>
          <w:szCs w:val="17"/>
          <w:color w:val="auto"/>
        </w:rPr>
      </w:pPr>
      <w:r>
        <w:rPr>
          <w:rFonts w:ascii="Arial" w:cs="Arial" w:eastAsia="Arial" w:hAnsi="Arial"/>
          <w:sz w:val="17"/>
          <w:szCs w:val="17"/>
          <w:color w:val="auto"/>
        </w:rPr>
        <w:t>Targeting the TGF-ß family of proteins, which are highly conserved throughout evolution, permitting the use of animal models to potentially predict with high confidence the therapeutic benefit in patients.</w:t>
      </w:r>
    </w:p>
    <w:p>
      <w:pPr>
        <w:spacing w:after="0" w:line="15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are led by a highly experienced management team and scientific advisory board who have significant experience and expertise researching and developing therapeutics in the TGF-ß family of proteins. Our team has collectively worked on marketed therapeutics such as Reblozyl, Rituxan, Benlysta, Skyrizi, Kevzara, Rezurock, Cubicin, Tyzeka and Cosentyx, and led drug discovery and clinical development at companies including Acceleron Pharma Inc. (which was acquired by Merck &amp; Co. Inc. in November 2021), Wyeth Pharmaceuticals Inc., F. Hoffman-La Roche Ltd (Roche), Novartis International AG, AbbVie Inc., Human Genome Sciences (with was acquired by GlaxoSmithKline plc in July 2012), Seres Therapeutics, Inc., Kadmon Holdings, Inc., Anokion SA and Sanofi S.A.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product candidates, their current development stages and anticipated upcoming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5982335" cy="3528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82335" cy="352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Anticipated clinical milestones are subject to the impact of COVID-19 on our business.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Strategy</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Our mission is to deliver significant clinical benefit to patients suffering from hematological and musculoskeletal diseases by developing differentiated product candidates that are designed to alter TGF-ß signaling pathways. The key elements of our strategy include:</w:t>
      </w:r>
    </w:p>
    <w:p>
      <w:pPr>
        <w:spacing w:after="0" w:line="140" w:lineRule="exact"/>
        <w:rPr>
          <w:sz w:val="20"/>
          <w:szCs w:val="20"/>
          <w:color w:val="auto"/>
        </w:rPr>
      </w:pPr>
    </w:p>
    <w:p>
      <w:pPr>
        <w:ind w:left="660" w:right="80" w:hanging="331"/>
        <w:spacing w:after="0" w:line="251" w:lineRule="auto"/>
        <w:tabs>
          <w:tab w:leader="none" w:pos="653"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Rapidly advance the clinical development of KER-050 for the treatment of patients with MDS- and myelofibrosis-associated cytopenias. </w:t>
      </w:r>
      <w:r>
        <w:rPr>
          <w:rFonts w:ascii="Arial" w:cs="Arial" w:eastAsia="Arial" w:hAnsi="Arial"/>
          <w:sz w:val="17"/>
          <w:szCs w:val="17"/>
          <w:color w:val="auto"/>
        </w:rPr>
        <w:t>We</w:t>
      </w:r>
      <w:r>
        <w:rPr>
          <w:rFonts w:ascii="Arial" w:cs="Arial" w:eastAsia="Arial" w:hAnsi="Arial"/>
          <w:sz w:val="17"/>
          <w:szCs w:val="17"/>
          <w:i w:val="1"/>
          <w:iCs w:val="1"/>
          <w:color w:val="auto"/>
        </w:rPr>
        <w:t xml:space="preserve"> </w:t>
      </w:r>
      <w:r>
        <w:rPr>
          <w:rFonts w:ascii="Arial" w:cs="Arial" w:eastAsia="Arial" w:hAnsi="Arial"/>
          <w:sz w:val="17"/>
          <w:szCs w:val="17"/>
          <w:color w:val="auto"/>
        </w:rPr>
        <w:t>are continuing to progress our ongoing Phase 2 clinical trial evaluating KER-050 for the treatment of anemia and thrombocytopenia in participants with very low-, low-, or intermediate-risk MDS who either have or have not previously received treatment with an erythropoiesis-stimulating agent. We have also commenced an open-label Phase 2 clinical trial evaluating the treatment of patients with myelofibrosis-associated cytopenias and expect to report initial data from this trial by the end of 2022.</w:t>
      </w:r>
    </w:p>
    <w:p>
      <w:pPr>
        <w:spacing w:after="0" w:line="2" w:lineRule="exact"/>
        <w:rPr>
          <w:rFonts w:ascii="Arial" w:cs="Arial" w:eastAsia="Arial" w:hAnsi="Arial"/>
          <w:sz w:val="17"/>
          <w:szCs w:val="17"/>
          <w:color w:val="auto"/>
        </w:rPr>
      </w:pPr>
    </w:p>
    <w:p>
      <w:pPr>
        <w:ind w:left="660" w:right="180" w:hanging="331"/>
        <w:spacing w:after="0" w:line="247" w:lineRule="auto"/>
        <w:tabs>
          <w:tab w:leader="none" w:pos="653"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Rapidly advance the clinical development of KER-047 for the treatment of anemias resulting from iron imbalance. </w:t>
      </w:r>
      <w:r>
        <w:rPr>
          <w:rFonts w:ascii="Arial" w:cs="Arial" w:eastAsia="Arial" w:hAnsi="Arial"/>
          <w:sz w:val="17"/>
          <w:szCs w:val="17"/>
          <w:color w:val="auto"/>
        </w:rPr>
        <w:t>We expect to commence</w:t>
      </w:r>
      <w:r>
        <w:rPr>
          <w:rFonts w:ascii="Arial" w:cs="Arial" w:eastAsia="Arial" w:hAnsi="Arial"/>
          <w:sz w:val="17"/>
          <w:szCs w:val="17"/>
          <w:i w:val="1"/>
          <w:iCs w:val="1"/>
          <w:color w:val="auto"/>
        </w:rPr>
        <w:t xml:space="preserve"> </w:t>
      </w:r>
      <w:r>
        <w:rPr>
          <w:rFonts w:ascii="Arial" w:cs="Arial" w:eastAsia="Arial" w:hAnsi="Arial"/>
          <w:sz w:val="17"/>
          <w:szCs w:val="17"/>
          <w:color w:val="auto"/>
        </w:rPr>
        <w:t>two open-label Phase 2 clinical trials in the first half of 2022, one in patients with IDA and one in patients with IRIDA and expect to report initial data from both trials by the end of 2022. We also may develop KER-047 as a potential treatment option for patients who manifest anemia caused by iron imbalance as a secondary consequence of more common diseases.</w:t>
      </w:r>
    </w:p>
    <w:p>
      <w:pPr>
        <w:ind w:left="660" w:right="40" w:hanging="331"/>
        <w:spacing w:after="0" w:line="247" w:lineRule="auto"/>
        <w:tabs>
          <w:tab w:leader="none" w:pos="653"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Advance the clinical development of KER-012 for the treatment of PAH and for the treatment of disorders associated with bone loss, such as osteoporosis and osteogenesis imperfecta. </w:t>
      </w:r>
      <w:r>
        <w:rPr>
          <w:rFonts w:ascii="Arial" w:cs="Arial" w:eastAsia="Arial" w:hAnsi="Arial"/>
          <w:sz w:val="17"/>
          <w:szCs w:val="17"/>
          <w:color w:val="auto"/>
        </w:rPr>
        <w:t>We have generated preclinical data that we believe demonstrated proof-of-mechanism of KER-012 for the treatment of PAH and for the treatment of disorders associated with bone loss, such as osteoporosis and osteogenesis imperfecta. We commenced a Phase 1 clinical trial of KER-012 in healthy volunteers and expect to report initial data from Part 1 of this trial in the second quarter of 2022 and additional data from Part 2 of this trial in the second half of 2022.</w:t>
      </w:r>
    </w:p>
    <w:p>
      <w:pPr>
        <w:ind w:left="660" w:hanging="331"/>
        <w:spacing w:after="0" w:line="262" w:lineRule="auto"/>
        <w:tabs>
          <w:tab w:leader="none" w:pos="653"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Pursue development and, if approved, commercialization of our product candidates in indications and regions where we believe we can maximize their value independently or through strategic collaborations. </w:t>
      </w:r>
      <w:r>
        <w:rPr>
          <w:rFonts w:ascii="Arial" w:cs="Arial" w:eastAsia="Arial" w:hAnsi="Arial"/>
          <w:sz w:val="16"/>
          <w:szCs w:val="16"/>
          <w:color w:val="auto"/>
        </w:rPr>
        <w:t>We plan to independently advance our product candidates in</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indications and regions that we believe have clearly defined regulatory paths and commercialization strategies. We intend to opportunistically evaluate strategic collaborations to maximize the potential commercial value of our product candidates and discovery programs.</w:t>
      </w:r>
    </w:p>
    <w:p>
      <w:pPr>
        <w:spacing w:after="0" w:line="1" w:lineRule="exact"/>
        <w:rPr>
          <w:rFonts w:ascii="Arial" w:cs="Arial" w:eastAsia="Arial" w:hAnsi="Arial"/>
          <w:sz w:val="16"/>
          <w:szCs w:val="16"/>
          <w:color w:val="auto"/>
        </w:rPr>
      </w:pPr>
    </w:p>
    <w:p>
      <w:pPr>
        <w:ind w:left="660" w:right="160" w:hanging="331"/>
        <w:spacing w:after="0" w:line="250" w:lineRule="auto"/>
        <w:tabs>
          <w:tab w:leader="none" w:pos="653"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Leverage our proprietary discovery approach and knowledge base to develop new therapeutics. </w:t>
      </w:r>
      <w:r>
        <w:rPr>
          <w:rFonts w:ascii="Arial" w:cs="Arial" w:eastAsia="Arial" w:hAnsi="Arial"/>
          <w:sz w:val="17"/>
          <w:szCs w:val="17"/>
          <w:color w:val="auto"/>
        </w:rPr>
        <w:t>Our discovery efforts are focused on</w:t>
      </w:r>
      <w:r>
        <w:rPr>
          <w:rFonts w:ascii="Arial" w:cs="Arial" w:eastAsia="Arial" w:hAnsi="Arial"/>
          <w:sz w:val="17"/>
          <w:szCs w:val="17"/>
          <w:i w:val="1"/>
          <w:iCs w:val="1"/>
          <w:color w:val="auto"/>
        </w:rPr>
        <w:t xml:space="preserve"> </w:t>
      </w:r>
      <w:r>
        <w:rPr>
          <w:rFonts w:ascii="Arial" w:cs="Arial" w:eastAsia="Arial" w:hAnsi="Arial"/>
          <w:sz w:val="17"/>
          <w:szCs w:val="17"/>
          <w:color w:val="auto"/>
        </w:rPr>
        <w:t>expanding our pipeline of wholly-owned assets for the treatment of hematological and musculoskeletal diseases. Accordingly, we intend to identify and develop product candidates to treat diseases where targeting the TGF-ß signaling pathways has clinical validation or biological rationale.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Hematology Program</w:t>
      </w:r>
    </w:p>
    <w:p>
      <w:pPr>
        <w:spacing w:after="0" w:line="105"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Our two lead product candidates, KER-050 and KER-047, are designed to target TGF-ß signaling pathways to address diseases that arise from ineffective hematopoiesis as well as anemias that result from iron imbalance.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Hematopoiesis</w:t>
      </w:r>
    </w:p>
    <w:p>
      <w:pPr>
        <w:spacing w:after="0" w:line="65"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primary cellular components of blood are red blood cells, white blood cells and platelets. The function of red blood cells is to distribute oxygen to tissues throughout the body and to carry waste carbon dioxide back to the lungs. White blood cells are responsible for the immune response through coordinated surveillance and targeting of pathogens, infected or aberrant cells and cell debris. Platelets are a key component of the coagulation system and are responsible for stopping bleeding by forming a blood clot.</w:t>
      </w:r>
    </w:p>
    <w:p>
      <w:pPr>
        <w:spacing w:after="0" w:line="165"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Hematopoiesis is the production of red blood cells, white blood cells and platelets from common progenitor stem cells, or progenitor cells. This process begins when a hematopoietic progenitor cell becomes committed to a specific cellular lineage. These cells progress through a series of intermediate stages before becoming a mature cell with a specialized function. At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8" w:name="page9"/>
    <w:bookmarkEnd w:id="8"/>
    <w:p>
      <w:pPr>
        <w:ind w:right="380"/>
        <w:spacing w:after="0" w:line="257" w:lineRule="auto"/>
        <w:rPr>
          <w:sz w:val="20"/>
          <w:szCs w:val="20"/>
          <w:color w:val="auto"/>
        </w:rPr>
      </w:pPr>
      <w:r>
        <w:rPr>
          <w:rFonts w:ascii="Arial" w:cs="Arial" w:eastAsia="Arial" w:hAnsi="Arial"/>
          <w:sz w:val="17"/>
          <w:szCs w:val="17"/>
          <w:color w:val="auto"/>
        </w:rPr>
        <w:t>any given time, pools of each progenitor cell are maintained and primed to rapidly respond to a reduction of red blood cells, white blood cells and platelets. The graphic below depicts the stages of hematopoiesis for red blood cells and platelets.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Stages of Hematopoiesis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130810</wp:posOffset>
            </wp:positionV>
            <wp:extent cx="5318125" cy="2735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1812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TGF-ß signaling pathways involving activins prevent differentiation in order to maintain progenitor cells in a quiescent state while others involving BMPs promote differentiation of progenitor cells. Homeostasis of this process is essential to ensure all cell types are properly replenished in the blood.</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many hematological disorders, there is abnormal proliferation and differentiation of the progenitor cells for red blood cells, platelets and neutrophils. This failure to produce fully mature cells is termed ineffective hematopoiesis, and may be due to single or multiple defects that can lead to a hyperproliferation or a shortage of progenitor cells.</w:t>
      </w:r>
    </w:p>
    <w:p>
      <w:pPr>
        <w:spacing w:after="0" w:line="16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These changes have clinical consequences: a lack of red blood cells leads to anemia, a lack of platelets hampers clotting, resulting in increased incidence of bleeding events, and a lack of neutrophils increases susceptibility to infection. The failure of progenitor cells to differentiate can also lead to a build-up of these cells, resulting in bone marrow failure and fibrotic disease. The graphic below provides an illustration of the difference in the number of progenitor cells and mature bloods cells that are produced in normal hematopoiesis and in ineffective hematopoiesis.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100330</wp:posOffset>
            </wp:positionV>
            <wp:extent cx="5156200" cy="1201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56200" cy="1201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Another critical component in red blood cell development is the production of hemoglobin, an iron-containing protein that delivers oxygen to cells and removes carbon dioxide. The synthesis of hemoglobin requires that sufficient levels of iron are present in the bone marrow and if iron levels are too low, it can result in a failure to produce sufficient numbers of red blood cells. Anemia is a common consequence of diseases where normal iron mobilization is hindered.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KER-050: For the Treatment of Ineffective Hematopoiesis to Address Cytopenias</w:t>
      </w:r>
    </w:p>
    <w:p>
      <w:pPr>
        <w:spacing w:after="0" w:line="65"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are developing KER-050, our lead protein therapeutic product candidate, for the treatment of cytopenias that occur due to ineffective hematopoiesis, including anemia and thrombocytopenia, in patients with MDS and in patients with myelofibrosis. KER-050 is designed to benefit patients suffering from defects in red blood cell and platelet differentiation and maturation across the spectrum from early through terminal stages of hematopoiesis. Consequently, KER-050 may be effective for many patients that have limited treatment options or are refractory to available therapies.</w:t>
      </w:r>
    </w:p>
    <w:p>
      <w:pPr>
        <w:sectPr>
          <w:pgSz w:w="11900" w:h="16838" w:orient="portrait"/>
          <w:cols w:equalWidth="0" w:num="1">
            <w:col w:w="11240"/>
          </w:cols>
          <w:pgMar w:left="320" w:top="872"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i w:val="1"/>
          <w:iCs w:val="1"/>
          <w:color w:val="auto"/>
        </w:rPr>
        <w:t>Myelodysplastic Syndromes</w:t>
      </w:r>
    </w:p>
    <w:p>
      <w:pPr>
        <w:spacing w:after="0" w:line="4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Myelodysplastic syndromes, or MDS, is a collection of bone marrow disorders characterized by ineffective hematopoiesis, often with a dramatic expansion of progenitor cells that are unable to mature into functioning blood cells. In the United States, there are 60,000 to 170,000 patients with MDS and 15,000 to 20,000 new cases of MDS reported each year. MDS predominantly affects older adults, with approximately 75% of patients aged 60 years or older at diagnosis. Median survival ranges from approximately nine years for very low-risk patients to less than a year for high-risk patients.</w:t>
      </w:r>
    </w:p>
    <w:p>
      <w:pPr>
        <w:spacing w:after="0" w:line="16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Cytopenias in MDS are caused by defects occurring across the various stages of hematopoiesis, from the self-renewal of progenitor cells to differentiation in early through terminal stages. Anemia is the most frequent consequence of ineffective hematopoiesis in patients with MDS due to low red blood cell production, and impacts 90% of MDS patients, with approximately 40% becoming transfusion dependent. Another consequence is thrombocytopenia, a deficiency of platelets in the blood, which is impaired blood clotting that can cause bleeding. The prevalence of thrombocytopenia in patients with MDS has been reported at 40% to 65%. A deficiency of neutrophils in the blood, or neutropenia, also increases the risk of serious infections in patients with MDS and has been reported to affect approximately 20% of patients with MDS.</w:t>
      </w:r>
    </w:p>
    <w:p>
      <w:pPr>
        <w:spacing w:after="0" w:line="16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To guide decisions on risk stratification and the treatment of patients with MDS, clinicians typically use the International Prognostic Scoring System-Revised, or the IPSS-R. The IPSS-R incorporates information on bone marrow blast percentage, karyotype and presence and severity of cytopenias in order to classify patients with MDS into groups based on the risk of progression to acute myeloid leukemia, ranging from very low-risk to high-risk. Patients are further classified into high transfusion burden and low transfusion burden categories based on the number of units of transfused red blood cells they receive.</w:t>
      </w:r>
    </w:p>
    <w:p>
      <w:pPr>
        <w:spacing w:after="0" w:line="154"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 xml:space="preserve">A second classification system is the World Health Organization, or WHO, system, which is based on a combination of morphology, immunophenotype, genetics and clinical features. The WHO classification system includes a subgroup of patients with MDS that show the presence of iron deposits around the mitochondria, known as ring sideroblasts. These patients are commonly referred to as RS positive and comprise approximately 15% of incident patients with MDS, and splicing factor mutations, such as </w:t>
      </w:r>
      <w:r>
        <w:rPr>
          <w:rFonts w:ascii="Arial" w:cs="Arial" w:eastAsia="Arial" w:hAnsi="Arial"/>
          <w:sz w:val="17"/>
          <w:szCs w:val="17"/>
          <w:i w:val="1"/>
          <w:iCs w:val="1"/>
          <w:color w:val="auto"/>
        </w:rPr>
        <w:t>SF3B1</w:t>
      </w:r>
      <w:r>
        <w:rPr>
          <w:rFonts w:ascii="Arial" w:cs="Arial" w:eastAsia="Arial" w:hAnsi="Arial"/>
          <w:sz w:val="17"/>
          <w:szCs w:val="17"/>
          <w:color w:val="auto"/>
        </w:rPr>
        <w:t>, are highly correlated with these patients. Patients with splicing factor mutations often have been observed to have defects in the differentiation of red blood cells at the terminal stage. The majority of patients with MDS that develop cytopenias lack ring sideroblasts or a single, defining splicing factor mutation and are termed non-RS. These non-RS patients have differentiation and maturation defects occurring across the spectrum from early through terminal stages of hematopoiesis.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of Current Treatment Options for Cytopenias in Patients with MDS</w:t>
      </w:r>
    </w:p>
    <w:p>
      <w:pPr>
        <w:spacing w:after="0" w:line="6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Patients with MDS-associated anemia are generally treated with red blood cell transfusions and erythroid stimulating agents, or ESAs, which are not approved for such treatment. The treatment of MDS-associated thrombocytopenia is platelet transfusions and platelet-stimulating agents.</w:t>
      </w:r>
    </w:p>
    <w:p>
      <w:pPr>
        <w:spacing w:after="0" w:line="145"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Severe cytopenia and transfusion dependence are independent predictors of poor prognosis for patients with MDS and are inversely correlated with quality of life. Red blood cell and platelet transfusions provide temporary benefits to patients with MDS, but are associated with both acute and chronic health risks, including risk of bacterial infection and allergic reactions to the donor blood, and place a significant burden on both the patient and the healthcare system. Red blood cell transfusions are also associated with iron overload, which can lead to organ dysfunction over time. Additionally, the benefit from a platelet transfusion is typically short-lived and availability is limited. Platelet-stimulating agents for the treatment of thrombocytopenia, which are not currently indicated for MDS, carry the risk of thromboembolic events and bone marrow fibrosis.</w:t>
      </w:r>
    </w:p>
    <w:p>
      <w:pPr>
        <w:spacing w:after="0" w:line="16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ESAs are a class of drugs that work on the proliferation stage of red blood cell development by expanding the pool of early-stage progenitor cells. While ESAs have been shown to alleviate anemia in a subset of patients with MDS, patients that have elevated endogenous erythropoietin levels are unlikely to respond. In two controlled Phase 3 clinical trials evaluating darbepoetin alfa (Aranesp) and epoetin alpha (Epogen/Procrit) for the treatment of MDS-associated anemia, 15% to 31% of patients responded, respectively. However, this response was limited to patients with low endogenous erythropoietin levels at baseline and to patients who had a low transfusion burden at baseline. These treatment options also represent a significant burden to patients; epoetin alpha must be administered up to three times a week. Additionally, the effect of ESAs is limited to the red blood cell lineage and, therefore, ESAs only treat MDS-associated anemia and do not provide benefit to cytopenia of other cell lineages, including thrombocytopenia and neutropenia.</w:t>
      </w:r>
    </w:p>
    <w:p>
      <w:pPr>
        <w:spacing w:after="0" w:line="169" w:lineRule="exact"/>
        <w:rPr>
          <w:sz w:val="20"/>
          <w:szCs w:val="20"/>
          <w:color w:val="auto"/>
        </w:rPr>
      </w:pPr>
    </w:p>
    <w:p>
      <w:pPr>
        <w:ind w:right="160"/>
        <w:spacing w:after="0" w:line="247" w:lineRule="auto"/>
        <w:rPr>
          <w:sz w:val="20"/>
          <w:szCs w:val="20"/>
          <w:color w:val="auto"/>
        </w:rPr>
      </w:pPr>
      <w:r>
        <w:rPr>
          <w:rFonts w:ascii="Arial" w:cs="Arial" w:eastAsia="Arial" w:hAnsi="Arial"/>
          <w:sz w:val="17"/>
          <w:szCs w:val="17"/>
          <w:color w:val="auto"/>
        </w:rPr>
        <w:t>Reblozyl, a TGF-ß-based erythroid maturation agent, is designed to promote the terminal differentiation of red blood cells through inhibition of selected endogenous TGF-ß superfamily ligands. The characteristics of response were defined in a Phase 2 clinical trial of Reblozyl in patients with MDS. Consistent with the mechanism of Reblozyl on the terminal stages of erythropoiesis, the majority of responders were determined to have</w:t>
      </w:r>
    </w:p>
    <w:p>
      <w:pPr>
        <w:spacing w:after="0" w:line="252" w:lineRule="auto"/>
        <w:rPr>
          <w:sz w:val="20"/>
          <w:szCs w:val="20"/>
          <w:color w:val="auto"/>
        </w:rPr>
      </w:pPr>
      <w:r>
        <w:rPr>
          <w:rFonts w:ascii="Arial" w:cs="Arial" w:eastAsia="Arial" w:hAnsi="Arial"/>
          <w:sz w:val="17"/>
          <w:szCs w:val="17"/>
          <w:color w:val="auto"/>
        </w:rPr>
        <w:t xml:space="preserve">an </w:t>
      </w:r>
      <w:r>
        <w:rPr>
          <w:rFonts w:ascii="Arial" w:cs="Arial" w:eastAsia="Arial" w:hAnsi="Arial"/>
          <w:sz w:val="17"/>
          <w:szCs w:val="17"/>
          <w:i w:val="1"/>
          <w:iCs w:val="1"/>
          <w:color w:val="auto"/>
        </w:rPr>
        <w:t>SF3B1</w:t>
      </w:r>
      <w:r>
        <w:rPr>
          <w:rFonts w:ascii="Arial" w:cs="Arial" w:eastAsia="Arial" w:hAnsi="Arial"/>
          <w:sz w:val="17"/>
          <w:szCs w:val="17"/>
          <w:color w:val="auto"/>
        </w:rPr>
        <w:t xml:space="preserve"> splicing factor mutation. Additionally, the responders were characterized as having increased erythroid progenitor cells in the bone marrow, while patients with fewer erythroid progenitor cells in the bone marrow did not achieve hematological improvement. We believe this indicates that Reblozyl is limited to its effect on terminal differentiation of erythropoiesis and does not affect the early stages of differentiation.</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10" w:name="page11"/>
    <w:bookmarkEnd w:id="10"/>
    <w:p>
      <w:pPr>
        <w:ind w:right="120"/>
        <w:spacing w:after="0" w:line="248" w:lineRule="auto"/>
        <w:rPr>
          <w:sz w:val="20"/>
          <w:szCs w:val="20"/>
          <w:color w:val="auto"/>
        </w:rPr>
      </w:pPr>
      <w:r>
        <w:rPr>
          <w:rFonts w:ascii="Arial" w:cs="Arial" w:eastAsia="Arial" w:hAnsi="Arial"/>
          <w:sz w:val="17"/>
          <w:szCs w:val="17"/>
          <w:color w:val="auto"/>
        </w:rPr>
        <w:t>Reblozyl received approval from the U.S. Food and Drug Administration, or the FDA, in April 2020 for the treatment of anemia in adult RS positive patients with very low- to intermediate-risk MDS that failed an erythropoiesis stimulating agent and required two or more units of red blood cells over eight weeks. The approval was based on a single Phase 3 clinical trial of Reblozyl that was conducted in RS positive, very low- to intermediate-risk patients with MDS. This trial included both patients with low transfusion dependence requiring fewer than four units of red blood cells over eight weeks and patients with high transfusion dependence requiring four or more units of red blood cells over eight weeks. In this trial, 37.9% of the RS positive patients treated with Reblozyl achieved the primary endpoint of transfusion independence, compared to 13.2% of patients that received placebo. The highest proportion of responders to Reblozyl were those with low transfusion dependence, while only a few high transfusion burden patients achieved transfusion independence despite being RS positive patients.</w:t>
      </w:r>
    </w:p>
    <w:p>
      <w:pPr>
        <w:spacing w:after="0" w:line="156" w:lineRule="exact"/>
        <w:rPr>
          <w:sz w:val="20"/>
          <w:szCs w:val="20"/>
          <w:color w:val="auto"/>
        </w:rPr>
      </w:pPr>
    </w:p>
    <w:p>
      <w:pPr>
        <w:ind w:right="660"/>
        <w:spacing w:after="0" w:line="252" w:lineRule="auto"/>
        <w:rPr>
          <w:sz w:val="20"/>
          <w:szCs w:val="20"/>
          <w:color w:val="auto"/>
        </w:rPr>
      </w:pPr>
      <w:r>
        <w:rPr>
          <w:rFonts w:ascii="Arial" w:cs="Arial" w:eastAsia="Arial" w:hAnsi="Arial"/>
          <w:sz w:val="17"/>
          <w:szCs w:val="17"/>
          <w:color w:val="auto"/>
        </w:rPr>
        <w:t>Accordingly, we believe that additional treatment options will be needed to address anemia in the heterogeneous non-ring sideroblast MDS population, to provide clinical benefit to the RS positive population regardless of transfusion burden and to address other cytopenias, such as thrombocytopenia.</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KER-050 is designed to alter TGF-ß signaling pathways at multiple stages of hematopoietic differentiation in both red blood cells and platelets. Consequently, we believe KER-050 has the potential to provide therapeutic benefit in a broader subset of patients with MDS that have varying defects in commitment, differentiation and maturation of multiple cell types found in blood.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Myelofibrosis</w:t>
      </w:r>
    </w:p>
    <w:p>
      <w:pPr>
        <w:spacing w:after="0" w:line="47"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Myelofibrosis is a group of rare cancers of the bone marrow in which the marrow is replaced by scar tissue and is not able to produce healthy blood cells. Myelofibrosis is characterized by ineffective hematopoiesis, an enlarged spleen, bone marrow fibrosis and shortened survival. Patients often experience multiple disease-associated and treatment-emergent cytopenias, including anemia and thrombocytopenia.</w:t>
      </w:r>
    </w:p>
    <w:p>
      <w:pPr>
        <w:spacing w:after="0" w:line="16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ineffective hematopoiesis in myelofibrosis is driven by molecular abnormalities in the Janus kinase 2, or JAK2, -signal transducers and activators of transcription, or JAK-STAT, signaling pathway of transcriptional activators. Specifically, JAK2 activation leads to proliferation of red blood cell progenitors and platelet progenitors, or megakaryocytes, that fail to mature to platelets. Additionally, megakaryocyte dysplasia/hyperplasia has been implicated in inducing bone marrow fibrosis in patients with myelofibrosis. The inability of megakaryocytes to fully differentiate leads to the release of pro-inflammatory and pro-fibrotic factors that results in scarring of the bone marrow, which further exacerbates the myelofibrosis-associated cytopenias.</w:t>
      </w:r>
    </w:p>
    <w:p>
      <w:pPr>
        <w:spacing w:after="0" w:line="16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Myelofibrosis is a relatively rare condition with an identified prevalence of 16,000 to 18,500 patients in the United States. Approximately 3,000 new patients are diagnosed with myelofibrosis each year, and the median age at diagnosis is approximately 60 years. Currently, there are limited therapeutic options to address the myelofibrosis-associated cytopenias. Within a year of diagnosis, 38% of patients with myelofibrosis are red blood cell transfusion dependent and eventually nearly all will develop transfusion dependence. Additionally, within a year of diagnosis, 26% of patients with myelofibrosis will develop thrombocytopenia and 51% will develop anemia.</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of Current Treatment Options for Cytopenias in Patients with Myelofibrosis</w:t>
      </w:r>
    </w:p>
    <w:p>
      <w:pPr>
        <w:spacing w:after="0" w:line="6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There are no approved pharmacological treatments for myelofibrosis-associated cytopenias. The National Comprehensive Cancer Network describes all therapeutic options to address myelofibrosis-associated cytopenias, including transfusions, as only minimally effective.</w:t>
      </w:r>
    </w:p>
    <w:p>
      <w:pPr>
        <w:spacing w:after="0" w:line="15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Currently approved products for the treatment of myelofibrosis, including JAK inhibitors ruxolitinib (Jakafi), fedratinib (Inrebic) and pacritinib (Vonjo), have been observed to exacerbate myelofibrosis-associated cytopenias. In a third-party Phase 3 clinical trial of Jakafi and a third-party Phase 3 clinical trial of Inrebic, treatment led to significant reductions in spleen volume and improvement in total symptom scores. However, JAK inhibitors interfere with normal hematopoiesis and treatment with Jakafi and Inrebic also resulted in clinically significant anemia and thrombocytopenia in these Phase 3 trials. Approximately 45% of patients in the Phase 3 clinical trial of Jakafi developed treatment-related grade 3 or 4 anemia. Grade 3 or higher adverse events of anemia and thrombocytopenia were observed in approximately 34% and 12%, respectively, of patients evaluated in the Phase 3 clinical trial of Inrebic. The treatment-related cytopenias led to severe complications, dose reductions and reduced compliance.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believe KER-050 has the potential to ameliorate myelofibrosis-associated cytopenias.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 KER-050</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KER-050 is a ligand trap comprised of a modified ligand-binding domain of ActRIIA that is fused to the portion of the human antibody known as the Fc domain. KER-050 is designed to bind to and inhibit the signaling of TGF-ß ligands involved in the regulation of hematopoiesis, resulting in increased red blood cell and platelet production. Combined data from our preclinical studies, our Phase 1 clinical trial in healthy volunteers and our Phase 2 clinical trial in patients with MDS demonstrate that treatment with KER-050 increased red blood cell and platelet production. These data indicate that KER-050 is differentiated from available therapies because it appears to have both sustained and rapid effects on multiple cellular lineages in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1" w:name="page12"/>
    <w:bookmarkEnd w:id="11"/>
    <w:p>
      <w:pPr>
        <w:spacing w:after="0" w:line="252" w:lineRule="auto"/>
        <w:rPr>
          <w:sz w:val="20"/>
          <w:szCs w:val="20"/>
          <w:color w:val="auto"/>
        </w:rPr>
      </w:pPr>
      <w:r>
        <w:rPr>
          <w:rFonts w:ascii="Arial" w:cs="Arial" w:eastAsia="Arial" w:hAnsi="Arial"/>
          <w:sz w:val="17"/>
          <w:szCs w:val="17"/>
          <w:color w:val="auto"/>
        </w:rPr>
        <w:t>hematopoietic pathway. We believe KER-050’s promotion of differentiation of early- and terminal-stage progenitor cells contributes to these sustained and rapid effects, respectively, and consequently, KER-050 may be effective for many patients that are refractory to available therapies and may potentially provide benefit in multiple cytopenias simultaneously.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Mechanism of Action of KER-050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130810</wp:posOffset>
            </wp:positionV>
            <wp:extent cx="5318125" cy="25057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8125" cy="250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20"/>
        <w:spacing w:after="0" w:line="252" w:lineRule="auto"/>
        <w:rPr>
          <w:sz w:val="20"/>
          <w:szCs w:val="20"/>
          <w:color w:val="auto"/>
        </w:rPr>
      </w:pPr>
      <w:r>
        <w:rPr>
          <w:rFonts w:ascii="Arial" w:cs="Arial" w:eastAsia="Arial" w:hAnsi="Arial"/>
          <w:sz w:val="17"/>
          <w:szCs w:val="17"/>
          <w:color w:val="auto"/>
        </w:rPr>
        <w:t>We intend to develop KER-050 for the treatment of both MDS- and myelofibrosis-associated cytopenias. We believe KER-050 has the potential to overcome limitations of current treatment options for MDS- and myelofibrosis-associated cytopenias. We believe the potential advantages of KER-050 compared to current treatment options include:</w:t>
      </w:r>
    </w:p>
    <w:p>
      <w:pPr>
        <w:spacing w:after="0" w:line="145" w:lineRule="exact"/>
        <w:rPr>
          <w:sz w:val="20"/>
          <w:szCs w:val="20"/>
          <w:color w:val="auto"/>
        </w:rPr>
      </w:pPr>
    </w:p>
    <w:p>
      <w:pPr>
        <w:ind w:left="660" w:right="140" w:hanging="331"/>
        <w:spacing w:after="0" w:line="251" w:lineRule="auto"/>
        <w:tabs>
          <w:tab w:leader="none" w:pos="65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Dual mechanism affecting both the early and terminal stages of erythropoiesis. </w:t>
      </w:r>
      <w:r>
        <w:rPr>
          <w:rFonts w:ascii="Arial" w:cs="Arial" w:eastAsia="Arial" w:hAnsi="Arial"/>
          <w:sz w:val="17"/>
          <w:szCs w:val="17"/>
          <w:color w:val="auto"/>
        </w:rPr>
        <w:t>Patients with MDS can have defects occurring anywhere</w:t>
      </w:r>
      <w:r>
        <w:rPr>
          <w:rFonts w:ascii="Arial" w:cs="Arial" w:eastAsia="Arial" w:hAnsi="Arial"/>
          <w:sz w:val="17"/>
          <w:szCs w:val="17"/>
          <w:i w:val="1"/>
          <w:iCs w:val="1"/>
          <w:color w:val="auto"/>
        </w:rPr>
        <w:t xml:space="preserve"> </w:t>
      </w:r>
      <w:r>
        <w:rPr>
          <w:rFonts w:ascii="Arial" w:cs="Arial" w:eastAsia="Arial" w:hAnsi="Arial"/>
          <w:sz w:val="17"/>
          <w:szCs w:val="17"/>
          <w:color w:val="auto"/>
        </w:rPr>
        <w:t>along the differentiation and maturation spectrum of erythropoiesis, and often have multiple mutations that cause ineffective erythropoiesis. By acting on cell types throughout the erythropoiesis pathway, KER-050 may lead to robust responses in RS positive patients who have a characteristic defect in terminal maturation, and may also address anemia in the broader MDS population that has defects in earlier-stage erythroid cell development.</w:t>
      </w:r>
    </w:p>
    <w:p>
      <w:pPr>
        <w:spacing w:after="0" w:line="2" w:lineRule="exact"/>
        <w:rPr>
          <w:rFonts w:ascii="Arial" w:cs="Arial" w:eastAsia="Arial" w:hAnsi="Arial"/>
          <w:sz w:val="17"/>
          <w:szCs w:val="17"/>
          <w:color w:val="auto"/>
        </w:rPr>
      </w:pPr>
    </w:p>
    <w:p>
      <w:pPr>
        <w:ind w:left="660" w:right="120" w:hanging="331"/>
        <w:spacing w:after="0" w:line="247" w:lineRule="auto"/>
        <w:tabs>
          <w:tab w:leader="none" w:pos="65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Increased platelet counts in blood. </w:t>
      </w:r>
      <w:r>
        <w:rPr>
          <w:rFonts w:ascii="Arial" w:cs="Arial" w:eastAsia="Arial" w:hAnsi="Arial"/>
          <w:sz w:val="17"/>
          <w:szCs w:val="17"/>
          <w:color w:val="auto"/>
        </w:rPr>
        <w:t>Ineffective hematopoiesis in patients with MDS and in patients with myelofibrosis can result in</w:t>
      </w:r>
      <w:r>
        <w:rPr>
          <w:rFonts w:ascii="Arial" w:cs="Arial" w:eastAsia="Arial" w:hAnsi="Arial"/>
          <w:sz w:val="17"/>
          <w:szCs w:val="17"/>
          <w:i w:val="1"/>
          <w:iCs w:val="1"/>
          <w:color w:val="auto"/>
        </w:rPr>
        <w:t xml:space="preserve"> </w:t>
      </w:r>
      <w:r>
        <w:rPr>
          <w:rFonts w:ascii="Arial" w:cs="Arial" w:eastAsia="Arial" w:hAnsi="Arial"/>
          <w:sz w:val="17"/>
          <w:szCs w:val="17"/>
          <w:color w:val="auto"/>
        </w:rPr>
        <w:t>thrombocytopenia, which can lead to an increased risk of bleeding events. We believe treatment with KER-050 has the potential to address the MDS- and myelofibrosis-associated thrombocytopenia.</w:t>
      </w:r>
    </w:p>
    <w:p>
      <w:pPr>
        <w:ind w:left="660" w:right="140" w:hanging="331"/>
        <w:spacing w:after="0" w:line="247" w:lineRule="auto"/>
        <w:tabs>
          <w:tab w:leader="none" w:pos="65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Reduced accumulation of progenitor cells. </w:t>
      </w:r>
      <w:r>
        <w:rPr>
          <w:rFonts w:ascii="Arial" w:cs="Arial" w:eastAsia="Arial" w:hAnsi="Arial"/>
          <w:sz w:val="17"/>
          <w:szCs w:val="17"/>
          <w:color w:val="auto"/>
        </w:rPr>
        <w:t>Ineffective hematopoiesis in patients with MDS and in patients with myelofibrosis can be caused</w:t>
      </w:r>
      <w:r>
        <w:rPr>
          <w:rFonts w:ascii="Arial" w:cs="Arial" w:eastAsia="Arial" w:hAnsi="Arial"/>
          <w:sz w:val="17"/>
          <w:szCs w:val="17"/>
          <w:i w:val="1"/>
          <w:iCs w:val="1"/>
          <w:color w:val="auto"/>
        </w:rPr>
        <w:t xml:space="preserve"> </w:t>
      </w:r>
      <w:r>
        <w:rPr>
          <w:rFonts w:ascii="Arial" w:cs="Arial" w:eastAsia="Arial" w:hAnsi="Arial"/>
          <w:sz w:val="17"/>
          <w:szCs w:val="17"/>
          <w:color w:val="auto"/>
        </w:rPr>
        <w:t>by excessive production of blood cell progenitors that are unable to complete differentiation and ultimately become mature blood cells. We believe treatment with KER-050 will stimulate these progenitors to progress to maturation, ameliorating the accumulation of these cells that lead to MDS- and myelofibrosis-associated cytopenias.</w:t>
      </w:r>
    </w:p>
    <w:p>
      <w:pPr>
        <w:ind w:left="660" w:right="420" w:hanging="331"/>
        <w:spacing w:after="0" w:line="252" w:lineRule="auto"/>
        <w:tabs>
          <w:tab w:leader="none" w:pos="653"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Robust and sustained increase in red blood cells, hemoglobin and reticulocytes, supporting monthly or less frequent dosing. </w:t>
      </w:r>
      <w:r>
        <w:rPr>
          <w:rFonts w:ascii="Arial" w:cs="Arial" w:eastAsia="Arial" w:hAnsi="Arial"/>
          <w:sz w:val="17"/>
          <w:szCs w:val="17"/>
          <w:color w:val="auto"/>
        </w:rPr>
        <w:t>ESAs can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dosing up to three times a week. We believe that treatment with KER-050 has the potential to reduce the frequency of dosing to every four weeks or less frequently, thereby decreasing the burden on patients and potentially improving compliance.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Ongoing Phase 2 Clinical Trial in Patients with Myelodysplastic Syndromes</w:t>
      </w:r>
    </w:p>
    <w:p>
      <w:pPr>
        <w:spacing w:after="0" w:line="47"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are conducting an open label, two-part, multiple ascending dose Phase 2 clinical trial to evaluate KER-050 in participants with very low-, low-, or intermediate-risk MDS who either have or have not previously received treatment with an ESA. The primary objective of this trial is to assess the safety and tolerability of KER-050 in participants with MDS that either have ring sideroblasts, or RS positive, or do not have ring sideroblasts, or non-RS. The primary objective of Part 2 of this trial is confirmation of the safety and tolerability of the selected dose levels. The secondary objectives of this trial are to evaluate the pharmacokinetics, pharmacodynamics and efficacy of KER-050. The trial design is summarized in the figure below. .</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7"/>
          <w:szCs w:val="17"/>
          <w:b w:val="1"/>
          <w:bCs w:val="1"/>
          <w:color w:val="auto"/>
        </w:rPr>
        <w:t>Phase 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122555</wp:posOffset>
            </wp:positionV>
            <wp:extent cx="4968240" cy="2982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68240" cy="298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KER-050 is being administered to patients subcutaneously once every four weeks.</w:t>
      </w:r>
    </w:p>
    <w:p>
      <w:pPr>
        <w:spacing w:after="0" w:line="16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December 2021, we presented additional data from this ongoing trial at the 63rd American Society of Hematology, or ASH, Annual Meeting and Exposition. As of October 25, 2021, which was the data cut-off date, 24 patients in Cohorts 1, 2, 3 and 4 had received at least one dose of KER-050, 16 of whom, in Cohorts 1, 2 and 3, had completed eight weeks of treatment and evaluation, which we refer to as the evaluable patients. The 16 evaluable patients were comprised of four non-transfused, or NT, three low transfusion burden, or LTB, and nine high transfusion burden, or HTB, patients. Of the 12 LTB and HTB patients, six were non-RS and six were RS positive.</w:t>
      </w:r>
    </w:p>
    <w:p>
      <w:pPr>
        <w:spacing w:after="0" w:line="167"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As of the data cut-off date, 50% (n=8/16) of the evaluable patients, three of whom were non-RS and five of whom were RS positive, achieved an overall erythroid response, which is defined as meeting one of the following two endpoints:</w:t>
      </w:r>
    </w:p>
    <w:p>
      <w:pPr>
        <w:spacing w:after="0" w:line="158" w:lineRule="exact"/>
        <w:rPr>
          <w:sz w:val="20"/>
          <w:szCs w:val="20"/>
          <w:color w:val="auto"/>
        </w:rPr>
      </w:pPr>
    </w:p>
    <w:p>
      <w:pPr>
        <w:ind w:left="640" w:hanging="311"/>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IWG 2006 Hematological improvement-erythroid, or HI-E, which is defined as either:</w:t>
      </w:r>
    </w:p>
    <w:p>
      <w:pPr>
        <w:spacing w:after="0" w:line="5" w:lineRule="exact"/>
        <w:rPr>
          <w:rFonts w:ascii="Arial" w:cs="Arial" w:eastAsia="Arial" w:hAnsi="Arial"/>
          <w:sz w:val="17"/>
          <w:szCs w:val="17"/>
          <w:color w:val="auto"/>
        </w:rPr>
      </w:pPr>
    </w:p>
    <w:p>
      <w:pPr>
        <w:ind w:left="960" w:hanging="308"/>
        <w:spacing w:after="0"/>
        <w:tabs>
          <w:tab w:leader="none" w:pos="960" w:val="left"/>
        </w:tabs>
        <w:numPr>
          <w:ilvl w:val="1"/>
          <w:numId w:val="7"/>
        </w:numPr>
        <w:rPr>
          <w:rFonts w:ascii="Arial" w:cs="Arial" w:eastAsia="Arial" w:hAnsi="Arial"/>
          <w:sz w:val="17"/>
          <w:szCs w:val="17"/>
          <w:color w:val="auto"/>
        </w:rPr>
      </w:pPr>
      <w:r>
        <w:rPr>
          <w:rFonts w:ascii="Arial" w:cs="Arial" w:eastAsia="Arial" w:hAnsi="Arial"/>
          <w:sz w:val="17"/>
          <w:szCs w:val="17"/>
          <w:color w:val="auto"/>
        </w:rPr>
        <w:t>a ≥ 1.5 g/dL increase in hemoglobin for eight weeks in LTB and NT patients; or</w:t>
      </w:r>
    </w:p>
    <w:p>
      <w:pPr>
        <w:spacing w:after="0" w:line="5" w:lineRule="exact"/>
        <w:rPr>
          <w:rFonts w:ascii="Arial" w:cs="Arial" w:eastAsia="Arial" w:hAnsi="Arial"/>
          <w:sz w:val="17"/>
          <w:szCs w:val="17"/>
          <w:color w:val="auto"/>
        </w:rPr>
      </w:pPr>
    </w:p>
    <w:p>
      <w:pPr>
        <w:ind w:left="980" w:hanging="328"/>
        <w:spacing w:after="0" w:line="247" w:lineRule="auto"/>
        <w:tabs>
          <w:tab w:leader="none" w:pos="973" w:val="left"/>
        </w:tabs>
        <w:numPr>
          <w:ilvl w:val="1"/>
          <w:numId w:val="7"/>
        </w:numPr>
        <w:rPr>
          <w:rFonts w:ascii="Arial" w:cs="Arial" w:eastAsia="Arial" w:hAnsi="Arial"/>
          <w:sz w:val="17"/>
          <w:szCs w:val="17"/>
          <w:color w:val="auto"/>
        </w:rPr>
      </w:pPr>
      <w:r>
        <w:rPr>
          <w:rFonts w:ascii="Arial" w:cs="Arial" w:eastAsia="Arial" w:hAnsi="Arial"/>
          <w:sz w:val="17"/>
          <w:szCs w:val="17"/>
          <w:color w:val="auto"/>
        </w:rPr>
        <w:t>a reduction by ≥ 4 red blood cell units transfused during any eight-week period during the trial, compared with the eight-week period prior to Cycle 1, Day 1 in HTB patients.</w:t>
      </w:r>
    </w:p>
    <w:p>
      <w:pPr>
        <w:ind w:left="660" w:right="140" w:hanging="331"/>
        <w:spacing w:after="0" w:line="257" w:lineRule="auto"/>
        <w:tabs>
          <w:tab w:leader="none" w:pos="652" w:val="left"/>
        </w:tabs>
        <w:numPr>
          <w:ilvl w:val="0"/>
          <w:numId w:val="7"/>
        </w:numPr>
        <w:rPr>
          <w:rFonts w:ascii="Arial" w:cs="Arial" w:eastAsia="Arial" w:hAnsi="Arial"/>
          <w:sz w:val="17"/>
          <w:szCs w:val="17"/>
          <w:color w:val="auto"/>
        </w:rPr>
      </w:pPr>
      <w:r>
        <w:rPr>
          <w:rFonts w:ascii="Arial" w:cs="Arial" w:eastAsia="Arial" w:hAnsi="Arial"/>
          <w:sz w:val="17"/>
          <w:szCs w:val="17"/>
          <w:color w:val="auto"/>
        </w:rPr>
        <w:t>Transfusion independence, or TI, for at least eight weeks in transfusion-dependent patients who required ≥ 2 red blood cell units transfused at baseline.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Additional data from the evaluable patients in Cohorts 1, 2 and 3 of the trial, as of the data cut-off date, include:</w:t>
      </w:r>
    </w:p>
    <w:p>
      <w:pPr>
        <w:spacing w:after="0" w:line="167" w:lineRule="exact"/>
        <w:rPr>
          <w:sz w:val="20"/>
          <w:szCs w:val="20"/>
          <w:color w:val="auto"/>
        </w:rPr>
      </w:pPr>
    </w:p>
    <w:p>
      <w:pPr>
        <w:ind w:left="640" w:hanging="31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43.8% (n=7/16) of the evaluable population achieved HI-E over an eight-week period.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45.5% (n=5/11) of the transfused patients receiving ≥ 2 red blood cell units at baseline achieved TI for at least eight weeks.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following pharmacodynamic effects were observed:</w:t>
      </w:r>
    </w:p>
    <w:p>
      <w:pPr>
        <w:spacing w:after="0" w:line="180" w:lineRule="exact"/>
        <w:rPr>
          <w:sz w:val="20"/>
          <w:szCs w:val="20"/>
          <w:color w:val="auto"/>
        </w:rPr>
      </w:pPr>
    </w:p>
    <w:p>
      <w:pPr>
        <w:ind w:left="640" w:hanging="31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Reticulocyte increases observed in patients achieving HI-E or TI endpoints.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Increases in serum soluble transferrin receptor and decreases in serum ferritin observed in patients achieving HI-E or TI endpoints.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Increases in platelets observed in patients achieving HI-E or TI.</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Together, these data demonstrate the effects of KER-050 on both erythropoiesis and thrombopoiesis and support the continued development of KER-050 as a potential treatment option for ineffective hematopoiesis in MDS.</w:t>
      </w:r>
    </w:p>
    <w:p>
      <w:pPr>
        <w:spacing w:after="0" w:line="158" w:lineRule="exact"/>
        <w:rPr>
          <w:sz w:val="20"/>
          <w:szCs w:val="20"/>
          <w:color w:val="auto"/>
        </w:rPr>
      </w:pPr>
    </w:p>
    <w:p>
      <w:pPr>
        <w:jc w:val="both"/>
        <w:ind w:right="200"/>
        <w:spacing w:after="0" w:line="250" w:lineRule="auto"/>
        <w:rPr>
          <w:sz w:val="20"/>
          <w:szCs w:val="20"/>
          <w:color w:val="auto"/>
        </w:rPr>
      </w:pPr>
      <w:r>
        <w:rPr>
          <w:rFonts w:ascii="Arial" w:cs="Arial" w:eastAsia="Arial" w:hAnsi="Arial"/>
          <w:sz w:val="17"/>
          <w:szCs w:val="17"/>
          <w:color w:val="auto"/>
        </w:rPr>
        <w:t>As of the data cut-off date, 24 patients in Cohorts 1, 2, 3 and 4 had received at least one dose of KER-050. KER-050 was observed to be generally well-tolerated as of the data cut-off date in these 24 patients. No drug-related serious adverse events or dose-limiting toxicities were reported. The most commonly reported treatment-emergent adverse events were nausea, fatigue, diarrhea and dyspnea, none of which were deemed related to study drug. Treatment-related adverse events</w:t>
      </w:r>
    </w:p>
    <w:p>
      <w:pPr>
        <w:sectPr>
          <w:pgSz w:w="11900" w:h="16838" w:orient="portrait"/>
          <w:cols w:equalWidth="0" w:num="1">
            <w:col w:w="11220"/>
          </w:cols>
          <w:pgMar w:left="320" w:top="852" w:right="359" w:bottom="1440" w:gutter="0" w:footer="0" w:header="0"/>
        </w:sect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2" w:right="359" w:bottom="1440" w:gutter="0" w:footer="0" w:header="0"/>
          <w:type w:val="continuous"/>
        </w:sectPr>
      </w:pPr>
    </w:p>
    <w:bookmarkStart w:id="13" w:name="page14"/>
    <w:bookmarkEnd w:id="13"/>
    <w:p>
      <w:pPr>
        <w:jc w:val="both"/>
        <w:spacing w:after="0" w:line="252" w:lineRule="auto"/>
        <w:rPr>
          <w:sz w:val="20"/>
          <w:szCs w:val="20"/>
          <w:color w:val="auto"/>
        </w:rPr>
      </w:pPr>
      <w:r>
        <w:rPr>
          <w:rFonts w:ascii="Arial" w:cs="Arial" w:eastAsia="Arial" w:hAnsi="Arial"/>
          <w:sz w:val="17"/>
          <w:szCs w:val="17"/>
          <w:color w:val="auto"/>
        </w:rPr>
        <w:t>were reported in four patients, which were mild or moderate in severity, and did not lead to dose modification or treatment discontinuation. No patients developed high-risk MDS or acute myeloid leukemia. Two patients withdrew from the trial prior to completing eight weeks of treatment with KER-050, one due to death deemed unrelated to study drug and one due to withdrawn patient consent.</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Ongoing Phase 2 Clinical Trial in Patients with Myelofibrosis-Associated Cytopenias</w:t>
      </w:r>
    </w:p>
    <w:p>
      <w:pPr>
        <w:spacing w:after="0" w:line="6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are conducting an open label, two-part, multiple ascending dose Phase 2 clinical trial to evaluate KER-050 as a monotherapy and in combination with ruxolitinib in participants with myelofibrosis-associated cytopenias. The primary objective of this trial is to assess the safety and tolerability of KER-050 in participants with myelofibrosis-associated cytopenias. The primary objective of Part 2 of this trial is confirmation of the safety and tolerability of the selected dose levels. The secondary objectives of this trial are to evaluate the pharmacokinetics, pharmacodynamics and efficacy of KER-050 administered with or without ruxolitinib. The trial design is summarized in the figure below.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Phase 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122555</wp:posOffset>
            </wp:positionV>
            <wp:extent cx="4346575" cy="3834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46575" cy="383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Clinical Development Strategy</w:t>
      </w:r>
    </w:p>
    <w:p>
      <w:pPr>
        <w:spacing w:after="0" w:line="47"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We expect to report additional data from the Phase 2 clinical trial in patients with MDS in mid-2022 and initial data from the Phase 2 clinical trial in patients with myelofibrosis-associated cytopenias by the end of 2022.</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Completed Phase 1 Clinical Trial</w:t>
      </w:r>
    </w:p>
    <w:p>
      <w:pPr>
        <w:spacing w:after="0" w:line="61"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In January 2020, we completed a randomized, double-blind, placebo-controlled, two-part, dose-escalation Phase 1 clinical trial of KER-050 in 48 healthy post-menopausal women. The primary objectives of this trial were safety, tolerability and pharmacokinetics. We also investigated changes in hematology and bone biomarkers in this clinical trial.</w:t>
      </w:r>
    </w:p>
    <w:p>
      <w:pPr>
        <w:spacing w:after="0" w:line="149"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In Part 1 of this trial, 30 subjects received a single dose of KER-050 and eight subjects received a single dose of placebo, each administered subcutaneously with a 12-week safety follow-up. The subjects were enrolled in sequential single-ascending dose escalation cohorts of up to ten subjects each. In Part 2 of this trial, eight subjects received KER-050 and two received placebo, administered subcutaneously, on two occasions 28 days apart, with a 12-week safety follow-up after the second dose. In Part 2 of this trial, only one dose level was evaluated, as it was deemed to provide the necessary data, in addition to that from Part 1 of the trial, to inform the design of the Phase 2 clinical trials of KER-050 in patients with MDS and in patients with myelofibrosis.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trial design is summarized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109855</wp:posOffset>
            </wp:positionV>
            <wp:extent cx="5318125" cy="2155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18125" cy="215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Observed tolerability data</w:t>
      </w:r>
    </w:p>
    <w:p>
      <w:pPr>
        <w:spacing w:after="0" w:line="47" w:lineRule="exact"/>
        <w:rPr>
          <w:sz w:val="20"/>
          <w:szCs w:val="20"/>
          <w:color w:val="auto"/>
        </w:rPr>
      </w:pPr>
    </w:p>
    <w:p>
      <w:pPr>
        <w:ind w:right="460"/>
        <w:spacing w:after="0" w:line="249" w:lineRule="auto"/>
        <w:rPr>
          <w:sz w:val="20"/>
          <w:szCs w:val="20"/>
          <w:color w:val="auto"/>
        </w:rPr>
      </w:pPr>
      <w:r>
        <w:rPr>
          <w:rFonts w:ascii="Arial" w:cs="Arial" w:eastAsia="Arial" w:hAnsi="Arial"/>
          <w:sz w:val="17"/>
          <w:szCs w:val="17"/>
          <w:color w:val="auto"/>
        </w:rPr>
        <w:t>KER-050 was well tolerated in this Phase 1 clinical trial at dose levels up to 4.5 mg/kg, the highest dose level tested, and multiple doses of 0.75 mg/kg. While one subject in the placebo group withdrew consent, there were no discontinuations due to treatment-related adverse events. No treatment-related serious adverse events were reported. The most common adverse events observed in subjects in this trial were nausea, gastroenteritis, injection site erythema and, consistent with the mechanism of action of KER-050, increased hemoglobin and hypertension. The reversible, mild hypertension events were observed in subjects with an approximately 3 g/dL increase in hemoglobin.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Long half-life observed, potentially supporting monthly or less frequent dosing</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observed that KER-050 drug levels were dose proportional in Part 1 of this trial, with a mean half-life of approximately ten to 12 days. The half-life coupled with the pharmacodynamic effect observed in the hematologic parameters support the potential for administration of monthly or less frequent dosing, which we believe will decrease the burden on patients and improve compliance.</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Rapid and sustained increases in mean reticulocyte counts, hemoglobin, red blood cell counts and platelet counts observed</w:t>
      </w:r>
    </w:p>
    <w:p>
      <w:pPr>
        <w:spacing w:after="0" w:line="61"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In Part 1 of this trial, we observed rapid and sustained increases in mean reticulocyte counts, hemoglobin, red blood cell counts and platelet counts. Consistent with the underlying biology, increases in reticulocytes were observed early with increases of hemoglobin following thereafter. Increases in reticulocytes were observed as early as Day 2 and reached a peak around Day 15. Increases in hemoglobin concentration were also observed as early as Day 2, reached a peak around Day 29 and remained elevated for several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108585</wp:posOffset>
            </wp:positionV>
            <wp:extent cx="5318125" cy="1525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18125" cy="1525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5" w:name="page16"/>
    <w:bookmarkEnd w:id="15"/>
    <w:p>
      <w:pPr>
        <w:ind w:right="380"/>
        <w:spacing w:after="0" w:line="257" w:lineRule="auto"/>
        <w:rPr>
          <w:sz w:val="20"/>
          <w:szCs w:val="20"/>
          <w:color w:val="auto"/>
        </w:rPr>
      </w:pPr>
      <w:r>
        <w:rPr>
          <w:rFonts w:ascii="Arial" w:cs="Arial" w:eastAsia="Arial" w:hAnsi="Arial"/>
          <w:sz w:val="17"/>
          <w:szCs w:val="17"/>
          <w:color w:val="auto"/>
        </w:rPr>
        <w:t>We also observed a dose-dependent increase in the proportion of subjects with hemoglobin increases of at least 1.5 g/dL. We believe a 1.5 g/dL increase would be considered clinically meaningful in patients with low red blood cell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2033270</wp:posOffset>
            </wp:positionH>
            <wp:positionV relativeFrom="paragraph">
              <wp:posOffset>95885</wp:posOffset>
            </wp:positionV>
            <wp:extent cx="3076575" cy="2053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76575" cy="205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In addition to the changes in erythroid parameters, robust, dose-dependent increases in platelet count were observed after a single dose of KER-050. All subjects who received a 4.5 mg/kg dose of KER-050, the highest dose evaluated, demonstrated an increase of 30 x 10</w:t>
      </w:r>
      <w:r>
        <w:rPr>
          <w:rFonts w:ascii="Arial" w:cs="Arial" w:eastAsia="Arial" w:hAnsi="Arial"/>
          <w:sz w:val="22"/>
          <w:szCs w:val="22"/>
          <w:color w:val="auto"/>
          <w:vertAlign w:val="superscript"/>
        </w:rPr>
        <w:t>9</w:t>
      </w:r>
      <w:r>
        <w:rPr>
          <w:rFonts w:ascii="Arial" w:cs="Arial" w:eastAsia="Arial" w:hAnsi="Arial"/>
          <w:sz w:val="17"/>
          <w:szCs w:val="17"/>
          <w:color w:val="auto"/>
        </w:rPr>
        <w:t xml:space="preserve"> cells/L or greater at any one point in the trial, which we believe would be considered clinically meaningful in patients with low platelet 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104775</wp:posOffset>
            </wp:positionV>
            <wp:extent cx="5156200" cy="2394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56200" cy="239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believe the rapid onset and durability of increased hemoglobin and platelet count observed in our Phase 1 clinical trial supports the potential for a dual effect of KER-050 on both early-stage differentiation and terminal maturation.</w:t>
      </w:r>
    </w:p>
    <w:p>
      <w:pPr>
        <w:spacing w:after="0" w:line="145"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Additionally, we observed reductions in follicle-stimulating hormone, a biomarker of activin inhibition, following administration of KER-050, which we believe is indicative of target engagement and activin inhibition. We also observed an increase in</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6" w:name="page17"/>
    <w:bookmarkEnd w:id="16"/>
    <w:p>
      <w:pPr>
        <w:ind w:right="360"/>
        <w:spacing w:after="0" w:line="257" w:lineRule="auto"/>
        <w:rPr>
          <w:sz w:val="20"/>
          <w:szCs w:val="20"/>
          <w:color w:val="auto"/>
        </w:rPr>
      </w:pPr>
      <w:r>
        <w:rPr>
          <w:rFonts w:ascii="Arial" w:cs="Arial" w:eastAsia="Arial" w:hAnsi="Arial"/>
          <w:sz w:val="17"/>
          <w:szCs w:val="17"/>
          <w:color w:val="auto"/>
        </w:rPr>
        <w:t>bone-specific alkaline phosphatase, a biomarker of bone remodeling, which we believe demonstrates that KER-050 has the potential to increase bone mass.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95885</wp:posOffset>
            </wp:positionV>
            <wp:extent cx="5318125" cy="19773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18125" cy="197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Preclinical Data</w:t>
      </w:r>
    </w:p>
    <w:p>
      <w:pPr>
        <w:spacing w:after="0" w:line="29" w:lineRule="exact"/>
        <w:rPr>
          <w:sz w:val="20"/>
          <w:szCs w:val="20"/>
          <w:color w:val="auto"/>
        </w:rPr>
      </w:pPr>
    </w:p>
    <w:p>
      <w:pPr>
        <w:ind w:right="740"/>
        <w:spacing w:after="0" w:line="279" w:lineRule="auto"/>
        <w:rPr>
          <w:sz w:val="20"/>
          <w:szCs w:val="20"/>
          <w:color w:val="auto"/>
        </w:rPr>
      </w:pPr>
      <w:r>
        <w:rPr>
          <w:rFonts w:ascii="Arial" w:cs="Arial" w:eastAsia="Arial" w:hAnsi="Arial"/>
          <w:sz w:val="17"/>
          <w:szCs w:val="17"/>
          <w:color w:val="auto"/>
        </w:rPr>
        <w:t xml:space="preserve">KER-050 was observed to inhibit ligands that signal through activin receptors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and to potently regulate hematopoiesis in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studies. Specifically, KER-050 demonstrated in these studies:</w:t>
      </w:r>
    </w:p>
    <w:p>
      <w:pPr>
        <w:spacing w:after="0" w:line="141" w:lineRule="exact"/>
        <w:rPr>
          <w:sz w:val="20"/>
          <w:szCs w:val="20"/>
          <w:color w:val="auto"/>
        </w:rPr>
      </w:pPr>
    </w:p>
    <w:p>
      <w:pPr>
        <w:ind w:left="640" w:hanging="31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high affinity for and potent inhibition of ligands involved in the regulation of hematopoiesis;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maturation of early- and terminal-stage erythroid progenitors in wild-type mice;</w:t>
      </w:r>
    </w:p>
    <w:p>
      <w:pPr>
        <w:spacing w:after="0" w:line="5"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increased serum erythropoietin levels in wild-type mice;</w:t>
      </w:r>
    </w:p>
    <w:p>
      <w:pPr>
        <w:spacing w:after="0" w:line="5"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increased red blood cell production in mice and non-human primates; and</w:t>
      </w:r>
    </w:p>
    <w:p>
      <w:pPr>
        <w:spacing w:after="0" w:line="5"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increased platelets in wild-type mice.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KER-050 observed to target ligands that signal through ActRIIA and ActRIIB</w:t>
      </w:r>
    </w:p>
    <w:p>
      <w:pPr>
        <w:spacing w:after="0" w:line="4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KER-050 is a modified ActRIIA ligand trap that contains sequences from both wild-type ActRIIA and wild-type ActRIIB. KER-050 was observed to bind to and inhibit multiple ligands that signal through these cell surface receptors, including activin A, activin B and growth differentiation factor 11. These ligands are key regulators of hematopoiesis that restrict blood cell progenitors from continuing through differentiation and developing into mature cells with specialized function. The KER-050-mediated inhibition of these regulators stimulated the progenitors to progress to maturation and, consequently, increased the number of mature cells in the blood.</w:t>
      </w:r>
    </w:p>
    <w:p>
      <w:pPr>
        <w:spacing w:after="0" w:line="154" w:lineRule="exact"/>
        <w:rPr>
          <w:sz w:val="20"/>
          <w:szCs w:val="20"/>
          <w:color w:val="auto"/>
        </w:rPr>
      </w:pPr>
    </w:p>
    <w:p>
      <w:pPr>
        <w:ind w:left="320" w:right="760"/>
        <w:spacing w:after="0" w:line="279" w:lineRule="auto"/>
        <w:rPr>
          <w:sz w:val="20"/>
          <w:szCs w:val="20"/>
          <w:color w:val="auto"/>
        </w:rPr>
      </w:pPr>
      <w:r>
        <w:rPr>
          <w:rFonts w:ascii="Arial" w:cs="Arial" w:eastAsia="Arial" w:hAnsi="Arial"/>
          <w:sz w:val="18"/>
          <w:szCs w:val="18"/>
          <w:i w:val="1"/>
          <w:iCs w:val="1"/>
          <w:color w:val="auto"/>
        </w:rPr>
        <w:t>Mouse version of KER-050 observed to potently stimulate red blood cell parameters and to increase the populations of erythroid progenitors</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In a preclinical study conducted in mice, a single, subcutaneous 10 mg/kg dose of a mouse version of KER-050, or RKER-050, increased red blood cell parameters, including red blood cell number and reticulocytes, as early as 12 hours. We believe the rapid onset of the effect is consistent with terminal maturation of late-stage erythroid precursors. RKER-050 has been modified to have a murine Fc domain in place of the human Fc domain present in KER-050, in order to minimize results confounded by the development of anti-drug antibodies in mice treated with a human protein.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Increase in Red Blood Cells and Reticulocytes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130810</wp:posOffset>
            </wp:positionV>
            <wp:extent cx="5318125" cy="1346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812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P value &lt;0.05; ** P value &lt;0.01; NS = not significant</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also observed increases in colony forming unit-erythroid progenitors as soon as Day 2, consistent with an effect on early stages of erythropoiesis, followed by changes in polychromatophilic/early-orthochromatic erythroid precursors as soon as</w:t>
      </w:r>
    </w:p>
    <w:p>
      <w:pPr>
        <w:sectPr>
          <w:pgSz w:w="11900" w:h="16838" w:orient="portrait"/>
          <w:cols w:equalWidth="0" w:num="1">
            <w:col w:w="11200"/>
          </w:cols>
          <w:pgMar w:left="320" w:top="872" w:right="379" w:bottom="1440" w:gutter="0" w:footer="0" w:header="0"/>
        </w:sect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color w:val="auto"/>
        </w:rPr>
        <w:t>Day 4 and late orthochromatic erythroblasts/reticulocytes by Day 7, which is consistent with progression of cells through erythropoiesis.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RKER-050 also observed to increase numbers of erythroid progenitors in mice</w:t>
      </w:r>
    </w:p>
    <w:p>
      <w:pPr>
        <w:spacing w:after="0" w:line="6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To evaluate the mechanism of action of RKER-050 in erythropoiesis, we collected and analyzed bone marrow from RKER-050-treated mice for erythroid progenitors. We observed a RKER-050-mediated increase in the proerythroblast, or Pro-E, population in a flow cytometry analysis that used antibodies directed against cell surface markers to label-specific cell populations.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Increase in Overall Numbers of Proerythroblasts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3063875</wp:posOffset>
            </wp:positionH>
            <wp:positionV relativeFrom="paragraph">
              <wp:posOffset>122555</wp:posOffset>
            </wp:positionV>
            <wp:extent cx="1022985" cy="1346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298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rapid expansion of the Pro-E population also coincided with decreased numbers of erythroid burst-forming units and erythroid colony-forming units, the cells that give rise to Pro-E cells, which demonstrates that treatment with RKER-050 stimulated the erythroid burst-forming units and erythroid colony-forming units into erythroid differentiation. Since treatment with RKER-050 stimulated the earliest progenitors in the erythroid lineage to progress to maturation and increased the Pro-E pool, the first cells to start synthesis of hemoglobin, we believe KER-050 has the potential to affect the early stages of erythropoiesis.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RKER-050 also observed to increase serum erythropoietin and bone marrow erythropoietin receptor expression in mice</w:t>
      </w:r>
    </w:p>
    <w:p>
      <w:pPr>
        <w:spacing w:after="0" w:line="61"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In addition, a single dose of RKER-050 increased red blood cells and hemoglobin through at least Day 51 (+8.5% and +3%, respectively). Concurrently, despite increased erythropoiesis, erythropoietin levels were greater than two-fold higher than controls, starting at Day 4, continuing through Day 37 and returning to baseline by Day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107315</wp:posOffset>
            </wp:positionV>
            <wp:extent cx="2556510" cy="1866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56510" cy="186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P value &lt;0.05; ** P value &lt;0.01; **** P value &lt;0.0001</w:t>
      </w:r>
    </w:p>
    <w:p>
      <w:pPr>
        <w:spacing w:after="0" w:line="180" w:lineRule="exact"/>
        <w:rPr>
          <w:sz w:val="20"/>
          <w:szCs w:val="20"/>
          <w:color w:val="auto"/>
        </w:rPr>
      </w:pPr>
    </w:p>
    <w:p>
      <w:pPr>
        <w:jc w:val="both"/>
        <w:ind w:right="60"/>
        <w:spacing w:after="0" w:line="249" w:lineRule="auto"/>
        <w:rPr>
          <w:sz w:val="20"/>
          <w:szCs w:val="20"/>
          <w:color w:val="auto"/>
        </w:rPr>
      </w:pPr>
      <w:r>
        <w:rPr>
          <w:rFonts w:ascii="Arial" w:cs="Arial" w:eastAsia="Arial" w:hAnsi="Arial"/>
          <w:sz w:val="17"/>
          <w:szCs w:val="17"/>
          <w:color w:val="auto"/>
        </w:rPr>
        <w:t>We believe that these results suggest that RKER-050 potentially elicits the combined effects of stimulating terminal maturation of late-stage erythroid precursors to rapidly increase red blood cells and potentially mobilizes a prolonged supply of progenitors through expansion of early-stage precursor populations that allows for sustained upregulation of erythropoiesis. Additionally, we believe the observed increase in erythropoietin could contribute to the durability in red blood cell production we observed in preclinical studies and supports the durability of the red blood cell increase we observed in our Phase 1 clinical trial of KER-050 in healthy post-menopausal women.</w:t>
      </w:r>
    </w:p>
    <w:p>
      <w:pPr>
        <w:spacing w:after="0" w:line="154"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Given that KER-050 increased early erythroid precursor cell pools in this preclinical study and its effect on upregulating serum erythropoietin, we believe KER-050 has the potential to treat patients with MDS that have hypocellular bone marrow. We believe the observed increases in serum erythropoietin in mice that were dosed with KER-050 support the potential of</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18" w:name="page19"/>
    <w:bookmarkEnd w:id="18"/>
    <w:p>
      <w:pPr>
        <w:ind w:right="900"/>
        <w:spacing w:after="0" w:line="257" w:lineRule="auto"/>
        <w:rPr>
          <w:sz w:val="20"/>
          <w:szCs w:val="20"/>
          <w:color w:val="auto"/>
        </w:rPr>
      </w:pPr>
      <w:r>
        <w:rPr>
          <w:rFonts w:ascii="Arial" w:cs="Arial" w:eastAsia="Arial" w:hAnsi="Arial"/>
          <w:sz w:val="17"/>
          <w:szCs w:val="17"/>
          <w:color w:val="auto"/>
        </w:rPr>
        <w:t>KER-050 as a therapy for patients with low serum erythropoietin across a diverse set of diseases, including chronic kidney diseases and polycythemia.</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KER-050 also observed to increase red blood cells in non-human primates</w:t>
      </w:r>
    </w:p>
    <w:p>
      <w:pPr>
        <w:spacing w:after="0" w:line="6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believe that our observations in preclinical studies of KER-050 in non-human primates indicate that the red blood cell effects of KER-050 also translate to higher-order species. In this study, cynomolgus monkeys received subcutaneous administration every other week for three months of either vehicle or doses of 3 mg/kg, 10 mg/kg or 50 mg/kg of KER-050. Hematology was measured at baseline and on Day 92. Red cell mass, including red blood cell number, hematocrit and hemoglobin were dose-dependently increased in the cohorts receiving KER-050. These data demonstrate the translatability of red blood cell, hematocrit and hemoglobin increases observed in preclinical studies of KER-050 from mice to non-human primates.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Increase in Red Blood Cells, Hematocrit and Hemoglobin in Cynomolgus Monkeys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122555</wp:posOffset>
            </wp:positionV>
            <wp:extent cx="5096510" cy="1457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9651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RKER-050 observed to rescue ruxolitinib-induced reduction in red blood cell parameters in mice</w:t>
      </w:r>
    </w:p>
    <w:p>
      <w:pPr>
        <w:spacing w:after="0" w:line="5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 preclinical study conducted in mice, 37 days of daily treatment with 120 mg/kg ruxolitinib, or Rux, a JAK2 inhibitor, resulted in reductions in red blood cells, hemoglobin and hematocrit. RKER-050 dosed twice weekly between study days 41 and 55 in combination with continued Rux treatment reversed the Rux-induced effects on red cell parameters. These data indicate RKER-050 potentially functions independently of the JAK-STAT pathway, a system known to be defective in patients with myelofibrosis. Further, we believe that these data observed in mice support the potential that treatment with KER-050 has the potential to mitigate the dose-limiting effects of Rux and enhance the duration of therapy in patients.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Observed Increase in Red Blood Cells, Hemoglobin and Hematocrit in Mice Treated with RKER-050 in Combination with Ruxolitinib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130810</wp:posOffset>
            </wp:positionV>
            <wp:extent cx="3988435" cy="2122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88435" cy="212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KER-050 observed to stimulate platelet release into circulation in wild-type mice</w:t>
      </w:r>
    </w:p>
    <w:p>
      <w:pPr>
        <w:spacing w:after="0" w:line="61"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To evaluate the effect of KER-050 on blood cell types other than red blood cells, mice were administered a single, subcutaneous 7.5 mg/kg dose of KER-050 and had blood sampled and analyzed 4 days post-dose. Mice that received KER-050 were observed to have increased platelet counts compared to mice in the vehicle cohort. In a separate preclinical study conducted in mice, changes in platelets after a single intraperitoneal dose of 10 mg/kg RKER-050 were observed as</w:t>
      </w:r>
    </w:p>
    <w:p>
      <w:pPr>
        <w:spacing w:after="0" w:line="35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871" w:right="45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early as 12 hours post-dose. These data suggest that RKER-050 potentially increases terminal maturation of proplatelets into platelets.</w:t>
      </w:r>
    </w:p>
    <w:p>
      <w:pPr>
        <w:spacing w:after="0" w:line="147"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Observed Increase in Platelet Count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130810</wp:posOffset>
            </wp:positionV>
            <wp:extent cx="1687195" cy="2215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7195" cy="2215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 P value &lt;0.005</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RKER-050 observed to affect the early precursors in thrombopoiesis in mice</w:t>
      </w:r>
    </w:p>
    <w:p>
      <w:pPr>
        <w:spacing w:after="0" w:line="19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To evaluate the effect of RKER-050 on platelet precursors, mice were administered a single, intraperitoneal 10 mg/kg dose of RKER-050. Bone marrow analysis performed 24 hours post-dose demonstrated that RKER-050 treatment increased the CD41+ megakaryocyte precursor population, and that these cells had increased ploidy compared to vehicle-treated mice. These data suggest that RKER-050 promoted the maturation of early megakaryocyte populations and primed megakaryocytes for proplatelet production.</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Observed Levels of CD41+ Cells and Degree of Ploidy in Mice Treated with Vehicle or RKER-050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130810</wp:posOffset>
            </wp:positionV>
            <wp:extent cx="3988435" cy="2062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88435" cy="2062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 P value &lt; 0.05, ** P value &lt; 0.01</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Additionally, to understand the potential contribution that inhibiting activin A has on KER-050’s potential effect on the thrombopoiesis pathway, we compared the effects of RKER-050 and an activin A neutralizing antibody on platelet levels after 24 hours.</w:t>
      </w:r>
    </w:p>
    <w:p>
      <w:pPr>
        <w:spacing w:after="0" w:line="138"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Observed Platelet Levels in Mice Treated with Vehicle, Activin A Neutralizing Antibody or RKER-050</w:t>
      </w:r>
    </w:p>
    <w:p>
      <w:pPr>
        <w:spacing w:after="0" w:line="38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320" w:top="871" w:right="49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3139440</wp:posOffset>
            </wp:positionH>
            <wp:positionV relativeFrom="page">
              <wp:posOffset>557530</wp:posOffset>
            </wp:positionV>
            <wp:extent cx="1278255" cy="1917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78255" cy="1917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P value &lt; 0.01, *** P value &lt; 0.001</w:t>
      </w:r>
    </w:p>
    <w:p>
      <w:pPr>
        <w:spacing w:after="0" w:line="180"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Treatment with either RKER-050 or an activin A antibody both led to an increase in platelet count. These results suggest that inhibition of activin A may be partially responsible for the platelet effects observed in mice treated with RKER-050.</w:t>
      </w:r>
    </w:p>
    <w:p>
      <w:pPr>
        <w:spacing w:after="0" w:line="145" w:lineRule="exact"/>
        <w:rPr>
          <w:sz w:val="20"/>
          <w:szCs w:val="20"/>
          <w:color w:val="auto"/>
        </w:rPr>
      </w:pPr>
    </w:p>
    <w:p>
      <w:pPr>
        <w:ind w:right="360"/>
        <w:spacing w:after="0" w:line="250" w:lineRule="auto"/>
        <w:rPr>
          <w:sz w:val="20"/>
          <w:szCs w:val="20"/>
          <w:color w:val="auto"/>
        </w:rPr>
      </w:pPr>
      <w:r>
        <w:rPr>
          <w:rFonts w:ascii="Arial" w:cs="Arial" w:eastAsia="Arial" w:hAnsi="Arial"/>
          <w:sz w:val="17"/>
          <w:szCs w:val="17"/>
          <w:color w:val="auto"/>
        </w:rPr>
        <w:t>We believe that the findings from our preclinical studies and from our Phase 1 clinical trial of KER-050 in healthy post-menopausal women demonstrate the translation of biological action from rodents to humans. We also believe that data from our preclinical studies and clinical trials support that treatment with KER-050 has the potential to address ineffective hematopoiesis in diseases where multiple cytopenias arise from the blockage in progression of progenitor cells to mature blood cells, such as in MDS and myelofibrosis.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KER-047: For the Treatment of Anemia Arising from Iron Imbalance</w:t>
      </w:r>
    </w:p>
    <w:p>
      <w:pPr>
        <w:spacing w:after="0" w:line="6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are developing KER-047, our lead small molecule product candidate, for the treatment of anemia resulting from iron imbalance. We believe KER-047 is a potent and selective inhibitor of ALK2, a receptor whose excessive signaling is the underlying cause of the elevated levels of hepcidin, the key regulator of iron absorption and recycling, that leads to low iron bioavailability and anemia in a broad range of diseases. In December 2020, we reported topline data from our completed Phase 1 clinical trial of KER-047 in healthy volunteers.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Hepcidin and Iron Homeostasis</w:t>
      </w:r>
    </w:p>
    <w:p>
      <w:pPr>
        <w:spacing w:after="0" w:line="6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Iron supply in the bone marrow is critical for erythropoiesis, as iron is an essential component of hemoglobin. Although iron is required for many functions in the body, including erythropoiesis, high iron levels are toxic, so circulating levels are regulated to avoid iron overload. To maintain this balance, absorption of dietary iron is tightly controlled and recycled iron is held in the liver and macrophages, which we refer to as the storage tissues, to be mobilized quickly when circulating iron levels are too low. These storage tissues also act to sequester away iron when levels are too high. Hepcidin, a hormone produced by the liver, is the key regulator of iron absorption and recycling, and controls both the recirculation of iron from storage tissues as well as the absorption of dietary iron from the intestine.</w:t>
      </w:r>
    </w:p>
    <w:p>
      <w:pPr>
        <w:spacing w:after="0" w:line="16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Hepcidin levels are upregulated through activation of the ALK2 receptor, which is a BMP receptor belonging to the broader TGF-ß family of proteins. Hepcidin levels are tightly regulated by liver cells through BMP6 signaling via ALK2. High serum iron triggers the expression of BMP6, which then acts to increase hepcidin expression, resulting in iron sequestration, decreased iron absorption and reduced serum iron. Hepcidin is controlled by a feedback loop, and serum hepcidin levels are inversely related to serum iron levels. This feedback loop prevents this system from shifting out of balance. The system is down regulated through the activity of matriptase-2, or MT-2, a cell surface protease, which is encoded by the TMPRSS6</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1" w:name="page22"/>
    <w:bookmarkEnd w:id="21"/>
    <w:p>
      <w:pPr>
        <w:ind w:right="260"/>
        <w:spacing w:after="0" w:line="257" w:lineRule="auto"/>
        <w:rPr>
          <w:sz w:val="20"/>
          <w:szCs w:val="20"/>
          <w:color w:val="auto"/>
        </w:rPr>
      </w:pPr>
      <w:r>
        <w:rPr>
          <w:rFonts w:ascii="Arial" w:cs="Arial" w:eastAsia="Arial" w:hAnsi="Arial"/>
          <w:sz w:val="17"/>
          <w:szCs w:val="17"/>
          <w:color w:val="auto"/>
        </w:rPr>
        <w:t>gene. This protein reduces the ability of BMP6 to signal through ALK2. The below graphic illustrates a normal functioning of the negative feedback loop.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Regulation of Iron in the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1717675</wp:posOffset>
            </wp:positionH>
            <wp:positionV relativeFrom="paragraph">
              <wp:posOffset>130810</wp:posOffset>
            </wp:positionV>
            <wp:extent cx="3715385" cy="31870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15385" cy="318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Anemia Arising from Iron Imbalance, including Iron Deficiency Anemia and IRIDA</w:t>
      </w:r>
    </w:p>
    <w:p>
      <w:pPr>
        <w:spacing w:after="0" w:line="6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Failure to suppress ALK2 signaling can result in elevated hepcidin levels, which are associated with decreased dietary iron absorption, increased iron sequestration in storage tissues and low iron bioavailability in the bone marrow. These effects culminate in a shortage of serum iron, which leads to insufficient red blood cell production that manifests as mild to moderate anemia.</w:t>
      </w:r>
    </w:p>
    <w:p>
      <w:pPr>
        <w:spacing w:after="0" w:line="16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Iron deficiency anemia, or IDA, is a common form of anemia that is caused by patients not having enough iron to manufacture healthy red blood cells. IDA is associated with fatigue, lethargy, decreased quality of life, cardiovascular complications, hospitalizations and increased mortality. IDA is prevalent in many different patient populations, including patients with IDA due to chronic kidney disease, chemotherapy-induced anemia and gastrointestinal diseases or disorders. It is estimated that approximately five million people in the United States have IDA and we believe that a small fraction of the patients who are diagnosed with IDA regardless of the underlying cause are currently being treated with intravenous, or IV, iron.</w:t>
      </w:r>
    </w:p>
    <w:p>
      <w:pPr>
        <w:spacing w:after="0" w:line="154"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According to a 2021 Grand View Research, Inc. report, the global IV iron market size was approximately $2.2 billion in 2020 and was forecasted to reach $4.2 billion by 2028 at a compound annual growth rate of 8.5% during the forecast period. Approximately $685 million, or 31%, of the total IV iron market in 2020 was associated with the treatment of patients with IDA due to chronic kidney disease, which represented the largest segment. Additionally, the same report estimated that, in 2020, the North American IV iron market share was approximately $887.7 million, or 40%, the European market share was approximately $699.0 million, or 31.5%, the Asia Pacific market share was approximately $456.0 million, or 20.5%, and the Latin American and Middle Eastern/African market share were each approximately $85.0 million to $94.0 million, or 4%.</w:t>
      </w:r>
    </w:p>
    <w:p>
      <w:pPr>
        <w:spacing w:after="0" w:line="166"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High hepcidin levels can also be the result of genetic disease. Iron-refractory iron deficiency anemia, or IRIDA, is a rare, inherited form of IDA that results in loss of function of MT-2, resulting in elevated ALK2 signaling and high hepcidin levels. Patients with IRIDA have the typical symptoms of anemia, including fatigue, weakness and shortness of breath, in addition to other symptoms associated with low iron. These symptoms are most pronounced during childhood, although they tend to be mild.</w:t>
      </w:r>
    </w:p>
    <w:p>
      <w:pPr>
        <w:spacing w:after="0" w:line="165"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prevalence of IRIDA worldwide is estimated to be less than one person in 1,000,000. IRIDA was first described in 1981 with the observation that patients with anemia were refractory to treatment with oral iron. However, the association of mutations in the TMPRSS6 gene with IRIDA was not identified until 2008, and genetic testing for IRIDA is not widely available. Furthermore, affected individuals usually have normal growth and development, so IRIDA is poorly diagnosed. All these factors contribute to an inability to accurately determine the prevalence of IRIDA.</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22" w:name="page23"/>
    <w:bookmarkEnd w:id="22"/>
    <w:p>
      <w:pPr>
        <w:spacing w:after="0" w:line="249" w:lineRule="auto"/>
        <w:rPr>
          <w:sz w:val="20"/>
          <w:szCs w:val="20"/>
          <w:color w:val="auto"/>
        </w:rPr>
      </w:pPr>
      <w:r>
        <w:rPr>
          <w:rFonts w:ascii="Arial" w:cs="Arial" w:eastAsia="Arial" w:hAnsi="Arial"/>
          <w:sz w:val="17"/>
          <w:szCs w:val="17"/>
          <w:color w:val="auto"/>
        </w:rPr>
        <w:t>Proinflammatory cytokines can also result in inappropriately high ALK2 signaling, increased hepcidin expression and anemia. Patients with chronic inflammation have mild to moderate anemia resulting from low serum iron that is driven by abnormally high hepcidin levels through sustained cytokine-mediated ALK2 activation. Anemia of inflammation is the second most common cause of anemia worldwide. The prevalence of anemia varies among different inflammatory rheumatic diseases. In the United States, approximately 1,000,000 people older than age 65 suffer from diseases of chronic inflammation, including rheumatoid arthritis, systemic lupus erythematosus and ankylosing spondylitis. Anemia with high hepcidin levels has also been reported in patients with primary myelofibrosis.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of Current Treatment Options for Anemia Arising from Iron Imbalance, including IRIDA</w:t>
      </w:r>
    </w:p>
    <w:p>
      <w:pPr>
        <w:spacing w:after="0" w:line="61"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There are no current treatments that address the underlying cause of anemia arising from iron imbalance, including in patients with IDA associated with co-morbidities and in patients with IRIDA.</w:t>
      </w:r>
    </w:p>
    <w:p>
      <w:pPr>
        <w:spacing w:after="0" w:line="15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Currently, there are two common methods of iron therapy used to treat IDA: oral iron supplements and IV iron. While oral iron supplements are used as first-line iron replacement therapy for most patients, they are poorly absorbed and not well tolerated by some patients, which may adversely impact their effectiveness. The beneficial effect of oral iron supplements on increasing hemoglobin levels can require an extended treatment period, and, at times, treatment is inadequate to achieve the targeted hemoglobin levels. Conversely, iron administered by IV infusion allows larger amounts of iron to be delivered to patients in a shorter time frame, which can result in faster rises in hemoglobin levels. However, for patients with IDA associated with co-morbidities, neither of these treatments address the underlying cause of the disease. Additionally, these treatments can also cause mild side effects, such as constipation, diarrhea and cramping, and can increase the risk of very serious, life-threatening side effects, such as hypersensitivity reactions, opportunistic infections and the deposition of excess iron in organs in patients with co-morbidities such as chronic kidney disease.</w:t>
      </w:r>
    </w:p>
    <w:p>
      <w:pPr>
        <w:spacing w:after="0" w:line="155"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Separately, patients with anemia due to ineffective erythropoiesis that require frequent red blood cell transfusions may have elevated levels of hepcidin with accompanying iron overload in multiple organ systems. This chronic iron overload can lead to multiple organ dysfunction, including in the liver, heart and endocrine. Accordingly, iron chelation therapy is used to reduce iron deposits in those organs.</w:t>
      </w:r>
    </w:p>
    <w:p>
      <w:pPr>
        <w:spacing w:after="0" w:line="163"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According to a 2021 GlobalInfoResearch report, the global iron chelation market was estimated to be $1.1 billion in 2019, approximately 82% of which was associated with the treatment of patients with transfusional iron overload. Additionally, approximately 48% and 41% of the market share was in North America and Europe, respectively, in 2019.</w:t>
      </w:r>
    </w:p>
    <w:p>
      <w:pPr>
        <w:spacing w:after="0" w:line="163"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We believe that a treatment option that reestablishes normal iron homeostasis has the potential to benefit a broad range of patients, from patients with IDA to patients with anemia associated with iron overload.</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Our Solution: KER-047</w:t>
      </w:r>
    </w:p>
    <w:p>
      <w:pPr>
        <w:spacing w:after="0" w:line="47"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KER-047 is an orally-available small molecule ALK2 inhibitor designed to potently inhibit ALK2 signaling, with high selectivity for ALK2 relative to other structurally-similar TGF-ß receptors as well as other kinase families.</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Mechanism of Action of KER-047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130810</wp:posOffset>
            </wp:positionV>
            <wp:extent cx="5156200" cy="3707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56200" cy="370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believe that KER-047 has the potential to address the underlying cause of diseases arising from iron imbalance, including IDA, IRIDA and iron overload, by suppressing ALK2 signaling to normalize hepcidin expression and mobilizing iron out of tissues. We believe this effect will result in increased iron bioavailability, resulting in restoration of the production of red blood cells and a reversal of anemia in patients with IDA and patients with IRIDA. By ameliorating anemia arising from iron imbalance, we believe KER-047 can potentially eliminate the need for excessive supplementary iron or IV iron treatments and avoid the adverse events associated with those treatment options. In addition, we believe KER-047, if approved, has the potential to be beneficial in diseases of iron overload by mobilizing excess iron being stored in tissues into the serum. By ameliorating the excess iron in tissues, we believe KER-047 can potentially eliminate or reduce the need for phlebotomy and/or treatment with iron chelators, while allowing patients to avoid the adverse events associated with these treatments and providing benefit to patients where the current treatment options are largely ineffective.</w:t>
      </w:r>
    </w:p>
    <w:p>
      <w:pPr>
        <w:spacing w:after="0" w:line="16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August 2020, we announced the completion of our planned single and multiple ascending dose cohorts in a Phase 1 clinical trial of KER-047 in healthy volunteers, as well as the expansion of this trial to evaluate additional cohorts of healthy volunteers. One additional cohort of healthy volunteers was evaluated in the trial expansion. We terminated the trial after determining that the data from this cohort, in addition to the data from the planned cohorts, were sufficient to inform the design of the expected Phase 2 clinical trials of KER-047, and reported topline data from this trial in December 2020. We expect to commence two open-label Phase 2 clinical trials of KER-047 in the first half of 2022, one in patients with IDA and one in patients with IRIDA, and expect to report initial data from both trials by the end of 2022. Additionally, we intend to develop KER-047 as a potential treatment for patients who manifest anemia caused by high hepcidin levels as a secondary consequence of more common diseases.</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859" w:right="419" w:bottom="1440" w:gutter="0" w:footer="0" w:header="0"/>
        </w:sectPr>
      </w:pPr>
    </w:p>
    <w:bookmarkStart w:id="24" w:name="page25"/>
    <w:bookmarkEnd w:id="24"/>
    <w:p>
      <w:pPr>
        <w:ind w:left="320"/>
        <w:spacing w:after="0"/>
        <w:rPr>
          <w:sz w:val="20"/>
          <w:szCs w:val="20"/>
          <w:color w:val="auto"/>
        </w:rPr>
      </w:pPr>
      <w:r>
        <w:rPr>
          <w:rFonts w:ascii="Arial" w:cs="Arial" w:eastAsia="Arial" w:hAnsi="Arial"/>
          <w:sz w:val="18"/>
          <w:szCs w:val="18"/>
          <w:i w:val="1"/>
          <w:iCs w:val="1"/>
          <w:color w:val="auto"/>
        </w:rPr>
        <w:t>Completed Phase 1 Clinical Trial</w:t>
      </w:r>
    </w:p>
    <w:p>
      <w:pPr>
        <w:spacing w:after="0" w:line="47" w:lineRule="exact"/>
        <w:rPr>
          <w:sz w:val="20"/>
          <w:szCs w:val="20"/>
          <w:color w:val="auto"/>
        </w:rPr>
      </w:pPr>
    </w:p>
    <w:p>
      <w:pPr>
        <w:jc w:val="both"/>
        <w:ind w:right="520"/>
        <w:spacing w:after="0" w:line="252" w:lineRule="auto"/>
        <w:rPr>
          <w:sz w:val="20"/>
          <w:szCs w:val="20"/>
          <w:color w:val="auto"/>
        </w:rPr>
      </w:pPr>
      <w:r>
        <w:rPr>
          <w:rFonts w:ascii="Arial" w:cs="Arial" w:eastAsia="Arial" w:hAnsi="Arial"/>
          <w:sz w:val="17"/>
          <w:szCs w:val="17"/>
          <w:color w:val="auto"/>
        </w:rPr>
        <w:t>In November 2020, we completed a randomized, double-blind, placebo-controlled, two-part Phase 1 clinical trial to evaluate single and multiple ascending doses of KER-047 in healthy volunteers. The primary objectives of this trial were to assess safety, tolerability and pharmacokinetics of KER-047. The trial design is summarized in the figure below.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130810</wp:posOffset>
            </wp:positionV>
            <wp:extent cx="5318125" cy="20027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8125" cy="200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Observed tolerability data</w:t>
      </w:r>
    </w:p>
    <w:p>
      <w:pPr>
        <w:spacing w:after="0" w:line="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majority of adverse events observed in this Phase 1 clinical trial were mild or moderate in severity, and only two were severe. There were no serious adverse events reported in this trial. The most common adverse events observed in healthy volunteers in this trial were abdominal discomfort, chills, decreased appetite, diarrhea, dizziness, fatigue, gastroenteritis, headache, lymphopenia, myalgia, nausea, neutropenia, pyrexia, rhinorrhea, tonsilitis, upper abdominal pain and vomiting. In Part 2 of this trial, ten of 40 participants administered KER-047 and one of 11 participants administered placebo discontinued study drug due to adverse events. Adverse events that led to study drug discontinuation in three or more participants in the KER-047 groups included lymphopenia and chills. Lymphopenia, which we believe is consistent with KER-047’s mechanism of action, was observed after multiple doses and was reversible after discontinuation of study drug.</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Rapid mobilization of iron stores resulted in increased reticulocyte hemoglobin content of newly-produced immature red blood cells</w:t>
      </w:r>
    </w:p>
    <w:p>
      <w:pPr>
        <w:spacing w:after="0" w:line="6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this Phase 1 clinical trial, we observed rapid, robust and sustained dose-related increases in serum iron and transferrin saturation in the volunteers who received KER-047, which was associated with decreases in ferritin, an effect that is consistent with mobilization of iron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104775</wp:posOffset>
            </wp:positionV>
            <wp:extent cx="5727065" cy="1491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2706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also observed a reduction in serum hepcidin in Cohorts 1 through 3 of Part 2 of this trial (50 mg, 100 mg and 200 mg dose groups), which we believe is consistent with KER-047’s mechanism of action. These data were not collected in Part 1 of this trial or in Cohort 4 of Part 2 of this trial (350 mg dose group).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2 of the Trial: Hepcidin Percent Change from Baseline at Day 7, 8 Hours Post-Dose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2576830</wp:posOffset>
            </wp:positionH>
            <wp:positionV relativeFrom="page">
              <wp:posOffset>557530</wp:posOffset>
            </wp:positionV>
            <wp:extent cx="2394585" cy="14573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39458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Additionally, we observed a decrease in hepcidin as early as four hours after administration of the first dose in Cohort 5 of Part 2 of this trial (100 mg dose group).</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also observed an increase in reticulocyte hemoglobin in Cohorts 1 through 4 of Part 2 of this trial, starting on Day 4 of treatment.</w:t>
      </w:r>
    </w:p>
    <w:p>
      <w:pPr>
        <w:spacing w:after="0" w:line="147"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Mean Reticulocyte Hemoglobin at Each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130810</wp:posOffset>
            </wp:positionV>
            <wp:extent cx="2803525" cy="1704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03525" cy="170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We believe the observed decrease in ferritin and hepcidin coupled with the observed increases in reticulocyte hemoglobin content are indicative of increased iron mobilization. Importantly, we believe the mobilized iron is available for incorporation into hemoglobin as evidenced by the increase in reticulocyte hemoglobin, a measure of hemoglobin content from newly-produced immature red blood cells. These erythroid precursors potentially would continue maturation into hemoglobin-rich red blood cells.</w:t>
      </w:r>
    </w:p>
    <w:p>
      <w:pPr>
        <w:spacing w:after="0" w:line="165" w:lineRule="exact"/>
        <w:rPr>
          <w:sz w:val="20"/>
          <w:szCs w:val="20"/>
          <w:color w:val="auto"/>
        </w:rPr>
      </w:pPr>
    </w:p>
    <w:p>
      <w:pPr>
        <w:ind w:right="520"/>
        <w:spacing w:after="0" w:line="257" w:lineRule="auto"/>
        <w:rPr>
          <w:sz w:val="20"/>
          <w:szCs w:val="20"/>
          <w:color w:val="auto"/>
        </w:rPr>
      </w:pPr>
      <w:r>
        <w:rPr>
          <w:rFonts w:ascii="Arial" w:cs="Arial" w:eastAsia="Arial" w:hAnsi="Arial"/>
          <w:sz w:val="17"/>
          <w:szCs w:val="17"/>
          <w:color w:val="auto"/>
        </w:rPr>
        <w:t>We also observed decreases in lymphocytes following peak increases in serum iron in this trial, which we believe is consistent with KER-047’s mechanism of action and suggestive of depletion of tissue iron.</w:t>
      </w:r>
    </w:p>
    <w:p>
      <w:pPr>
        <w:spacing w:after="0" w:line="158"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We believe the data from this Phase 1 clinical trial support the potential for KER-047 to be developed as a treatment for diseases arising from iron imbalance.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Observed reductions in total cholesterol</w:t>
      </w:r>
    </w:p>
    <w:p>
      <w:pPr>
        <w:spacing w:after="0" w:line="6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Reductions in total cholesterol, low-density lipoproteins, or LDL, and high-density lipoproteins were observed in Part 2 of this trial. The reductions in total cholesterol and LDL were achieved rapidly with a mean reduction of greater than 20% at the highest dose, following seven days of dosing.</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Clinical Development Strategy</w:t>
      </w:r>
    </w:p>
    <w:p>
      <w:pPr>
        <w:spacing w:after="0" w:line="4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December 2020, we reported topline data from our completed Phase 1 clinical trial of KER-047 in healthy volunteers. We expect to commence two open-label Phase 2 clinical trials in the first half of 2022, one in patients with IDA and one in patients with IRIDA, and expect to report initial data from both trials by the end of 2022.</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Preclinical Data</w:t>
      </w:r>
    </w:p>
    <w:p>
      <w:pPr>
        <w:spacing w:after="0" w:line="61"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KER-047 was observed in preclinical studies to be a potent and highly selective ALK2 inhibitor and to change serum iron levels. Specifically, KER-047 demonstrated in these studies:</w:t>
      </w:r>
    </w:p>
    <w:p>
      <w:pPr>
        <w:spacing w:after="0" w:line="145" w:lineRule="exact"/>
        <w:rPr>
          <w:sz w:val="20"/>
          <w:szCs w:val="20"/>
          <w:color w:val="auto"/>
        </w:rPr>
      </w:pPr>
    </w:p>
    <w:p>
      <w:pPr>
        <w:ind w:left="640" w:hanging="31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selectivity for ALK2 compared to other structurally-related TGF-ß and non-TGF-ß kinases;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increased serum iron levels in rat studies;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reversal of high hepcidin levels and low hemoglobin levels in a mouse model of IRIDA.</w:t>
      </w:r>
    </w:p>
    <w:p>
      <w:pPr>
        <w:sectPr>
          <w:pgSz w:w="11900" w:h="16838" w:orient="portrait"/>
          <w:cols w:equalWidth="0" w:num="1">
            <w:col w:w="11180"/>
          </w:cols>
          <w:pgMar w:left="320" w:top="1440" w:right="399" w:bottom="1440" w:gutter="0" w:footer="0" w:header="0"/>
        </w:sect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26" w:name="page27"/>
    <w:bookmarkEnd w:id="26"/>
    <w:p>
      <w:pPr>
        <w:ind w:left="320"/>
        <w:spacing w:after="0"/>
        <w:rPr>
          <w:sz w:val="20"/>
          <w:szCs w:val="20"/>
          <w:color w:val="auto"/>
        </w:rPr>
      </w:pPr>
      <w:r>
        <w:rPr>
          <w:rFonts w:ascii="Arial" w:cs="Arial" w:eastAsia="Arial" w:hAnsi="Arial"/>
          <w:sz w:val="18"/>
          <w:szCs w:val="18"/>
          <w:i w:val="1"/>
          <w:iCs w:val="1"/>
          <w:color w:val="auto"/>
        </w:rPr>
        <w:t>KER-047 observed to be a potent and highly selective ALK2 receptor inhibitor in a biochemical assay</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In standard biochemical kinase screenings, KER-047 exhibited low nanomolar potency for ALK2. Under the conditions of this assay, KER-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047 exhibited at least an eight-fold selectivity over the other structurally-related TGF-ß kinases. In a 370-member kinase panel, only two non-TGF-</w:t>
      </w:r>
    </w:p>
    <w:p>
      <w:pPr>
        <w:spacing w:after="0" w:line="6" w:lineRule="exact"/>
        <w:rPr>
          <w:sz w:val="20"/>
          <w:szCs w:val="20"/>
          <w:color w:val="auto"/>
        </w:rPr>
      </w:pPr>
    </w:p>
    <w:p>
      <w:pPr>
        <w:ind w:right="520" w:firstLine="7"/>
        <w:spacing w:after="0" w:line="257" w:lineRule="auto"/>
        <w:tabs>
          <w:tab w:leader="none" w:pos="151" w:val="left"/>
        </w:tabs>
        <w:numPr>
          <w:ilvl w:val="0"/>
          <w:numId w:val="12"/>
        </w:numPr>
        <w:rPr>
          <w:rFonts w:ascii="Arial" w:cs="Arial" w:eastAsia="Arial" w:hAnsi="Arial"/>
          <w:sz w:val="17"/>
          <w:szCs w:val="17"/>
          <w:color w:val="auto"/>
        </w:rPr>
      </w:pPr>
      <w:r>
        <w:rPr>
          <w:rFonts w:ascii="Arial" w:cs="Arial" w:eastAsia="Arial" w:hAnsi="Arial"/>
          <w:sz w:val="17"/>
          <w:szCs w:val="17"/>
          <w:color w:val="auto"/>
        </w:rPr>
        <w:t>kinases were inhibited less than 75% at a KER-047 concentration of 1 µM. We believe these preclinical data further support the potency and selectivity of KER-047 for the ALK2 domain.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Highly Selective ALK2 Receptor Inhibitor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130810</wp:posOffset>
            </wp:positionV>
            <wp:extent cx="3570605" cy="3928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70605" cy="392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kinase selectivity of KER-047 is shown in the dendrogram above. Compounds were screened at 1 µM against a panel of over 370 kinases and disease-relevant mutants. Each branch of the dendogram represents an individual human kinase. Kinases bound by the compound are indicated by red circles on the kinome tree. The degree of binding corresponds to the size of the circle. As illustrated by the largest red circle in the above graphic, KER-047 was observed to be a potent ALK2 inhibitor and a weak inhibitor of other members of the TGF-ß family of receptors.</w:t>
      </w:r>
    </w:p>
    <w:p>
      <w:pPr>
        <w:spacing w:after="0" w:line="165" w:lineRule="exact"/>
        <w:rPr>
          <w:sz w:val="20"/>
          <w:szCs w:val="20"/>
          <w:color w:val="auto"/>
        </w:rPr>
      </w:pPr>
    </w:p>
    <w:p>
      <w:pPr>
        <w:ind w:right="360"/>
        <w:spacing w:after="0" w:line="252" w:lineRule="auto"/>
        <w:rPr>
          <w:sz w:val="20"/>
          <w:szCs w:val="20"/>
          <w:color w:val="auto"/>
        </w:rPr>
      </w:pPr>
      <w:r>
        <w:rPr>
          <w:rFonts w:ascii="Arial" w:cs="Arial" w:eastAsia="Arial" w:hAnsi="Arial"/>
          <w:sz w:val="17"/>
          <w:szCs w:val="17"/>
          <w:color w:val="auto"/>
        </w:rPr>
        <w:t>In cell-based assays that more directly tested the functional ability of KER-047 to suppress receptor signaling, KER-047 exhibited low nanomolar potency. In assays evaluating the effect of KER-047 on receptors with the highest structural homology to ALK2, KER-047 had at least 20-fold selectivity for ALK2, compared to ALK1 and ALK5, which have 77% and 65% homology to ALK2, respectively.</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KER-047 inhibition of ALK2 signaling resulted in increased serum iron and transferrin saturation in multiple animal models</w:t>
      </w:r>
    </w:p>
    <w:p>
      <w:pPr>
        <w:spacing w:after="0" w:line="6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believe that data from preclinical studies support a link between ALK2 signaling, hepcidin expression and serum iron across multiple preclinical species in both healthy and disease models. Serum iron is an indicator of whether there is adequate iron available in the body. Total iron binding capacity is the measure of the maximum amount of iron that can be bound by transferrin, an iron-binding protein, and is a surrogate measurement of serum transferrin levels. Transferrin saturation is calculated by dividing serum iron by total iron binding capacity and is an indicator of how well the body is transporting the iron in blood. Taken together, these values are an indication of the state of iron balance in the body.</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evaluated serum iron, total iron binding capacity and transferrin saturation in Sprague-Dawley rats that received daily, oral administration of either vehicle or doses of 1 mg/kg, 2.5 mg/kg, 5 mg/kg or 15 mg/kg of KER-047 for three months. Rats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27" w:name="page28"/>
    <w:bookmarkEnd w:id="27"/>
    <w:p>
      <w:pPr>
        <w:ind w:right="360"/>
        <w:spacing w:after="0" w:line="257" w:lineRule="auto"/>
        <w:rPr>
          <w:sz w:val="20"/>
          <w:szCs w:val="20"/>
          <w:color w:val="auto"/>
        </w:rPr>
      </w:pPr>
      <w:r>
        <w:rPr>
          <w:rFonts w:ascii="Arial" w:cs="Arial" w:eastAsia="Arial" w:hAnsi="Arial"/>
          <w:sz w:val="17"/>
          <w:szCs w:val="17"/>
          <w:color w:val="auto"/>
        </w:rPr>
        <w:t>that were treated with KER-047 were observed to have a dose-dependent increase in serum iron levels and a concomitant increase in transferrin saturation, with no change in total iron binding capacity.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Increased Serum Iron, Total Iron Binding Capacity and Transferrin Saturation in Rats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130810</wp:posOffset>
            </wp:positionV>
            <wp:extent cx="5318125" cy="16192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18125"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These data demonstrate that ALK2 inhibition resulted in increased serum iron and that KER-047 acts by releasing iron into blood without altering the expression or functionality of iron binding proteins. We believe that these data demonstrate that treatment with KER-047 has the potential to alter ALK2 signaling and release iron from storage tissue for transport to other tissues, including in the bone marrow.</w:t>
      </w:r>
    </w:p>
    <w:p>
      <w:pPr>
        <w:spacing w:after="0" w:line="16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Treatment with an ALK2 inhibitor closely related to KER-047 was also observed to reverse anemia in a mouse model of IRIDA. To generate this mouse model, we used an siRNA directed against TMPRSS6, the same gene that is defective in patients with IRIDA, to render the mice TMPRSS6-deficient. We confirmed that mice receiving the TMPRSS6 siRNA had a greater than 85% reduction of target gene expression relative to the control siRNA cohort. This model recapitulated the increased hepcidin levels and reduced hemoglobin that are characteristic of patients with IRIDA. Treatment of the mice receiving the TMPRSS6 siRNA with an ALK2 inhibitor normalized levels of both hepcidin gene expression and hemoglobin levels compared to the control siRNA cohort receiving vehicle treatment, which we believe indicates that ALK2 inhibition can reverse anemia resulting from iron imbalance.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Serum Hepcidin and Hemoglobin Levels in Mice with siRNA-induced IRIDA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122555</wp:posOffset>
            </wp:positionV>
            <wp:extent cx="5181600" cy="3622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81600" cy="3622040"/>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type w:val="continuous"/>
        </w:sectPr>
      </w:pPr>
    </w:p>
    <w:bookmarkStart w:id="28" w:name="page29"/>
    <w:bookmarkEnd w:id="28"/>
    <w:p>
      <w:pPr>
        <w:ind w:right="200"/>
        <w:spacing w:after="0" w:line="249" w:lineRule="auto"/>
        <w:rPr>
          <w:sz w:val="20"/>
          <w:szCs w:val="20"/>
          <w:color w:val="auto"/>
        </w:rPr>
      </w:pPr>
      <w:r>
        <w:rPr>
          <w:rFonts w:ascii="Arial" w:cs="Arial" w:eastAsia="Arial" w:hAnsi="Arial"/>
          <w:sz w:val="17"/>
          <w:szCs w:val="17"/>
          <w:color w:val="auto"/>
        </w:rPr>
        <w:t>The sequence of the ALK2 receptor has been highly conserved through evolution, with greater than 98% amino acid sequence homology between mice and humans. Likewise, the finding that the mouse models with changes in ALK2 signaling recapitulate human disease also provides evidence that the function of the ALK2 receptor is conserved across species. For example, knockdown of the TMPRSS6 gene results in a phenocopy of the disease observed in patients with IRIDA. We believe that the conservation of biology provides confidence that treatments that are efficacious in preclinical models will have similar effects in humans.</w:t>
      </w:r>
    </w:p>
    <w:p>
      <w:pPr>
        <w:spacing w:after="0" w:line="15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We further explored the results we observed in a mouse model of IRIDA by using a mouse model of anemia of inflammation via induced chronic kidney disease. Inflammatory cytokines in chronic kidney diseases results in increased hepcidin, iron imbalance and anemia, and we believe a mouse model of chronic kidney disease is predictive of the broader indication of anemia of inflammation. To generate this mouse model, mice were dosed daily for six weeks with 50 mg/kg of adenine to induce kidney damage, and subsequently developed inflammation-mediated anemia, with corresponding elevated levels of hepcidin and decreased serum iron. Thereafter, mice continued to receive either vehicle or adenine daily, but also received daily treatment of either vehicle or 5 mg/kg of an ALK2 inhibitor closely related to KER-047 for ten days.</w:t>
      </w:r>
    </w:p>
    <w:p>
      <w:pPr>
        <w:spacing w:after="0" w:line="166"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At termination of the preclinical study, mice receiving adenine in combination with the ALK2 inhibitor had serum iron values 108.2% higher than the vehicle-treated mice receiving adenine and vehicle. Additionally, serum hepcidin was decreased by 85.4% over vehicle-treated mice. These data substantiate the role of ALK2 signaling in anemia arising from high hepcidin and illustrate the potential therapeutic benefit of specific ALK2 inhibition in these diseases, including anemia of inflammation.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Musculoskeletal and Pulmonary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KER-012</w:t>
      </w:r>
    </w:p>
    <w:p>
      <w:pPr>
        <w:spacing w:after="0" w:line="6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KER-012 is a ligand trap comprised of a modified ligand-binding domain of ActRIIB that is fused to the portion of the human antibody known as the Fc domain. KER-012 is designed to bind to and inhibit the signaling of TGF-ß ligands, including activin A and activin B, which are key regulators of bone remodeling that act to suppress bone growth, to potentially increase bone mass. We believe that KER-012 has the potential to increase the signaling of BMP pathways through this inhibition of activin A and activin B signaling, and consequently treat diseases such as PAH that are associated with reduced BMP signaling due to inactivating mutations in the BMP receptors. We are developing KER-012 for the treatment of pulmonary arterial hypertension, or PAH, and for the treatment of disorders associated with bone loss, such as osteoporosis and osteogenesis imperfecta. We have commenced a Phase 1 clinical trial of KER-012 in healthy volunteers and expect to report initial data from Part 1 of this trial in the second quarter of 2022 and additional data from Part 2 of this trial in the second half of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Pulmonary Arterial Hypertension</w:t>
      </w:r>
    </w:p>
    <w:p>
      <w:pPr>
        <w:spacing w:after="0" w:line="61"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PAH is a debilitating disorder characterized by elevated pulmonary vascular resistance due to severe constriction and progressive obliteration of the pulmonary vessels. PAH results in diminished oxygenation, impaired cardiac output and symptoms stemming from overload of the right ventricle, such as shortness of breath, fatigue, fainting, chest pain, palpitations and swelling of extremities and abdomen. We estimate that there are approximately 40,000 addressable patients in the United States living with this condition. Despite current treatment options, survival with PAH remains only slightly above 50% at five years, with mortality typically resulting from right ventricle failure.</w:t>
      </w:r>
    </w:p>
    <w:p>
      <w:pPr>
        <w:spacing w:after="0" w:line="16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Loss-of-function mutations in the gene encoding the BMP type II receptor, or BMPR2, are present in over 70% of cases of heritable PAH, or HPAH, while loss-of-function mutations in certain BMPR2 co-receptors are present in other cases of HPAH and idiopathic PAH. Histology and gene expression studies from the lungs of human and experimental PAH showed diminished BMPR2 expression and BMP signaling even in the absence of loss-of-function mutations, as well as enhanced TGF-ß signaling. Consistent with an imbalance in the signaling of these families of ligands, it was recently found that PAH due to cirrhosis and portal hypertension is marked by a severe deficiency of circulating BMP9, while circulating TGF-ß, activin and growth differentiation factor, or GDF, ligands were found to be increased in PAH, even in the absence of causative mutations. Multiple experimental third-party models also demonstrated the efficacy of augmenting BMP signaling or suppressing TGF-ß, activin or GDF signaling, which we believe supports the notion that imbalanced homeostatic BMP and pathogenic TGF-ß, activin and GDF signaling drive the development and progression of pulmonary vascular disease.</w:t>
      </w:r>
    </w:p>
    <w:p>
      <w:pPr>
        <w:spacing w:after="0" w:line="14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of Current Treatment Options for PAH</w:t>
      </w:r>
    </w:p>
    <w:p>
      <w:pPr>
        <w:spacing w:after="0" w:line="61"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All of the currently-approved therapies for PAH are vasodilators, which are medications that dilate blood vessels. These vasodilators fall into one of three categories: (i) prostanoids, which are agonists of the prostacyclin signaling pathway; (ii) endothelin receptor antagonists, or ERAs; or (iii) (a) phosphodiesterase 5 inhibitors, or PDE5i, which are agents that enhance nitric oxide metabolism, or (b) soluble guanylate cyclase activators, which cause downstream cGMP signaling.</w:t>
      </w:r>
    </w:p>
    <w:p>
      <w:pPr>
        <w:spacing w:after="0" w:line="165"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One common approach to treating early-stage or mild PAH is an oral combination therapy using ERA and PDE5i medications. More severe PAH generally requires the addition of prostanoid, via oral or inhaled administration, while advanced PAH typically requires continuous parenteral administration. Each of these individual therapies may modestly improve a patient’s functional status and in some cases survival, but is limited by systemic hypotension, systemic side effects and tachyphylaxis, which is an acute, sudden decrease in response to a product after its administration. Additionally, combination therapy is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29" w:name="page30"/>
    <w:bookmarkEnd w:id="29"/>
    <w:p>
      <w:pPr>
        <w:ind w:right="120"/>
        <w:spacing w:after="0" w:line="257" w:lineRule="auto"/>
        <w:rPr>
          <w:sz w:val="20"/>
          <w:szCs w:val="20"/>
          <w:color w:val="auto"/>
        </w:rPr>
      </w:pPr>
      <w:r>
        <w:rPr>
          <w:rFonts w:ascii="Arial" w:cs="Arial" w:eastAsia="Arial" w:hAnsi="Arial"/>
          <w:sz w:val="17"/>
          <w:szCs w:val="17"/>
          <w:color w:val="auto"/>
        </w:rPr>
        <w:t>limited by the combined side effect profiles. Although existing treatments may modestly slow the progression of PAH, none appear to halt or reverse the disease’s progression.</w:t>
      </w:r>
    </w:p>
    <w:p>
      <w:pPr>
        <w:spacing w:after="0" w:line="145"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While the key physiologic and pathologic features of PAH include vasoconstriction, scar tissue and vascular smooth muscle cell proliferation and inflammation, the main pharmacological effect for all currently approved therapies is believed to be vasodilation. Accordingly, we believe there is a significant unmet need for a treatment that primarily targets the proliferative pathological processes and can be used alone or in combination with other PAH therapies. We believe that potent therapies that do not exhibit tachyphylaxis, are orally bioavailable or do not require continuous infusion therapy would have advantages over the currently available treatments for PAH.</w:t>
      </w:r>
    </w:p>
    <w:p>
      <w:pPr>
        <w:spacing w:after="0" w:line="16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Therapies that arrest pulmonary vascular remodeling could have a long-term clinical stabilizing effect in PAH, or reverse vascular obliteration. We believe that KER-012 has the potential to increase the signaling of BMP pathways through the inhibition of activin A and activin B signaling, and consequently treat diseases such as PAH that are associated with reduced BMP signaling due to inactivating mutations in the BMP receptors.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Osteoporosis</w:t>
      </w:r>
    </w:p>
    <w:p>
      <w:pPr>
        <w:spacing w:after="0" w:line="4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Osteoporosis is a highly prevalent disease characterized by low bone mineral density and deterioration of bone structure, which leads to an increase in bone fractures. It is estimated that more than 200 million people worldwide, including approximately 30% of all post-menopausal women in the United States and Europe, suffer from osteoporosis. It is also estimated that 50% of women and 20% of men over the age of 50 will suffer at least one osteoporosis-related fracture in their remaining lifetime. These fractures can lead to increased morbidity and mortality. With the number of individuals over the age of 50 expected to increase, the incidence of osteoporosis-related fractures is predicted to double or triple in the upcoming decades.</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of Current Treatment Options for Osteoporosis</w:t>
      </w:r>
    </w:p>
    <w:p>
      <w:pPr>
        <w:spacing w:after="0" w:line="61"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Patients with osteoporosis are generally treated with anti-resorptive agents and anabolic agents. Anti-resorptive agents act to prevent further bone loss by inhibiting the breakdown of bone, while anabolic agents stimulate bone formation to build new, high-quality bone.</w:t>
      </w:r>
    </w:p>
    <w:p>
      <w:pPr>
        <w:spacing w:after="0" w:line="14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Bisphosphonate anti-resorptive agents, including Aredia (pamidronate), Fosamax (alendronate) and Reclast (zoledronic acid), are the current standard of care, and these treatments inhibit the cells that resorb or take away bone. However, bisphosphonates have limited efficacy for non-vertebral fractures, and gains in bone mineral density have been observed to plateau after a few years of treatment. Additionally, bisphosphonate use has been associated with infrequent but serious adverse events, such as osteonecrosis of the jaw and atypical femoral fractures. These side effects, although rare, have created increasing concern among physicians and patients. Accordingly, the number of bisphosphonate prescriptions has declined over 50% in the last decade and physicians are seeking alternatives.</w:t>
      </w:r>
    </w:p>
    <w:p>
      <w:pPr>
        <w:spacing w:after="0" w:line="166"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There are several alternatives to bisphosphonates that are approved for the treatment of osteoporosis, including anti-resorptive agents and anabolic agents. The most potent anti-resorptive product that is approved for treatment is Prolia (denosumab). Given twice a year via subcutaneous injection by a physician, Prolia increases bone density and reduces hip, spine and non-vertebral fractures. However, in the past five years, there have been numerous reports about fractures, especially those of the spine, occurring after the cessation of Prolia, which we believe has caused many patients with osteoporosis to refrain from commencing treatment with Prolia.</w:t>
      </w:r>
    </w:p>
    <w:p>
      <w:pPr>
        <w:spacing w:after="0" w:line="16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Anabolic therapies approved for treatment of osteoporosis include Forteo (teriparatide) and Tymlos (abaloparatide). Delivered by daily subcutaneous injection, these products have been observed to improve bone density and reduce vertebral fractures, but have limited evidence for reduction of hip fracture, which is frequently a debilitating fracture for patients. Additionally, use of these products is restricted to two years and their labels include a black-box warning regarding the occurrence of bone cancer in rats treated with Forteo, which is a key deterrent to using these products for many patients.</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Evenity (romosozumab-aqqg), an anabolic therapy, increases bone formation briefly while also reducing bone resorption. The reason for the short-term nature of the anabolic effect is unclear. Evenity is delivered via two subcutaneous injections monthly at a doctor’s office, with use restricted to 12 months. Although Evenity exhibited robust anti-fracture efficacy and large gains in bone mineral density in a third-party Phase 3 clinical trial, the Evenity label includes a black-box warning that the product may increase the risk of heart attack, stroke or death from a cardiovascular event.</w:t>
      </w:r>
    </w:p>
    <w:p>
      <w:pPr>
        <w:spacing w:after="0" w:line="16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believe there is a large unmet need for patients with osteoporosis, as existing therapies have shortcomings in efficacy, tolerability, convenience and safety. Given these shortcomings, we believe there is a significant market opportunity for an anabolic agent such as KER-012, which is designed to be a potent and selective inhibitor of certain TGF-ß ligands, including activin A and activin B, that are key regulators of bone remodeling that act to suppress bone growth. Additionally, with a growing population of older adults, the number of patients with osteoporosis is predicted to expand in the coming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Osteogenesis Imperfecta</w:t>
      </w:r>
    </w:p>
    <w:p>
      <w:pPr>
        <w:spacing w:after="0" w:line="47"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Osteogenesis imperfecta is a group of genetic disorders that mainly affect the bones. People with osteogenesis imperfecta have bones that fracture easily, often from mild trauma or with no apparent cause. Osteogenesis imperfecta affects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30" w:name="page31"/>
    <w:bookmarkEnd w:id="30"/>
    <w:p>
      <w:pPr>
        <w:ind w:right="220"/>
        <w:spacing w:after="0" w:line="257" w:lineRule="auto"/>
        <w:rPr>
          <w:sz w:val="20"/>
          <w:szCs w:val="20"/>
          <w:color w:val="auto"/>
        </w:rPr>
      </w:pPr>
      <w:r>
        <w:rPr>
          <w:rFonts w:ascii="Arial" w:cs="Arial" w:eastAsia="Arial" w:hAnsi="Arial"/>
          <w:sz w:val="17"/>
          <w:szCs w:val="17"/>
          <w:color w:val="auto"/>
        </w:rPr>
        <w:t>approximately one out of every 10,000 to 20,000 people worldwide, while an estimated 25,000 to 50,000 people in the United States are living with the condition.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Limitations of Current Treatment Options for Osteogenesis Imperfecta</w:t>
      </w:r>
    </w:p>
    <w:p>
      <w:pPr>
        <w:spacing w:after="0" w:line="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There are no approved therapies for the treatment of osteogenesis imperfecta in the United States or the European Union. Current treatment of osteogenesis imperfecta is directed towards the management of fractures with casting or surgical fixation, followed by physical therapy. Preventative surgeries, such as intramedullary, or in-bone, nailing fixation, in which a permanent nail or rod is placed into the center of the bone, are also undertaken. However, these surgical options do not treat the underlying cause of osteogenesis imperfecta. Additionally, bisphosphonates, which are not approved for osteogenesis imperfecta, are commonly used off-label in children. A meta-analysis of randomized trials demonstrated that there was no evidence that current treatments, including bisphosphonates, reduce fracture risk in patients with osteogenesis imperfecta. Controlled clinical trials also showed no improvement in bone pain, a key disability in children with osteogenesis imperfecta. Additionally, we are not aware of any long-term clinical trials demonstrating a reduction in fractures in adults, and the effect of long-term therapy with these existing products remains unclear.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Phase 1 Clinical Trial in Healthy Volunteers</w:t>
      </w:r>
    </w:p>
    <w:p>
      <w:pPr>
        <w:spacing w:after="0" w:line="4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have initiated a randomized, double-blind, placebo-controlled, two-part Phase 1 clinical trial to evaluate single and multiple ascending doses of KER-012 in healthy volunteers. The primary objectives of this trial are to assess safety, tolerability and pharmacokinetics of KER-012. The trial design is summarized in the figure below.</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Phase 1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130810</wp:posOffset>
            </wp:positionV>
            <wp:extent cx="5283835" cy="2641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83835"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Clinical Development Strategy</w:t>
      </w:r>
    </w:p>
    <w:p>
      <w:pPr>
        <w:spacing w:after="0" w:line="61"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We expect to report initial data from Part 1 of this trial in the second quarter of 2022 and additional data from Part 2 of this trial in the second half of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Data</w:t>
      </w:r>
    </w:p>
    <w:p>
      <w:pPr>
        <w:spacing w:after="0" w:line="6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have generated preclinical data that we believe demonstrated proof-of-mechanism of KER-012 for the treatment of PAH and for the treatment of disorders associated with bone loss, such as osteoporosis and osteogenesis imperfecta. Specifically, in preclinical studies, KER-012:</w:t>
      </w:r>
    </w:p>
    <w:p>
      <w:pPr>
        <w:spacing w:after="0" w:line="158" w:lineRule="exact"/>
        <w:rPr>
          <w:sz w:val="20"/>
          <w:szCs w:val="20"/>
          <w:color w:val="auto"/>
        </w:rPr>
      </w:pPr>
    </w:p>
    <w:p>
      <w:pPr>
        <w:ind w:left="640" w:hanging="31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Demonstrated effects on bone, including:</w:t>
      </w:r>
    </w:p>
    <w:p>
      <w:pPr>
        <w:spacing w:after="0" w:line="5" w:lineRule="exact"/>
        <w:rPr>
          <w:rFonts w:ascii="Arial" w:cs="Arial" w:eastAsia="Arial" w:hAnsi="Arial"/>
          <w:sz w:val="17"/>
          <w:szCs w:val="17"/>
          <w:color w:val="auto"/>
        </w:rPr>
      </w:pPr>
    </w:p>
    <w:p>
      <w:pPr>
        <w:ind w:left="960" w:hanging="308"/>
        <w:spacing w:after="0"/>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Exhibited high affinity for, and potent inhibition of, ligands involved in the regulation of bone homeostasis;</w:t>
      </w:r>
    </w:p>
    <w:p>
      <w:pPr>
        <w:spacing w:after="0" w:line="5" w:lineRule="exact"/>
        <w:rPr>
          <w:rFonts w:ascii="Arial" w:cs="Arial" w:eastAsia="Arial" w:hAnsi="Arial"/>
          <w:sz w:val="17"/>
          <w:szCs w:val="17"/>
          <w:color w:val="auto"/>
        </w:rPr>
      </w:pPr>
    </w:p>
    <w:p>
      <w:pPr>
        <w:ind w:left="960" w:hanging="308"/>
        <w:spacing w:after="0"/>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Increased bone mineral density and trabecular bone volume in wild-type mice and mice with established osteoporosis; and</w:t>
      </w:r>
    </w:p>
    <w:p>
      <w:pPr>
        <w:spacing w:after="0" w:line="5" w:lineRule="exact"/>
        <w:rPr>
          <w:rFonts w:ascii="Arial" w:cs="Arial" w:eastAsia="Arial" w:hAnsi="Arial"/>
          <w:sz w:val="17"/>
          <w:szCs w:val="17"/>
          <w:color w:val="auto"/>
        </w:rPr>
      </w:pPr>
    </w:p>
    <w:p>
      <w:pPr>
        <w:ind w:left="960" w:hanging="308"/>
        <w:spacing w:after="0"/>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Rats receiving a rodent version of KER-012, or RKER-012, were protected from hypoxia-associated bone loss.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Demonstrated benefit in models of PAH, including:</w:t>
      </w:r>
    </w:p>
    <w:p>
      <w:pPr>
        <w:spacing w:after="0" w:line="5" w:lineRule="exact"/>
        <w:rPr>
          <w:rFonts w:ascii="Arial" w:cs="Arial" w:eastAsia="Arial" w:hAnsi="Arial"/>
          <w:sz w:val="17"/>
          <w:szCs w:val="17"/>
          <w:color w:val="auto"/>
        </w:rPr>
      </w:pPr>
    </w:p>
    <w:p>
      <w:pPr>
        <w:ind w:left="960" w:hanging="308"/>
        <w:spacing w:after="0"/>
        <w:tabs>
          <w:tab w:leader="none" w:pos="9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a rat model of PAH, rats receiving RKER-012 were protected from the thickening of the right ventricular wall; and</w:t>
      </w:r>
    </w:p>
    <w:p>
      <w:pPr>
        <w:spacing w:after="0" w:line="5" w:lineRule="exact"/>
        <w:rPr>
          <w:rFonts w:ascii="Arial" w:cs="Arial" w:eastAsia="Arial" w:hAnsi="Arial"/>
          <w:sz w:val="17"/>
          <w:szCs w:val="17"/>
          <w:color w:val="auto"/>
        </w:rPr>
      </w:pPr>
    </w:p>
    <w:p>
      <w:pPr>
        <w:ind w:left="980" w:right="480" w:hanging="328"/>
        <w:spacing w:after="0" w:line="247" w:lineRule="auto"/>
        <w:tabs>
          <w:tab w:leader="none" w:pos="973"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a mouse model of pulmonary arterial banding, or PAB, RKER-012 was observed to protect against both the PAB-related cardiac dysfunction and remodeling.</w:t>
      </w:r>
    </w:p>
    <w:p>
      <w:pPr>
        <w:ind w:left="640" w:hanging="31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Did not increase red blood cell production in cynomolgus monkeys.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31" w:name="page32"/>
    <w:bookmarkEnd w:id="31"/>
    <w:p>
      <w:pPr>
        <w:ind w:left="320"/>
        <w:spacing w:after="0"/>
        <w:rPr>
          <w:sz w:val="20"/>
          <w:szCs w:val="20"/>
          <w:color w:val="auto"/>
        </w:rPr>
      </w:pPr>
      <w:r>
        <w:rPr>
          <w:rFonts w:ascii="Arial" w:cs="Arial" w:eastAsia="Arial" w:hAnsi="Arial"/>
          <w:sz w:val="18"/>
          <w:szCs w:val="18"/>
          <w:i w:val="1"/>
          <w:iCs w:val="1"/>
          <w:color w:val="auto"/>
        </w:rPr>
        <w:t>KER-012 targeted ligands that signal through ActRIIA and ActRIIB in preclinical studies</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KER-012 is a modified ActRIIB ligand trap that contains sequences from both wild-type ActRIIB and wild-type ActRIIA. In preclinical studies, KER-012 bound to and inhibited multiple ligands that signal through these cell surface receptors, including activin A, activin B and growth differentiation factor</w:t>
      </w:r>
    </w:p>
    <w:p>
      <w:pPr>
        <w:spacing w:after="0" w:line="1" w:lineRule="exact"/>
        <w:rPr>
          <w:sz w:val="20"/>
          <w:szCs w:val="20"/>
          <w:color w:val="auto"/>
        </w:rPr>
      </w:pPr>
    </w:p>
    <w:p>
      <w:pPr>
        <w:ind w:firstLine="7"/>
        <w:spacing w:after="0" w:line="250" w:lineRule="auto"/>
        <w:tabs>
          <w:tab w:leader="none" w:pos="28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These ligands are key regulators of bone remodeling that act to suppress bone growth. BMP9 is a ligand capable of signaling through the ActRIIB and bone morphogenetic receptor II. Inhibition of BMP9 results in disruption of vascular remodeling, which can lead to the development of epistaxis and telangiectasias. KER-012 did not bind BMP9 or inhibit BMP9 signaling in preclinical studies. Consequently, we believe KER-012 has the potential to avoid negative effects on vascular remodeling.</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Treatment with KER-012 increased bone mineral density</w:t>
      </w:r>
    </w:p>
    <w:p>
      <w:pPr>
        <w:spacing w:after="0" w:line="6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In preclinical studies conducted in wild-type mice, twice weekly intraperitoneal 20 mg/kg dosing of KER-012 increased bone mineral density compared to vehicle-treated mice 31 days post-treatment. Additionally, we observed that treatment with KER-012 statistically significantly increased trabecular bone formation and mineral apposition rate, which we believe is consistent with an anabolic effect on bone.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Bone Mineral Density in Mice and Representative Microct Scans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916305</wp:posOffset>
            </wp:positionH>
            <wp:positionV relativeFrom="paragraph">
              <wp:posOffset>122555</wp:posOffset>
            </wp:positionV>
            <wp:extent cx="5318125" cy="1806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18125" cy="180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P value &lt;0.001</w:t>
      </w:r>
    </w:p>
    <w:p>
      <w:pPr>
        <w:spacing w:after="0" w:line="16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 separate preclinical study, we observed that treatment with KER-012 increased the ratio of osteoblasts, which are bone forming cells, to osteoclasts, which are bone resorbing cells, which further supports that KER-012 acts via an anabolic effect on bone. We also observed in preclinical studies conducted in mice with established osteoporosis that twice weekly intraperitoneal 20 mg/kg dosing of KER-012 increased bone mass compared to vehicle-treated mice 46 days post-treatment.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Osteoblast-to-Osteoclast Ratio in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2501900</wp:posOffset>
            </wp:positionH>
            <wp:positionV relativeFrom="paragraph">
              <wp:posOffset>130810</wp:posOffset>
            </wp:positionV>
            <wp:extent cx="2139315" cy="18834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39315" cy="188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P value &lt;0.01</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Treatment with RKER-012 prevented bone loss from hypoxia in the rat model of PAH</w:t>
      </w:r>
    </w:p>
    <w:p>
      <w:pPr>
        <w:spacing w:after="0" w:line="47"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In the rat model of PAH, chronic hypoxia induced a catabolic state that resulted in wasting of tissue, including bone and muscle. Treatment with a subcutaneous 10 mg/kg dose of RKER-012 was observed to prevent bone loss in the rat model of PAH.</w:t>
      </w:r>
    </w:p>
    <w:p>
      <w:pPr>
        <w:sectPr>
          <w:pgSz w:w="11900" w:h="16838" w:orient="portrait"/>
          <w:cols w:equalWidth="0" w:num="1">
            <w:col w:w="11220"/>
          </w:cols>
          <w:pgMar w:left="320" w:top="1167" w:right="35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67" w:right="359" w:bottom="1440" w:gutter="0" w:footer="0" w:header="0"/>
          <w:type w:val="continuous"/>
        </w:sectPr>
      </w:pPr>
    </w:p>
    <w:bookmarkStart w:id="32" w:name="page33"/>
    <w:bookmarkEnd w:id="32"/>
    <w:p>
      <w:pPr>
        <w:jc w:val="center"/>
        <w:ind w:right="-39"/>
        <w:spacing w:after="0"/>
        <w:rPr>
          <w:sz w:val="20"/>
          <w:szCs w:val="20"/>
          <w:color w:val="auto"/>
        </w:rPr>
      </w:pPr>
      <w:r>
        <w:rPr>
          <w:rFonts w:ascii="Arial" w:cs="Arial" w:eastAsia="Arial" w:hAnsi="Arial"/>
          <w:sz w:val="17"/>
          <w:szCs w:val="17"/>
          <w:b w:val="1"/>
          <w:bCs w:val="1"/>
          <w:color w:val="auto"/>
        </w:rPr>
        <w:t>Bone Volume Changes as a Result of Hypoxia in the Rat Model of PAH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122555</wp:posOffset>
            </wp:positionV>
            <wp:extent cx="2420620" cy="3025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20620" cy="302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 P value &lt;0.05; ** P value &lt;0.01</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Treatment with RKER-012 prevented cardiac hypertrophy in a rat model of PAH</w:t>
      </w:r>
    </w:p>
    <w:p>
      <w:pPr>
        <w:spacing w:after="0" w:line="6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combined administration of SUGEN5416, a tyrosine kinase inhibitor of vascular endothelial growth factor receptors 1 and 2, with exposure to chronic hypoxia to recapitulate the biology in PAH. In this model, remodeling of the arterial wall results in wall thickening, increased arterial pressure and impairment of heart function through a thickening of the right ventricle. Treatment with twice weekly subcutaneous 10 mg/kg dosing of RKER-012 was observed to protect against a thickening of the right ventricular wall, which we believe demonstrates that KER-012 has the potential to treat PAH.</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Treatment with RKER-012 prevented cardiac dysfunction and remodeling in a mouse PAB model</w:t>
      </w:r>
    </w:p>
    <w:p>
      <w:pPr>
        <w:spacing w:after="0" w:line="4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used mechanical restriction of the pulmonary artery in mice to increase pressure in the right ventricular of the heart. In this model, increased ventricular pressure resulted in cardiac dysfunction, as demonstrated by increased end systolic pressure-volume relationship, or ESPVR, and increased myocardial performance index, or MPI. The increased ventricular pressure also results in cardiac remodeling, as evidenced by an increase in the Fulton index, an increase in the right ventricular free wall thickness, or RVFWT, and increased fibrosis in the heart. Treatment with twice weekly subcutaneous 10 mg/kg dosing of RKER-012 was observed to protect against both the PAB-related cardiac dysfunction and remodeling, which we believe demonstrates that KER-012 has the potential to have a cardioprotective effect that could potentially provide benefit in diseases such as PAH and other cardiovascular diseases in patients.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ESPVR, MPI, Fulton Index, RVFWT and Cardiac Fibrosis in a Mouse PAB Model</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51" w:right="37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557530</wp:posOffset>
            </wp:positionV>
            <wp:extent cx="5224145" cy="4175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224145" cy="417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 P value &lt;0.001; **** P value &lt;0.0001 vs. Sham; ## P value &lt;0.01, #### P value &lt;0.0001 vs. Vehicle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KER-012 did not increase red blood cells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33655</wp:posOffset>
            </wp:positionV>
            <wp:extent cx="5727065" cy="2164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27065" cy="216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a preclinical study, male cynomolgus monkeys received subcutaneous administration every other week for two months of either vehicle or 3, 10 or 50 mg/kg of KER-012. We measured hematology at baseline and on Day 64. Changes in hemoglobin and red blood cells over the 64-day study were not statistically significantly different compared to changes observed in the vehicle-treated cohort. Based on these findings that KER-012 did not increase red blood cell production in monkeys, we believe KER-012 has the potential not to increase red blood cell production in humans.</w:t>
      </w:r>
    </w:p>
    <w:p>
      <w:pPr>
        <w:spacing w:after="0" w:line="165"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Based on the findings from our preclinical studies, we believe KER-012 has the potential to treat disorders associated with bone loss, such as osteoporosis and osteogenesis imperfecta. Additionally, inhibition of BMP9 signaling can result in endothelial cell apoptosis, remodeling and arterial occlusion in diseases such as PAH. We believe that KER-012 has the potential to increase the signaling of BMP pathways through this inhibition of activin A and activin B signaling, and</w:t>
      </w:r>
    </w:p>
    <w:p>
      <w:pPr>
        <w:sectPr>
          <w:pgSz w:w="11900" w:h="16838" w:orient="portrait"/>
          <w:cols w:equalWidth="0" w:num="1">
            <w:col w:w="11180"/>
          </w:cols>
          <w:pgMar w:left="320" w:top="1440" w:right="399" w:bottom="1440" w:gutter="0" w:footer="0" w:header="0"/>
        </w:sect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7"/>
          <w:szCs w:val="17"/>
          <w:color w:val="auto"/>
        </w:rPr>
        <w:t>consequently treat diseases such as PAH that are associated with reduced BMP signaling due to inactivating mutations in the BMP receptors.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Preclinical Pipeline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Discovery Approach</w:t>
      </w:r>
    </w:p>
    <w:p>
      <w:pPr>
        <w:spacing w:after="0" w:line="51" w:lineRule="exact"/>
        <w:rPr>
          <w:sz w:val="20"/>
          <w:szCs w:val="20"/>
          <w:color w:val="auto"/>
        </w:rPr>
      </w:pPr>
    </w:p>
    <w:p>
      <w:pPr>
        <w:ind w:right="740"/>
        <w:spacing w:after="0" w:line="257" w:lineRule="auto"/>
        <w:rPr>
          <w:sz w:val="20"/>
          <w:szCs w:val="20"/>
          <w:color w:val="auto"/>
        </w:rPr>
      </w:pPr>
      <w:r>
        <w:rPr>
          <w:rFonts w:ascii="Arial" w:cs="Arial" w:eastAsia="Arial" w:hAnsi="Arial"/>
          <w:sz w:val="17"/>
          <w:szCs w:val="17"/>
          <w:color w:val="auto"/>
        </w:rPr>
        <w:t>We believe, based on our previous experience with ActRII ligand traps using the endogenous and wild-type sequences, that observations in preclinical rodent models have the potential to translate to humans in the clinic. Specifically:</w:t>
      </w:r>
    </w:p>
    <w:p>
      <w:pPr>
        <w:spacing w:after="0" w:line="158" w:lineRule="exact"/>
        <w:rPr>
          <w:sz w:val="20"/>
          <w:szCs w:val="20"/>
          <w:color w:val="auto"/>
        </w:rPr>
      </w:pPr>
    </w:p>
    <w:p>
      <w:pPr>
        <w:ind w:left="660" w:right="40" w:hanging="331"/>
        <w:spacing w:after="0" w:line="247" w:lineRule="auto"/>
        <w:tabs>
          <w:tab w:leader="none" w:pos="6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Wild-type ActRIIA-Fc was associated with increased bone growth and red blood cell production in rodents and non-human primates. In a third-party clinical trial of ActRIIA-Fc, increased bone mineral density and red blood cell production was reported in healthy post-menopausal women. In this clinical trial, it was also reported that lower doses elicited the effect on red blood cells compared to bone, and thus, the dominant effect on red blood cell production prevented development in diseases with bone loss.</w:t>
      </w:r>
    </w:p>
    <w:p>
      <w:pPr>
        <w:ind w:left="660" w:right="60" w:hanging="331"/>
        <w:spacing w:after="0" w:line="249" w:lineRule="auto"/>
        <w:tabs>
          <w:tab w:leader="none" w:pos="653"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third-party preclinical studies in rodents and non-human primates, ActRIIB-Fc was associated with increased bone mineral density and lean muscle mass, but was not associated with changes in red blood cells. However, ActRIIB-Fc was also observed to cause nose and gum bleeding, which we believe is due to its effect of disrupting normal vascular remodeling. BMP9 signaling is required for normal vascular remodeling, but is not involved in regulation of muscle or bone tissues. ActRIIB-Fc potently inhibits BMP9 signaling, which is the mechanism behind the bleeding events observed with ActRIIB-Fc treatment.</w:t>
      </w:r>
    </w:p>
    <w:p>
      <w:pPr>
        <w:spacing w:after="0" w:line="167"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We have developed a proprietary library of ActRII ligand traps by combining sequences from ActRIIA and ActRIIB. We have engineered molecules that are designed to have the therapeutic properties of either or both parent molecules without the dose-limiting effect on red blood cells observed with ActRIIA-Fc or the negative effect on blood vessels observed with wild-type ActRIIB-Fc. Our ActRII program has produced a broader pipeline of engineered ligand traps and currently contains more than 20 unique variants in preclinical development. These include:</w:t>
      </w:r>
    </w:p>
    <w:p>
      <w:pPr>
        <w:spacing w:after="0" w:line="152" w:lineRule="exact"/>
        <w:rPr>
          <w:sz w:val="20"/>
          <w:szCs w:val="20"/>
          <w:color w:val="auto"/>
        </w:rPr>
      </w:pPr>
    </w:p>
    <w:p>
      <w:pPr>
        <w:ind w:left="640" w:hanging="311"/>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Molecules designed to increase bone mass without the dose-limiting effect on red blood cells observed with wild-type ActRIIA-Fc; and</w:t>
      </w:r>
    </w:p>
    <w:p>
      <w:pPr>
        <w:spacing w:after="0" w:line="5" w:lineRule="exact"/>
        <w:rPr>
          <w:rFonts w:ascii="Arial" w:cs="Arial" w:eastAsia="Arial" w:hAnsi="Arial"/>
          <w:sz w:val="17"/>
          <w:szCs w:val="17"/>
          <w:color w:val="auto"/>
        </w:rPr>
      </w:pPr>
    </w:p>
    <w:p>
      <w:pPr>
        <w:ind w:left="660" w:right="380" w:hanging="331"/>
        <w:spacing w:after="0" w:line="257" w:lineRule="auto"/>
        <w:tabs>
          <w:tab w:leader="none" w:pos="653" w:val="left"/>
        </w:tabs>
        <w:numPr>
          <w:ilvl w:val="0"/>
          <w:numId w:val="16"/>
        </w:numPr>
        <w:rPr>
          <w:rFonts w:ascii="Arial" w:cs="Arial" w:eastAsia="Arial" w:hAnsi="Arial"/>
          <w:sz w:val="17"/>
          <w:szCs w:val="17"/>
          <w:color w:val="auto"/>
        </w:rPr>
      </w:pPr>
      <w:r>
        <w:rPr>
          <w:rFonts w:ascii="Arial" w:cs="Arial" w:eastAsia="Arial" w:hAnsi="Arial"/>
          <w:sz w:val="17"/>
          <w:szCs w:val="17"/>
          <w:color w:val="auto"/>
        </w:rPr>
        <w:t>Molecules designed to increase muscle and bone mass with reduced BMP9 binding without impacting vascular remodeling that leads to weak blood vessels observed with the wild-type ActRIIB-Fc.</w:t>
      </w:r>
    </w:p>
    <w:p>
      <w:pPr>
        <w:spacing w:after="0" w:line="158" w:lineRule="exact"/>
        <w:rPr>
          <w:sz w:val="20"/>
          <w:szCs w:val="20"/>
          <w:color w:val="auto"/>
        </w:rPr>
      </w:pPr>
    </w:p>
    <w:p>
      <w:pPr>
        <w:ind w:right="660"/>
        <w:spacing w:after="0" w:line="257" w:lineRule="auto"/>
        <w:rPr>
          <w:sz w:val="20"/>
          <w:szCs w:val="20"/>
          <w:color w:val="auto"/>
        </w:rPr>
      </w:pPr>
      <w:r>
        <w:rPr>
          <w:rFonts w:ascii="Arial" w:cs="Arial" w:eastAsia="Arial" w:hAnsi="Arial"/>
          <w:sz w:val="17"/>
          <w:szCs w:val="17"/>
          <w:color w:val="auto"/>
        </w:rPr>
        <w:t>Our discovery approach has built on these initial observations to generate product candidates designed to target ActRII receptors without the liabilities observed in third-party preclinical studies and clinical trials of ActRIIA-Fc and ActRIIB-Fc.</w:t>
      </w:r>
    </w:p>
    <w:p>
      <w:pPr>
        <w:spacing w:after="0" w:line="158"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We believe that we are well positioned to advance our product candidates and realize the commercial opportunities in diseases where muscle and bone loss result in a debilitating impact on survival and quality of life, if our product candidates are successfully developed and approved. Our deep knowledge and expertise of the TGF-ß family of proteins provides a streamlined approach to screen and develop novel product candidates for hematological and musculoskeletal diseases.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5"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We rely, and expect to continue to rely for the foreseeable future, on third-party contract manufacturing organizations, or CMOs, to produce our product candidates for preclinical and clinical testing, as well as for commercial manufacture if our product candidates receive marketing approval. We require that our CMOs produce bulk drug substances and finished drug products in accordance with current Good Manufacturing Practices, or cGMPs, and all other applicable laws and regulations. We maintain agreements with our manufacturers that include confidentiality and intellectual property provisions to protect our proprietary rights related to our product candidates.</w:t>
      </w:r>
    </w:p>
    <w:p>
      <w:pPr>
        <w:spacing w:after="0" w:line="15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have engaged CMOs to manufacture supply for preclinical and clinical use. Additional CMOs are used to label, package and distribute drug product for preclinical and clinical use. We obtain our supplies from these CMOs on a purchase order basis and do not have any long-term supply arrangements in place. We do not currently have arrangements in place for redundant supply. We have been and are continuing to closely monitor the impact of the COVID-19 pandemic on our ability to procure sufficient supplies for the development of our product candidates, and are working with our CMOs to manage this process. However, we could be unable to find alternative suppliers of acceptable quality, in the appropriate volumes and at an acceptable cost, if needed. As our development programs expand and we build new process efficiencies, we expect to continually evaluate this strategy with the objective of satisfying demand for registration trials and, if approved, the manufacture, sale and distribution of commercial products.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rights. While we believe that our product candidates, discovery programs, technology, knowledge, experience and scientific resources provide us with competitive advantages, we compete in the highly competitive markets and face significant competition from many sources, including pharmaceutical and biotechnology companies, as well as academic institutions, governmental agencies and private and public research institutions.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35" w:name="page36"/>
    <w:bookmarkEnd w:id="35"/>
    <w:p>
      <w:pPr>
        <w:ind w:right="40"/>
        <w:spacing w:after="0" w:line="262" w:lineRule="auto"/>
        <w:rPr>
          <w:sz w:val="20"/>
          <w:szCs w:val="20"/>
          <w:color w:val="auto"/>
        </w:rPr>
      </w:pPr>
      <w:r>
        <w:rPr>
          <w:rFonts w:ascii="Arial" w:cs="Arial" w:eastAsia="Arial" w:hAnsi="Arial"/>
          <w:sz w:val="16"/>
          <w:szCs w:val="16"/>
          <w:color w:val="auto"/>
        </w:rPr>
        <w:t>We compete in the segments of the biotechnology, pharmaceutical and other related industries that develop and market therapies for the treatment of hematological and musculoskeletal disorders. There are many other companies, including large biotechnology and pharmaceutical companies, that have commercialized and/or are developing therapies for the same therapeutic areas that our product candidates target. For example, FibroGen Inc. and Astellas Pharma Inc. are developing product candidates for the treatment of anemia, and Acceleron Pharma Inc. (which was acquired by Merck</w:t>
      </w:r>
    </w:p>
    <w:p>
      <w:pPr>
        <w:spacing w:after="0" w:line="2" w:lineRule="exact"/>
        <w:rPr>
          <w:sz w:val="20"/>
          <w:szCs w:val="20"/>
          <w:color w:val="auto"/>
        </w:rPr>
      </w:pPr>
    </w:p>
    <w:p>
      <w:pPr>
        <w:ind w:firstLine="7"/>
        <w:spacing w:after="0" w:line="248" w:lineRule="auto"/>
        <w:tabs>
          <w:tab w:leader="none" w:pos="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 Inc. in November 2021), or Acceleron, Bristol-Myers Squibb Company and Disc Medicine are developing product candidates targeting diseases associated with MDS and myelofibrosis, including chronic anemia. Additionally, in April 2020, Acceleron received FDA approval of its product, Reblozyl, for the treatment of anemia failing an erythropoiesis stimulating agent and requiring two or more red blood cell units over eight weeks in adult patients with very low- to intermediate-risk MDS with ring sideroblasts or with myelodysplastic/myeloproliferative neoplasm with ring sideroblasts and thrombocytosis. In June 2020, Acceleron further announced that the European Commission approved Reblozyl for the treatment of transfusion-dependent anemia in adult patients with MDS or beta thalassemia and in September 2020, Acceleron announced that Health Canada approved Reblozyl for the treatment of adult patients with red blood cell transfusion-dependent anemia associated with beta thalassemia. Geron Corporation is developing imetelstat as a treatment for MDS and for myelofibrosis. Sierra Oncology, Inc. is developing momelotinib as a treatment for myelofibrosis. Additionally, Constellation Pharmaceutics, Inc. (which was acquired by MorphoSys AG in July 2021) is also developing a product candidate as a treatment for myelofibrosis and Incyte Corporation is developing an ALK2 inhibitor product candidate for the treatment of myelofibrosis. In March 2022, CTI BioPharma Corp. received FDA accelerated approval of its product, pacritinib (Vonjo), for the treatment of adults with intermediate or high-risk primary or secondary (post-polycythemia vera or post-essential thrombocythemia) myelofibrosis with a platelet count below 50 × 10</w:t>
      </w:r>
      <w:r>
        <w:rPr>
          <w:rFonts w:ascii="Arial" w:cs="Arial" w:eastAsia="Arial" w:hAnsi="Arial"/>
          <w:sz w:val="22"/>
          <w:szCs w:val="22"/>
          <w:color w:val="auto"/>
          <w:vertAlign w:val="superscript"/>
        </w:rPr>
        <w:t>9</w:t>
      </w:r>
      <w:r>
        <w:rPr>
          <w:rFonts w:ascii="Arial" w:cs="Arial" w:eastAsia="Arial" w:hAnsi="Arial"/>
          <w:sz w:val="17"/>
          <w:szCs w:val="17"/>
          <w:color w:val="auto"/>
        </w:rPr>
        <w:t>/L.</w:t>
      </w:r>
    </w:p>
    <w:p>
      <w:pPr>
        <w:spacing w:after="0" w:line="94"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Other companies that are developing product candidates that are designed to target the TGF-ß signaling pathways include Scholar Rock Holding Corporation, Biogen Inc. and Regeneron Pharmaceuticals, Inc.</w:t>
      </w:r>
    </w:p>
    <w:p>
      <w:pPr>
        <w:spacing w:after="0" w:line="158"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There are currently no approved drugs for the treatment of osteogenesis imperfecta. However, Mereo BioPharma Group plc, in collaboration with Ultragenyx Pharmaceutical Inc., is developing an anti-sclerostin product candidate for the treatment of osteogenesis imperfecta.</w:t>
      </w:r>
    </w:p>
    <w:p>
      <w:pPr>
        <w:spacing w:after="0" w:line="158"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All of the currently-approved therapies for PAH are vasodilators, which are medications that dilate blood vessels. However, Acceleron is developing sotatercept, an activin receptor ligand trap, for the treatment of PAH.</w:t>
      </w:r>
    </w:p>
    <w:p>
      <w:pPr>
        <w:spacing w:after="0" w:line="145"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either alone or with their strategic collaborators, have significantly greater financial resources and expertise in research and development, manufacturing, preclinical testing, conducting clinical trials, obtaining regulatory approvals and marketing approved drugs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or universities and research institutions. These competitors also compete with us in recruiting and retaining qualified scientific and management personnel and establishing clinical trial sites and enrolling patients for our clinical trials, as well as in acquiring technologies complementary to, or necessary for, our programs.</w:t>
      </w:r>
    </w:p>
    <w:p>
      <w:pPr>
        <w:spacing w:after="0" w:line="16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may develop.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License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License Agreement with Hansoh (Shanghai) Healthtech Co., Ltd.</w:t>
      </w:r>
    </w:p>
    <w:p>
      <w:pPr>
        <w:spacing w:after="0" w:line="65"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In December 2021, we entered into a license agreement with Hansoh (Shanghai) Healthtech Co., Ltd., or Hansoh. Under the terms of the license agreement with Hansoh, or the Hansoh Agreement, we granted to Hansoh the exclusive right to develop, manufacture and commercialize KER-050 and licensed products containing KER-050 within the territories of mainland China, Hong Kong and Macau, which we refer to collectively as the Territory.</w:t>
      </w:r>
    </w:p>
    <w:p>
      <w:pPr>
        <w:spacing w:after="0" w:line="152"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In connection with the Hansoh Agreement, Hansoh will purchase clinical trial supply of KER-050 from us, and the parties will also negotiate in good faith to enter into an agreement for commercial supply prior to any anticipated commercialization in the Territory. In addition, Hansoh will use commercially reasonable efforts to develop, obtain regulatory approval for, and commercialize licensed products in any region in the Territory.</w:t>
      </w:r>
    </w:p>
    <w:p>
      <w:pPr>
        <w:spacing w:after="0" w:line="163" w:lineRule="exact"/>
        <w:rPr>
          <w:sz w:val="20"/>
          <w:szCs w:val="20"/>
          <w:color w:val="auto"/>
        </w:rPr>
      </w:pPr>
    </w:p>
    <w:p>
      <w:pPr>
        <w:jc w:val="both"/>
        <w:ind w:right="100"/>
        <w:spacing w:after="0" w:line="250" w:lineRule="auto"/>
        <w:rPr>
          <w:sz w:val="20"/>
          <w:szCs w:val="20"/>
          <w:color w:val="auto"/>
        </w:rPr>
      </w:pPr>
      <w:r>
        <w:rPr>
          <w:rFonts w:ascii="Arial" w:cs="Arial" w:eastAsia="Arial" w:hAnsi="Arial"/>
          <w:sz w:val="17"/>
          <w:szCs w:val="17"/>
          <w:color w:val="auto"/>
        </w:rPr>
        <w:t>Pursuant to the terms of the Hansoh Agreement, we received a net $18.0 million upfront payment in 2022. In addition to the upfront payment, we are entitled to receive up to an aggregate of (i) $26.5 million upon the achievement of specified development milestones and (ii) $144.0 million upon the achievement of specified net sales thresholds for all licensed products in the Territory. If a licensed product is approved for marketing in the Territory, we will be entitled to receive royalty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36" w:name="page37"/>
    <w:bookmarkEnd w:id="36"/>
    <w:p>
      <w:pPr>
        <w:ind w:right="40"/>
        <w:spacing w:after="0" w:line="257" w:lineRule="auto"/>
        <w:rPr>
          <w:sz w:val="20"/>
          <w:szCs w:val="20"/>
          <w:color w:val="auto"/>
        </w:rPr>
      </w:pPr>
      <w:r>
        <w:rPr>
          <w:rFonts w:ascii="Arial" w:cs="Arial" w:eastAsia="Arial" w:hAnsi="Arial"/>
          <w:sz w:val="17"/>
          <w:szCs w:val="17"/>
          <w:color w:val="auto"/>
        </w:rPr>
        <w:t>payments based on a tiered percentage of annual net sales in each region within the Territory, with such percentage ranging from the low double digit to high teens, subject to specified potential royalty reductions.</w:t>
      </w:r>
    </w:p>
    <w:p>
      <w:pPr>
        <w:spacing w:after="0" w:line="14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Hansoh’s obligation to pay royalties for a given licensed product in a given region in the Territory will begin on the date of the first commercial sale for such licensed product in such region and continue until the latest of (i) ten years from the date of the first commercial sale for such licensed product in such region, (ii) the expiration of the last valid claim of certain licensed patents or joint patents, and (iii) expiration of regulatory exclusivity in such region. During the royalty term, neither party will directly or indirectly commercialize a competing product in the Territory.</w:t>
      </w:r>
    </w:p>
    <w:p>
      <w:pPr>
        <w:spacing w:after="0" w:line="165"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Hansoh Agreement will continue in force on a region-by-region basis until the expiration of the royalty term. Hansoh may terminate the Hansoh Agreement in its entirety for convenience, with notice. We may terminate the Hansoh Agreement in its entirety for a patent challenge brought by Hansoh or its affiliates or their sublicensees. Either party may terminate the Hansoh Agreement in its entirety (i) if the other party materially breaches the Hansoh Agreement and fails to cure such breach or (ii) upon the bankruptcy of the other party.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Exclusive Patent License Agreement with The General Hospital Corporation</w:t>
      </w:r>
    </w:p>
    <w:p>
      <w:pPr>
        <w:spacing w:after="0" w:line="5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April 2016, we entered into an exclusive patent license agreement with The General Hospital Corporation, or MGH, which was subsequently amended in May 2017 and February 2018. Under the license agreement with MGH, or the MGH Agreement, we obtained an exclusive, worldwide license, with the right to sublicense, under certain patents and technical information of MGH, to make, have made, use, have used, sell, have sold, lease, have leased, import, have imported or otherwise transfer licensed products and processes for use in the treatment, diagnosis, palliation and prevention of diseases and disorders in humans and animals. We are required to use commercially reasonable efforts to develop and commercialize licensed products and processes, and must achieve certain required diligence milestones.</w:t>
      </w:r>
    </w:p>
    <w:p>
      <w:pPr>
        <w:spacing w:after="0" w:line="166"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Under the terms of the MGH Agreement, we made an initial license payment of $100,000 and reimbursed MGH approximately $280,000 of prior patent prosecution expenses related to the licensed patents. We also issued MGH an aggregate of 358,674 shares of our common stock. Additionally, we are required to pay a low-five digit to mid-five digit annual maintenance fee prior to the first commercial sale of our first product or process, a mid-five digit annual maintenance fee after the first commercial sale of our first product or process that is creditable against royalties, certain clinical and regulatory milestone payments for the first three products or indications to achieve such milestones, which milestone payments are $8.6 million in the aggregate, and certain commercial milestone payments for the first three products or indications to achieve such milestones, which milestone payments are $18.0 million in the aggregate. We made payments of $50,000 and $300,000 in 2020 and 2021, respectively, for the achievement of the clinical and regulatory milestones of (i) filing of an IND in the first country and (ii) the completion of a Phase 1 clinical trial, respectively. We are also obligated to pay tiered royalties on net sales of licensed products ranging in the low-single digits to mid-single digits. The royalty rates are subject to up to a maximum 50% reduction for lack of a valid claim, in the event that it is necessary for us to obtain a license to any third-party intellectual property related to the licensed products, and generic competition. The obligation to pay royalties under the MGH Agreement expires on a licensed product-by-licensed product and country-by-country basis upon the later of expiry of the last valid claim of the licensed patents that cover such licensed product in such country and ten years from the first commercial sale of such product in such country. We are also obligated to pay a percentage of non-royalty related payments received by us from sublicensees ranging in the sub-teen double digits and a change of control fee equal to a low-single digit percentage of the payments received as part of any completed transaction up to a low-seven digit amount.</w:t>
      </w:r>
    </w:p>
    <w:p>
      <w:pPr>
        <w:spacing w:after="0" w:line="177"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MGH Agreement expires upon expiry of the last remaining royalty obligation for a licensed product or process. Under the MGH Agreement, MGH may terminate the agreement upon our uncured material breach or insolvency, a challenge by us of the licensed patents and certain other specified breaches of the MGH Agreement. We may terminate the agreement for any reason upon specified prior written notice to MGH.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51"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We strive to protect the proprietary technology, inventions and improvements that we believe are commercially important to our business, including obtaining, maintaining, enforcing and defending our intellectual property rights, including patent rights, whether developed internally or licensed from third parties. We rely, in part, on trade secrets and know-how relating to our proprietary technology and drug candidates and continuing innovation to develop, strengthen and maintain our proprietary position. We also plan to rely, in part, on data exclusivity, market exclusivity and patent term extensions if and when available. Our commercial success will depend in part on our ability to obtain and maintain patent and other intellectual property protection for our technology, inventions and improvements; to preserve the confidentiality of our trade secrets; to defend and enforce our proprietary rights, including any patents that we own or may obtain in the future; and to operate without infringing, misappropriating or otherwise violating the valid and enforceable patents and other intellectual property rights of third parties. Intellectual property rights may not address all potential threats to our competitive advantage</w:t>
      </w:r>
    </w:p>
    <w:p>
      <w:pPr>
        <w:spacing w:after="0" w:line="168"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As of February 28, 2022, our patent portfolio consisted of eight issued U.S. patents, 39 pending U.S. patent applications, three issued ex-U.S. patents and 81 pending ex-U.S. applications, with expected expiry dates not earlier than between March 13, 2029 and November 2, 2042. Of these, three issued patents and 93 patent applications relate to KER-050, KER-047 and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7" w:name="page38"/>
    <w:bookmarkEnd w:id="37"/>
    <w:p>
      <w:pPr>
        <w:jc w:val="both"/>
        <w:ind w:right="200"/>
        <w:spacing w:after="0" w:line="250" w:lineRule="auto"/>
        <w:rPr>
          <w:sz w:val="20"/>
          <w:szCs w:val="20"/>
          <w:color w:val="auto"/>
        </w:rPr>
      </w:pPr>
      <w:r>
        <w:rPr>
          <w:rFonts w:ascii="Arial" w:cs="Arial" w:eastAsia="Arial" w:hAnsi="Arial"/>
          <w:sz w:val="17"/>
          <w:szCs w:val="17"/>
          <w:color w:val="auto"/>
        </w:rPr>
        <w:t>KER-012, and eight issued patents and 27 patent applications relate to other technologies, in each case as described in more detail below. Each of our pending international patent applications has been filed under the Patent Cooperation Treaty and has not yet entered any national jurisdictions. Our policy is to file patent applications to protect technology, inventions and improvements to inventions that may be commercially important to the development of our business.</w:t>
      </w:r>
    </w:p>
    <w:p>
      <w:pPr>
        <w:spacing w:after="0" w:line="15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We seek U.S. and international patent protection for a variety of technologies, and own patent applications with claims directed to ActRIIA ligand traps, ActRIIB ligand traps, ActRII chimera ligand traps, GDNF fusion polypeptides, ALK2 antibodies, crystal forms of an ALK2 inhibitor, and uses thereof. We also intend to seek patent protection or rely upon trade secret rights to protect other technologies that may be used to discover and validate targets, and that may be used to manufacture and develop novel products. We are a party to license agreements that give us rights to use specific technologies in our products and in manufacturing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Patent applications directed to our most advanced programs are summarized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KER-050</w:t>
      </w:r>
    </w:p>
    <w:p>
      <w:pPr>
        <w:spacing w:after="0" w:line="4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KER-050 is a modified ActRIIA ligand trap that is designed to bind to different TGF-ß ligands that signal through a TGF-ß signaling pathway. We own two issued U.S. patents, 14 pending U.S. patent applications and 39 pending ex-U.S. applications that contain claims or supporting disclosure directed to ActRIIA ligand traps and use thereof to treat muscle disease, bone disease, metabolic disease, anemia, fibrosis, pulmonary hypertension, thrombocytopenia, and neutropenia, among others. Any patents issuing from these applications will have expiration dates between November 9, 2037 and August 19, 2042, absent any patent term adjustments or extensions.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KER-047</w:t>
      </w:r>
    </w:p>
    <w:p>
      <w:pPr>
        <w:spacing w:after="0" w:line="61"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KER-047 is an orally available small molecule ALK2 inhibitor designed to potently and selectively inhibit ALK2 signaling. We own 15 pending U.S. patent applications and seven pending ex-U.S. applications that contain claims or supporting disclosure directed to crystal forms of an ALK2 inhibitor and uses thereof. Any patents issuing from these applications will have expiration dates between October 25, 2039 and November 2, 2042, absent any patent term adjustments or extensions.</w:t>
      </w:r>
    </w:p>
    <w:p>
      <w:pPr>
        <w:spacing w:after="0" w:line="15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exclusively licensed from The General Hospital Corporation rights in one patent family related to novel ALK2 inhibitors. Patents in this family are expected to expire on April 26, 2038, absent any patent term adjustments or extensions.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KER-012</w:t>
      </w:r>
    </w:p>
    <w:p>
      <w:pPr>
        <w:spacing w:after="0" w:line="61"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KER-012 is a modified ActRIIB ligand trap that is designed to bind to different TGF-ß ligands that signal through a TGF-ß signaling pathway. We own nine pending U.S. patent applications and 11 pending ex-U.S. applications that contain claims or supporting disclosure directed to ActRIIB ligand traps and use thereof to treat muscle disease, bone disease, anemia, fibrosis, pulmonary hypertension, metabolic disease, thrombocytopenia, and neutropenia, among others. Any patents issuing from these applications will have expiration dates between January 11, 2039 and August 19, 2042, absent any patent term adjustments or extensions.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6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We plan to seek United States and international patent protection for a variety of additional technologies. We own 23 pending U.S. patent applications and 20 pending ex-U.S. applications that contain claims or supporting disclosure directed to GDNF fusion polypeptides, ALK2 antibodies, and ActRII chimera ligand traps. Any patents issuing from these applications will have expiration dates between November 9, 2037 and August 19, 2042, absent any patent term adjustments or extensions.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Protection</w:t>
      </w:r>
    </w:p>
    <w:p>
      <w:pPr>
        <w:spacing w:after="0" w:line="5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6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Furthermore, we rely upon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consultants. These agreements are designed to protect our proprietary information and, in the case of the invention assignment agreements, to grant us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8" w:name="page39"/>
    <w:bookmarkEnd w:id="38"/>
    <w:p>
      <w:pPr>
        <w:jc w:val="both"/>
        <w:ind w:right="160"/>
        <w:spacing w:after="0" w:line="250" w:lineRule="auto"/>
        <w:rPr>
          <w:sz w:val="20"/>
          <w:szCs w:val="20"/>
          <w:color w:val="auto"/>
        </w:rPr>
      </w:pPr>
      <w:r>
        <w:rPr>
          <w:rFonts w:ascii="Arial" w:cs="Arial" w:eastAsia="Arial" w:hAnsi="Arial"/>
          <w:sz w:val="17"/>
          <w:szCs w:val="17"/>
          <w:color w:val="auto"/>
        </w:rPr>
        <w:t>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“Risk Factors—Risks Related to Intellectual Property.”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2"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labeling, packaging, storage, distribution, record keeping, approval, advertising, promotion, marketing, post-approval monitoring and post-approval reporting of drug and biological products such as those we are developing.</w:t>
      </w:r>
    </w:p>
    <w:p>
      <w:pPr>
        <w:spacing w:after="0" w:line="165"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Our product candidates are subject to regulation under the Food, Drug, and Cosmetic Act and the Public Health Service Act, and other federal, state, local and foreign statutes and regulations.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and Biological Product Regulation</w:t>
      </w:r>
    </w:p>
    <w:p>
      <w:pPr>
        <w:spacing w:after="0" w:line="5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Our product candidates must be approved by the FDA through either a New Drug Application, or NDA, or a Biologics License Application, or BLA. The process required by the FDA before biopharmaceutical product candidates may be marketed in the United States generally involves the following:</w:t>
      </w:r>
    </w:p>
    <w:p>
      <w:pPr>
        <w:spacing w:after="0" w:line="163" w:lineRule="exact"/>
        <w:rPr>
          <w:sz w:val="20"/>
          <w:szCs w:val="20"/>
          <w:color w:val="auto"/>
        </w:rPr>
      </w:pPr>
    </w:p>
    <w:p>
      <w:pPr>
        <w:ind w:left="660" w:right="300" w:hanging="331"/>
        <w:spacing w:after="0" w:line="247" w:lineRule="auto"/>
        <w:tabs>
          <w:tab w:leader="none" w:pos="6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completion of extensive preclinical laboratory tests and animal studies performed in accordance with applicable regulations, including the FDA’s Good Laboratory Practice, or GLP, requirements;</w:t>
      </w:r>
    </w:p>
    <w:p>
      <w:pPr>
        <w:ind w:left="660" w:right="340" w:hanging="331"/>
        <w:spacing w:after="0" w:line="247" w:lineRule="auto"/>
        <w:tabs>
          <w:tab w:leader="none" w:pos="6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or IND, application which must become effective before human clinical trials may begin;</w:t>
      </w:r>
    </w:p>
    <w:p>
      <w:pPr>
        <w:ind w:left="640" w:hanging="31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site before the trial may be initiated;</w:t>
      </w:r>
    </w:p>
    <w:p>
      <w:pPr>
        <w:spacing w:after="0" w:line="5" w:lineRule="exact"/>
        <w:rPr>
          <w:rFonts w:ascii="Arial" w:cs="Arial" w:eastAsia="Arial" w:hAnsi="Arial"/>
          <w:sz w:val="17"/>
          <w:szCs w:val="17"/>
          <w:color w:val="auto"/>
        </w:rPr>
      </w:pPr>
    </w:p>
    <w:p>
      <w:pPr>
        <w:ind w:left="660" w:right="120" w:hanging="331"/>
        <w:spacing w:after="0" w:line="247" w:lineRule="auto"/>
        <w:tabs>
          <w:tab w:leader="none" w:pos="6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drug product for each proposed indication and to establish the safety, purity and potency of the investigational biologic product candidate for each proposed indication;</w:t>
      </w:r>
    </w:p>
    <w:p>
      <w:pPr>
        <w:ind w:left="660" w:right="260" w:hanging="331"/>
        <w:spacing w:after="0" w:line="247" w:lineRule="auto"/>
        <w:tabs>
          <w:tab w:leader="none" w:pos="6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preparation of and submission to the FDA of an NDA for a small molecule product candidate or a BLA for a biologic after completion of all pivotal clinical trials;</w:t>
      </w:r>
    </w:p>
    <w:p>
      <w:pPr>
        <w:ind w:left="640" w:hanging="31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payment of user fees for FDA review of the NDA or BLA;</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the NDA or BLA to file the application for review;</w:t>
      </w:r>
    </w:p>
    <w:p>
      <w:pPr>
        <w:spacing w:after="0" w:line="5" w:lineRule="exact"/>
        <w:rPr>
          <w:rFonts w:ascii="Arial" w:cs="Arial" w:eastAsia="Arial" w:hAnsi="Arial"/>
          <w:sz w:val="17"/>
          <w:szCs w:val="17"/>
          <w:color w:val="auto"/>
        </w:rPr>
      </w:pPr>
    </w:p>
    <w:p>
      <w:pPr>
        <w:ind w:left="660" w:right="100" w:hanging="331"/>
        <w:spacing w:after="0" w:line="247" w:lineRule="auto"/>
        <w:tabs>
          <w:tab w:leader="none" w:pos="6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satisfactory completion of one or more FDA pre-approval inspections of the manufacturing facility or facilities at which the proposed product will be produced to assess compliance with current Good Manufacturing Practice, or cGMP, requirements and to assure that the facilities, methods and controls are adequate to preserve the product’s continued identity, strength, quality and purity;</w:t>
      </w:r>
    </w:p>
    <w:p>
      <w:pPr>
        <w:ind w:left="640" w:hanging="31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potential FDA audit of the preclinical study and/or clinical trial sites that generated the data in support of the NDA or BLA;</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5" w:lineRule="exact"/>
        <w:rPr>
          <w:rFonts w:ascii="Arial" w:cs="Arial" w:eastAsia="Arial" w:hAnsi="Arial"/>
          <w:sz w:val="17"/>
          <w:szCs w:val="17"/>
          <w:color w:val="auto"/>
        </w:rPr>
      </w:pPr>
    </w:p>
    <w:p>
      <w:pPr>
        <w:ind w:left="660" w:right="20" w:hanging="331"/>
        <w:spacing w:after="0" w:line="247" w:lineRule="auto"/>
        <w:tabs>
          <w:tab w:leader="none" w:pos="6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FDA review and approval of an NDA or licensure of a BLA, including consideration of the views of any FDA Advisory Committee, prior to any commercial marketing or sale of the product for particular indications for use in the United States; and</w:t>
      </w:r>
    </w:p>
    <w:p>
      <w:pPr>
        <w:ind w:left="640" w:hanging="311"/>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conduct post-approval studies.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51"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 xml:space="preserve">Before testing any drug or biologic candidate in humans in the United States, the product candidate must undergo rigorous preclinical testing. Preclinical studies include laboratory evaluation of product chemistry and formulation, as well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safety and in some cases to establish a rationale for therapeutic use. The conduct of preclinical studies is subject to federal and state regulations and requirements, including GLP regulations for safety/toxicology studies.</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39" w:name="page40"/>
    <w:bookmarkEnd w:id="39"/>
    <w:p>
      <w:pPr>
        <w:ind w:right="40"/>
        <w:spacing w:after="0" w:line="248" w:lineRule="auto"/>
        <w:rPr>
          <w:sz w:val="20"/>
          <w:szCs w:val="20"/>
          <w:color w:val="auto"/>
        </w:rPr>
      </w:pPr>
      <w:r>
        <w:rPr>
          <w:rFonts w:ascii="Arial" w:cs="Arial" w:eastAsia="Arial" w:hAnsi="Arial"/>
          <w:sz w:val="17"/>
          <w:szCs w:val="17"/>
          <w:color w:val="auto"/>
        </w:rPr>
        <w:t>Prior to beginning the first clinical trial with a product candidate, we must submit the results of the preclinical studies, together with manufacturing information, analytical data, any available clinical data or literature and a proposed clinical protocol, to the FDA as part of an IND. An IND is a request for authorization from the FDA to administer an investigational new drug product to humans. The IND submission contains the general investigational plan and the protocol or protocols for preclinical studies and clinical trials, as well as results of in vitro and animal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period, raises safety concerns or questions related to one or more proposed clinical trials and places the trial on clinical hold. In such a case, the IND sponsor and the FDA must resolve any outstanding concerns or questions before the clinical trial can begin. Submission of an IND therefore may or may not result in FDA authorization to begin a clinical trial.</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The clinical stage of development involves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These investigators are generally physicians who are not employed by or under the trial sponsor’s control. Clinical trials are conducted under protocols detailing, among other things, the objectives of the study, dosing procedures, subject selection and exclusion criteria, and the parameters to be used in monitoring subject safety and assessing efficacy. Each protocol, and any subsequent amendments to the protocol, must be submitted to the FDA as part of the existing IND. Furthermore, each clinical trial must be reviewed and approved by an independent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spacing w:after="0" w:line="177"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The FDA will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trials in the United States are typically conducted in three sequential phases that may overlap or be combined:</w:t>
      </w:r>
    </w:p>
    <w:p>
      <w:pPr>
        <w:spacing w:after="0" w:line="167" w:lineRule="exact"/>
        <w:rPr>
          <w:sz w:val="20"/>
          <w:szCs w:val="20"/>
          <w:color w:val="auto"/>
        </w:rPr>
      </w:pPr>
    </w:p>
    <w:p>
      <w:pPr>
        <w:ind w:left="660" w:right="140" w:hanging="331"/>
        <w:spacing w:after="0" w:line="247" w:lineRule="auto"/>
        <w:tabs>
          <w:tab w:leader="none" w:pos="6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Phase 1 clinical trials generally involve a small number of healthy volunteers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ind w:left="660" w:right="60" w:hanging="331"/>
        <w:spacing w:after="0" w:line="247" w:lineRule="auto"/>
        <w:tabs>
          <w:tab w:leader="none" w:pos="6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Phase 2 clinical trials involve studies in a limited population of disease-affected patients to evaluate the preliminary efficacy, optimal dosages and dosing schedule and to identify possible adverse side effects and safety risks.</w:t>
      </w:r>
    </w:p>
    <w:p>
      <w:pPr>
        <w:ind w:left="660" w:right="100" w:hanging="331"/>
        <w:spacing w:after="0" w:line="252" w:lineRule="auto"/>
        <w:tabs>
          <w:tab w:leader="none" w:pos="653" w:val="left"/>
        </w:tabs>
        <w:numPr>
          <w:ilvl w:val="0"/>
          <w:numId w:val="19"/>
        </w:numPr>
        <w:rPr>
          <w:rFonts w:ascii="Arial" w:cs="Arial" w:eastAsia="Arial" w:hAnsi="Arial"/>
          <w:sz w:val="17"/>
          <w:szCs w:val="17"/>
          <w:color w:val="auto"/>
        </w:rPr>
      </w:pPr>
      <w:r>
        <w:rPr>
          <w:rFonts w:ascii="Arial" w:cs="Arial" w:eastAsia="Arial" w:hAnsi="Arial"/>
          <w:sz w:val="17"/>
          <w:szCs w:val="17"/>
          <w:color w:val="auto"/>
        </w:rPr>
        <w:t>Phase 3 clinical trials generally involve a large number of patients at multiple geographically dispersed clinical trial sites and are designed to further evaluate dosage, to provide statistically significant evidence of clinical efficacy and to further test for safety. These clinical trials are intended to establish the overall risk/benefit ratio of the investigational product and to provide an adequate basis for product approval.</w:t>
      </w:r>
    </w:p>
    <w:p>
      <w:pPr>
        <w:spacing w:after="0" w:line="16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When these phases overlap or are combined, the trials may be referred to as Phase 1/2 or Phase 2/3. A Phase 1/2 clinical trial is a human trial that investigates both safety and preliminary efficacy of an investigational therapy. A Phase 2/3 clinical trial is a human trial that investigates both preliminary and confirmatory efficacy and safety to potentially support submission of a marketing application with the applicable regulatory authorities.</w:t>
      </w:r>
    </w:p>
    <w:p>
      <w:pPr>
        <w:spacing w:after="0" w:line="146"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to FDA approval of an NDA or BLA.</w:t>
      </w:r>
    </w:p>
    <w:p>
      <w:pPr>
        <w:spacing w:after="0" w:line="152"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Concurrent with clinical trials, companies may complete additional animal studies and develop additional information about the chemistry and physical characteristics of the product candidate, and must finalize a process for manufacturing the product in commercial quantities in accordance with cGMP requirements. The manufacturing process must be capable of consistently</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0" w:name="page41"/>
    <w:bookmarkEnd w:id="40"/>
    <w:p>
      <w:pPr>
        <w:ind w:right="20"/>
        <w:spacing w:after="0" w:line="252" w:lineRule="auto"/>
        <w:rPr>
          <w:sz w:val="20"/>
          <w:szCs w:val="20"/>
          <w:color w:val="auto"/>
        </w:rPr>
      </w:pPr>
      <w:r>
        <w:rPr>
          <w:rFonts w:ascii="Arial" w:cs="Arial" w:eastAsia="Arial" w:hAnsi="Arial"/>
          <w:sz w:val="17"/>
          <w:szCs w:val="17"/>
          <w:color w:val="auto"/>
        </w:rPr>
        <w:t>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49"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study investigators. The FDA or the sponsor or its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Review Process</w:t>
      </w:r>
    </w:p>
    <w:p>
      <w:pPr>
        <w:spacing w:after="0" w:line="6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an NDA or BLA. The NDA or BLA is a request for approval to market the drug or biologic for one or more specified indications and must contain proof of safety and efficacy for a drug or safety, purity and potency for a biologic.</w:t>
      </w:r>
    </w:p>
    <w:p>
      <w:pPr>
        <w:ind w:right="80"/>
        <w:spacing w:after="0" w:line="269" w:lineRule="auto"/>
        <w:rPr>
          <w:sz w:val="20"/>
          <w:szCs w:val="20"/>
          <w:color w:val="auto"/>
        </w:rPr>
      </w:pPr>
      <w:r>
        <w:rPr>
          <w:rFonts w:ascii="Arial" w:cs="Arial" w:eastAsia="Arial" w:hAnsi="Arial"/>
          <w:sz w:val="16"/>
          <w:szCs w:val="16"/>
          <w:color w:val="auto"/>
        </w:rPr>
        <w:t>The application must include all relevant data available from pertinent preclinical studies and clinical trials, including negative or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w:t>
      </w:r>
    </w:p>
    <w:p>
      <w:pPr>
        <w:spacing w:after="0" w:line="137"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Under the Prescription Drug User Fee Act, or PDUFA, as amended, each submission of an NDA or BLA requires payment of a substantial application user fee to the FDA, unless a waiver or exemption applies. The FDA adjusts the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the product application also includes a non-orphan indication.</w:t>
      </w:r>
    </w:p>
    <w:p>
      <w:pPr>
        <w:spacing w:after="0" w:line="14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FDA reviews all submitted NDAs and BLAs before it accepts them for filing, and may request additional information rather than accepting the NDA or BLA for filing. The FDA must make a decision on accepting an NDA or BLA for filing within sixty days of receipt. Such decision could include either issue a refusal to file letter or acceptance of the NDA or BLA for filing, indicating that it is sufficiently complete to permit substantive review.</w:t>
      </w:r>
    </w:p>
    <w:p>
      <w:pPr>
        <w:spacing w:after="0" w:line="163"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Once an NDA or BLA has been accepted for filing, the FDA begins an in-depth review of the NDA or BLA. Under the goals and policies agreed to by the FDA under PDUFA, the FDA aims to review standard applications within ten months from the filing date, during which it will complete its initial review of a new molecular entity NDA or original BLA and respond to the applicant, or within six months from the filing date of a new molecular entity NDA or original BLA designated for priority review. In both standard and priority reviews, the FDA does not always meet its PDUFA goal dates, and the review process is often significantly extended by FDA requests for additional information or clarification. The FDA reviews the application to determine, among other things, whether a product is safe and effective, or for a biologic, safe, pure and potent for its intended use, and whether the facility in which it is manufactured, processed, packed or held meets standards designed to assure and preserve the product’s identity, safety, strength, quality, potency and purity.</w:t>
      </w:r>
    </w:p>
    <w:p>
      <w:pPr>
        <w:spacing w:after="0" w:line="156"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 FDA generally accepts data from foreign clinical trials in support of an NDA or BLA if the trials were conducted under an IND, and the IND requirements, unless waived, were met. If a foreign clinical trial is not conducted under an IND, the FDA nevertheless may accept the data in support of an NDA or BLA if the trial was conducted in accordance with GCPs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trials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6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Before approving an NDA or BLA, the FDA will conduct a pre-approval inspection of the manufacturing facility or facilities for the new product to determine whether they comply with cGMP requirements. The FDA will not approve an application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products or products which present difficult questions of safety or efficacy to an advisory committee, typically a panel that includes clinicians and other experts, for review, evaluation and a recommendation as to whether the application should be approved and under what</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1" w:name="page42"/>
    <w:bookmarkEnd w:id="41"/>
    <w:p>
      <w:pPr>
        <w:ind w:right="260"/>
        <w:spacing w:after="0" w:line="249" w:lineRule="auto"/>
        <w:rPr>
          <w:sz w:val="20"/>
          <w:szCs w:val="20"/>
          <w:color w:val="auto"/>
        </w:rPr>
      </w:pPr>
      <w:r>
        <w:rPr>
          <w:rFonts w:ascii="Arial" w:cs="Arial" w:eastAsia="Arial" w:hAnsi="Arial"/>
          <w:sz w:val="17"/>
          <w:szCs w:val="17"/>
          <w:color w:val="auto"/>
        </w:rPr>
        <w:t>conditions, if any. The FDA is not bound by recommendations of the advisory committee, but it considers such recommendations when making decisions on approval. Additionally, before approving an NDA or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After the FDA evaluates an NDA or BLA and conducts inspections of manufacturing facilities where the investigational product and/or its drug substance will be manufactured, the FDA will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that the FDA has identified in the NDA or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application in condition for approval, including requests for additional information or clarification, which may include the potential requirement for additional clinical studies, including the potential requirement to conduct additional clinical trial(s) and/or to complete other significant and time-consuming requirements related to clinical trials, or to conduct additional preclinical studies or manufacturing activities. If a Complete Response Letter is issued, the applicant may either resubmit the NDA or BLA, addressing all of the deficiencies identified in the letter, or withdraw the application or request an opportunity for a hearing.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65"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an NDA or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5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exclusivity, which means that the FDA may not approve any other applications, including a full NDA or BLA,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application fee.</w:t>
      </w:r>
    </w:p>
    <w:p>
      <w:pPr>
        <w:spacing w:after="0" w:line="169"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51"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Following approval of a new product, the manufacturer and the approved product are subject to pervasive and continuing regulation by the FDA, including, among other things, requirements relating to monitoring and record-keeping, reporting of adverse experiences, periodic reporting, product sampling and distribution, compliance with advertising and promotion requirements, which include restrictions on promoting the product for unapproved uses or patient populations, known as “off-label use,” and limitations on industry-sponsored scientific and educational activities. Further, after approval, if there are any changes or modifications to the approved product, including changes in indications, labeling or manufacturing processes or facilities, the applicant may be required to submit and obtain FDA review and approval of a new NDA/BLA or NDA/BLA supplement, which may require the development of additional data or preclinical studies and clinical trials.</w:t>
      </w:r>
    </w:p>
    <w:p>
      <w:pPr>
        <w:spacing w:after="0" w:line="17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FDA may also place other conditions on approvals including the requirement for a Risk Evaluation and Mitigation Strategy, or REMS, to assure the safe use of the product. If the FDA concludes a REMS is needed, the sponsor of the NDA or BLA must submit a proposed REMS.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2" w:name="page43"/>
    <w:bookmarkEnd w:id="42"/>
    <w:p>
      <w:pPr>
        <w:spacing w:after="0" w:line="248" w:lineRule="auto"/>
        <w:rPr>
          <w:sz w:val="20"/>
          <w:szCs w:val="20"/>
          <w:color w:val="auto"/>
        </w:rPr>
      </w:pPr>
      <w:r>
        <w:rPr>
          <w:rFonts w:ascii="Arial" w:cs="Arial" w:eastAsia="Arial" w:hAnsi="Arial"/>
          <w:sz w:val="17"/>
          <w:szCs w:val="17"/>
          <w:color w:val="auto"/>
        </w:rPr>
        <w:t>methods, patient registries and other risk minimization tools. The FDA will not approve the NDA or BLA without an approved REMS, if required.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Product approvals may be withdrawn for non-compliance with regulatory standards or if problems occur following initial marketing.</w:t>
      </w:r>
    </w:p>
    <w:p>
      <w:pPr>
        <w:spacing w:after="0" w:line="156"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67" w:lineRule="exact"/>
        <w:rPr>
          <w:sz w:val="20"/>
          <w:szCs w:val="20"/>
          <w:color w:val="auto"/>
        </w:rPr>
      </w:pPr>
    </w:p>
    <w:p>
      <w:pPr>
        <w:ind w:left="640" w:hanging="31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fines, warning or untitled letters or holds on post-approval clinical studies;</w:t>
      </w:r>
    </w:p>
    <w:p>
      <w:pPr>
        <w:spacing w:after="0" w:line="5" w:lineRule="exact"/>
        <w:rPr>
          <w:rFonts w:ascii="Arial" w:cs="Arial" w:eastAsia="Arial" w:hAnsi="Arial"/>
          <w:sz w:val="17"/>
          <w:szCs w:val="17"/>
          <w:color w:val="auto"/>
        </w:rPr>
      </w:pPr>
    </w:p>
    <w:p>
      <w:pPr>
        <w:ind w:left="660" w:right="80" w:hanging="331"/>
        <w:spacing w:after="0" w:line="247" w:lineRule="auto"/>
        <w:tabs>
          <w:tab w:leader="none" w:pos="6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ind w:left="640" w:hanging="31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 seizure or detention, or refusal of the FDA to permit the import or export of products;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consent decrees, corporate integrity agreements, debarment or exclusion from federal healthcare programs;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mandated modification of promotional materials and labeling and the issuance of corrective information;</w:t>
      </w:r>
    </w:p>
    <w:p>
      <w:pPr>
        <w:spacing w:after="0" w:line="5" w:lineRule="exact"/>
        <w:rPr>
          <w:rFonts w:ascii="Arial" w:cs="Arial" w:eastAsia="Arial" w:hAnsi="Arial"/>
          <w:sz w:val="17"/>
          <w:szCs w:val="17"/>
          <w:color w:val="auto"/>
        </w:rPr>
      </w:pPr>
    </w:p>
    <w:p>
      <w:pPr>
        <w:ind w:left="660" w:right="40" w:hanging="331"/>
        <w:spacing w:after="0" w:line="247" w:lineRule="auto"/>
        <w:tabs>
          <w:tab w:leader="none" w:pos="6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 or</w:t>
      </w:r>
    </w:p>
    <w:p>
      <w:pPr>
        <w:ind w:left="640" w:hanging="311"/>
        <w:spacing w:after="0"/>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8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The FDA closely regulates the marketing, labeling, advertising and promotion of drugs and biologics. Drugs and biologics may be promoted only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6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or collectively the ACA, includes a subtitle called the Biologics Price Competition and Innovation Act of 2009, or BPCI Act, which created an abbreviated approval pathway for biological products shown to be similar to, or interchangeable with, an FDA-licensed reference biological product. To date, only a handful of biosimilars have been licensed under the BPCIA, although numerous biosimilars have been approved in Europe. The FDA has issued several guidance documents outlining an approach to review and approval of biosimilars.</w:t>
      </w:r>
    </w:p>
    <w:p>
      <w:pPr>
        <w:spacing w:after="0" w:line="167"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5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3" w:name="page44"/>
    <w:bookmarkEnd w:id="43"/>
    <w:p>
      <w:pPr>
        <w:ind w:right="160"/>
        <w:spacing w:after="0" w:line="257" w:lineRule="auto"/>
        <w:rPr>
          <w:sz w:val="20"/>
          <w:szCs w:val="20"/>
          <w:color w:val="auto"/>
        </w:rPr>
      </w:pPr>
      <w:r>
        <w:rPr>
          <w:rFonts w:ascii="Arial" w:cs="Arial" w:eastAsia="Arial" w:hAnsi="Arial"/>
          <w:sz w:val="17"/>
          <w:szCs w:val="17"/>
          <w:color w:val="auto"/>
        </w:rPr>
        <w:t>biosimilars approved as interchangeable products. At this juncture, it is unclear whether products deemed “interchangeable” by the FDA will, in fact, be readily substituted by pharmacies, which are governed by state pharmacy law.</w:t>
      </w:r>
    </w:p>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6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6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Phase 1 trial for KER-047 and our Phase 1 trial for KER-050 were both conducted in Australia, and our Phase 2 trial for KER-050 in patients with MDS and our Phase 1 clinical trial for KER-012 are being conducted in Australia, among other countries. The Therapeutic Goods Administration, or the TGA, and the National Health and Medical Research Council set the GCP requirements for clinical research in Australia, and compliance with these codes is mandatory. Australia has also adopted international codes, such as those promulgated by the International Council for Harmonization of Technical Requirements for Registration of Pharmaceuticals for Human Use, or the ICH. The ICH guidelines must be complied with across all fields of clinical research, including those related to pharmaceutical quality, nonclinical and clinical data requirements and trial designs. The basic requirements for preclinical data to support a first-in-human trial under ICH guidelines are applicable in Australia. Requirements related to adverse event reporting in Australia are similar to those required in other major jurisdictions.</w:t>
      </w:r>
    </w:p>
    <w:p>
      <w:pPr>
        <w:spacing w:after="0" w:line="169"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Clinical trials conducted using “unapproved therapeutic goods” in Australia, being those which have not yet been evaluated by the TGA for quality, safety and efficacy must occur pursuant to either the Clinical Trial Notification Scheme, or the CTN Scheme, or the Clinical Trial Exemption Scheme, or the CTX Scheme. In each case, the trial is supervised by a Human Research Ethics Committee, or HREC, an independent review committee set up under guidelines of the Australian National Health and Medical Research Council that ensures the protection of rights, safety and well-being of human subjects involved in a clinical trial. A HREC does this by reviewing, approving and providing continuing examination of trial protocols and amendments, and of the methods and material to be used in obtaining and documenting informed consent of the trial subjects.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CTN Scheme broadly involves:</w:t>
      </w:r>
    </w:p>
    <w:p>
      <w:pPr>
        <w:spacing w:after="0" w:line="180" w:lineRule="exact"/>
        <w:rPr>
          <w:sz w:val="20"/>
          <w:szCs w:val="20"/>
          <w:color w:val="auto"/>
        </w:rPr>
      </w:pPr>
    </w:p>
    <w:p>
      <w:pPr>
        <w:ind w:left="640" w:hanging="31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completion of preclinical laboratory and animal testing;</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submission to a HREC, of all material relating to the proposed clinical trial, including the trial protocol;</w:t>
      </w:r>
    </w:p>
    <w:p>
      <w:pPr>
        <w:spacing w:after="0" w:line="5" w:lineRule="exact"/>
        <w:rPr>
          <w:rFonts w:ascii="Arial" w:cs="Arial" w:eastAsia="Arial" w:hAnsi="Arial"/>
          <w:sz w:val="17"/>
          <w:szCs w:val="17"/>
          <w:color w:val="auto"/>
        </w:rPr>
      </w:pPr>
    </w:p>
    <w:p>
      <w:pPr>
        <w:ind w:left="660" w:right="640" w:hanging="331"/>
        <w:spacing w:after="0" w:line="247" w:lineRule="auto"/>
        <w:tabs>
          <w:tab w:leader="none" w:pos="6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institution or organization at which the trial will be conducted, referred to as the “Approving Authority”, giving final approval for the conduct of the trial at the site, having regard to the advice from the HREC; and</w:t>
      </w:r>
    </w:p>
    <w:p>
      <w:pPr>
        <w:jc w:val="both"/>
        <w:ind w:left="660" w:right="120" w:hanging="331"/>
        <w:spacing w:after="0" w:line="252" w:lineRule="auto"/>
        <w:tabs>
          <w:tab w:leader="none" w:pos="65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investigator submitting a ‘Notification of Intent to Conduct a Clinical Trial’ form, or CTN Form, to the TGA. The CTN form must be signed by the sponsor, the principal investigator, the chairman of the HREC and a person responsible from the Approving Authority. The TGA does not review any data relating to the clinical trial however CTN trials cannot commence until the trial has been notified to the TGA.</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Under the CTX Scheme:</w:t>
      </w:r>
    </w:p>
    <w:p>
      <w:pPr>
        <w:spacing w:after="0" w:line="167" w:lineRule="exact"/>
        <w:rPr>
          <w:sz w:val="20"/>
          <w:szCs w:val="20"/>
          <w:color w:val="auto"/>
        </w:rPr>
      </w:pPr>
    </w:p>
    <w:p>
      <w:pPr>
        <w:ind w:left="640" w:hanging="311"/>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sponsor submits an application to conduct a clinical trial to the TGA for evaluation and comment;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sponsor must forward any comments made by the TGA Delegate to the HREC(s) at the sites where the trial will be conducted.</w:t>
      </w:r>
    </w:p>
    <w:p>
      <w:pPr>
        <w:spacing w:after="0" w:line="180" w:lineRule="exact"/>
        <w:rPr>
          <w:sz w:val="20"/>
          <w:szCs w:val="20"/>
          <w:color w:val="auto"/>
        </w:rPr>
      </w:pPr>
    </w:p>
    <w:p>
      <w:pPr>
        <w:ind w:right="560"/>
        <w:spacing w:after="0" w:line="257" w:lineRule="auto"/>
        <w:rPr>
          <w:sz w:val="20"/>
          <w:szCs w:val="20"/>
          <w:color w:val="auto"/>
        </w:rPr>
      </w:pPr>
      <w:r>
        <w:rPr>
          <w:rFonts w:ascii="Arial" w:cs="Arial" w:eastAsia="Arial" w:hAnsi="Arial"/>
          <w:sz w:val="17"/>
          <w:szCs w:val="17"/>
          <w:color w:val="auto"/>
        </w:rPr>
        <w:t>A sponsor cannot commence a trial under the CTX Scheme until written advice has been received from the TGA regarding the application and approval for the conduct of the trial has been obtained from an ethics committee and the institution at which the trial will be conducted.</w:t>
      </w:r>
    </w:p>
    <w:p>
      <w:pPr>
        <w:spacing w:after="0" w:line="158"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Approval for inclusion in the Australian Register of Therapeutic Goods, or ARTG, is required before a pharmaceutical product may be marketed (or imported, exported or manufactured) in Australia. In order to obtain registration of the product on the ARTG, it is required that:</w:t>
      </w:r>
    </w:p>
    <w:p>
      <w:pPr>
        <w:spacing w:after="0" w:line="145" w:lineRule="exact"/>
        <w:rPr>
          <w:sz w:val="20"/>
          <w:szCs w:val="20"/>
          <w:color w:val="auto"/>
        </w:rPr>
      </w:pPr>
    </w:p>
    <w:p>
      <w:pPr>
        <w:ind w:left="640" w:hanging="31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adequate and well-controlled clinical trials demonstrate the quality, safety and efficacy of the therapeutic product;</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evidence is compiled which demonstrates that the manufacture of the therapeutic product complies with the principles of cGMP;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4" w:name="page45"/>
    <w:bookmarkEnd w:id="44"/>
    <w:p>
      <w:pPr>
        <w:ind w:left="660" w:right="20" w:hanging="331"/>
        <w:spacing w:after="0" w:line="247" w:lineRule="auto"/>
        <w:tabs>
          <w:tab w:leader="none" w:pos="6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manufacturing and clinical data is derived to submit to the Advisory Committee on Prescription Medicines, which makes recommendations to the TGA as to whether or not to grant approval to include the therapeutic product in the ARTG; and</w:t>
      </w:r>
    </w:p>
    <w:p>
      <w:pPr>
        <w:ind w:left="640" w:hanging="311"/>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ultimate decision is made by the TGA whether to include the therapeutic product in the ARTG.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6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U.S. federal Anti-Kickback Statute, the civil False Claims Act, U.S. federal Health Insurance Portability and Accountability Act of 1996, or HIPAA, and similar foreign, federal and state fraud and abuse, transparency and privacy laws.</w:t>
      </w:r>
    </w:p>
    <w:p>
      <w:pPr>
        <w:spacing w:after="0" w:line="165"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U.S.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U.S. federal Anti-Kickback Statute has been interpreted to apply to arrangements between pharmaceutical manufacturers on one hand and prescribers, purchasers, and others on the other hand. There are a number of statutory exceptions and regulatory safe harbors protecting some common activities from prosecution, but they are drawn narrowly, and practices that involve remuneration, such as consulting agreements,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services resulting from a violation of the U.S. federal Anti-Kickback Statute constitutes a false or fraudulent claim for purposes of the civil False Claims Act.</w:t>
      </w:r>
    </w:p>
    <w:p>
      <w:pPr>
        <w:spacing w:after="0" w:line="13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Civil and criminal false claims laws, including the civil False Claims Act, which can be enforced through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and civil monetary penalty laws prohibit, among other things, individuals or entities from knowingly presenting, or causing to be presented, claims for payment to the federal government, including federal healthcare programs, that are false or fraudulent. For example, the civil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Pharmaceutical and other healthcare companies have been prosecuted under these laws for allegedly providing free product to customers with the expectation that the customers would bill federal programs for the product.</w:t>
      </w:r>
    </w:p>
    <w:p>
      <w:pPr>
        <w:spacing w:after="0" w:line="16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HIPAA created additional federal civil and criminal liability for, among other things, executing a scheme to defraud any healthcare benefit program, including private third-party payors, and making false statements relating to healthcare matters. Similar to the U.S. federal Anti-Kickback Statute, a person or entity does not need to have actual knowledge of the statute or specific intent to violate it in order to have committed a violation. In addition, HIPAA, as amended by the Health Information Technology for Economic and Clinical Health Act, or HITECH, and their implementing regulations, impose certain requirements on HIPAA covered entities, which include certain healthcare providers, healthcare clearing houses and health plans, and individuals and entities that provide services on their behalf that involve individually identifiable health information, known as business associates, as well as their covered subcontractors, relating to the privacy, security and transmission of individually identifiable health information.</w:t>
      </w:r>
    </w:p>
    <w:p>
      <w:pPr>
        <w:spacing w:after="0" w:line="156"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The U.S. federal Physician Payments Sunshine Act requires certain manufacturers of drugs, devices, biologics and medical supplies that are reimbursable under Medicare, Medicaid or the Children’s Health Insurance Program, with specific exceptions, to report annually to the Centers for Medicare &amp; Medicaid Services, or CMS, information related to certain payments and other transfers of value made in the prior year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spacing w:after="0" w:line="15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are also subject to additional similar U.S. state and foreign law equivalents of each of the above federal laws, such as anti-kickback and false claims laws which may apply to sales or marketing arrangements and claims involving healthcare items or services reimbursed by non-governmental third-party payors, including private insurers, or that apply regardless of payor, state laws which require pharmaceutical companies to comply with the pharmaceutical industry’s voluntary compliance guidelines and the relevant compliance guidance promulgated by the federal government, state and local laws which require pharmaceutical companies to report information related to payments and other transfers of value to physicians and other healthcare providers or marketing expenditures, state laws which require the reporting of information related to drug pricing, state and local laws requiring the registration of pharmaceutical sales representatives, and state and foreign laws governing</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45" w:name="page46"/>
    <w:bookmarkEnd w:id="45"/>
    <w:p>
      <w:pPr>
        <w:ind w:right="20"/>
        <w:spacing w:after="0" w:line="249" w:lineRule="auto"/>
        <w:rPr>
          <w:sz w:val="20"/>
          <w:szCs w:val="20"/>
          <w:color w:val="auto"/>
        </w:rPr>
      </w:pPr>
      <w:r>
        <w:rPr>
          <w:rFonts w:ascii="Arial" w:cs="Arial" w:eastAsia="Arial" w:hAnsi="Arial"/>
          <w:sz w:val="17"/>
          <w:szCs w:val="17"/>
          <w:color w:val="auto"/>
        </w:rPr>
        <w:t>the privacy and security of health information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significant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6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No uniform policy for coverage and reimbursement exists in the United States, and coverage and reimbursement can differ significantly from payor to payor. Decisions regarding whether to cover any of our product candidates, if approved, the extent of coverage and amount of reimbursement to be provided are made on a plan-by-plan basis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p>
    <w:p>
      <w:pPr>
        <w:spacing w:after="0" w:line="168"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5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 party not to cover a product could reduce physician usage and patient demand for the product. No regulatory authority has granted approval for a personalized cancer immunotherapy based on a vaccine approach, and there is no model for reimbursement of this type of product.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65"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healthcare programs, and increased governmental control of drug pricing.</w:t>
      </w:r>
    </w:p>
    <w:p>
      <w:pPr>
        <w:spacing w:after="0" w:line="154"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 Since its enactment, there have been judicial, Congressional and executive branch challenges to certain aspects of the ACA. For example, Congress considered legislation to repeal or repeal and replace all or part of the ACA. While Congress has not passed comprehensive repeal legislation, it has enacted laws that modify certain provisions of the ACA such as removing penalties, which started on January 1, 2019, for not complying with the ACA’s individual mandate to carry health insurance.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6" w:name="page47"/>
    <w:bookmarkEnd w:id="46"/>
    <w:p>
      <w:pPr>
        <w:ind w:right="160"/>
        <w:spacing w:after="0" w:line="250" w:lineRule="auto"/>
        <w:rPr>
          <w:sz w:val="20"/>
          <w:szCs w:val="20"/>
          <w:color w:val="auto"/>
        </w:rPr>
      </w:pPr>
      <w:r>
        <w:rPr>
          <w:rFonts w:ascii="Arial" w:cs="Arial" w:eastAsia="Arial" w:hAnsi="Arial"/>
          <w:sz w:val="17"/>
          <w:szCs w:val="17"/>
          <w:color w:val="auto"/>
        </w:rPr>
        <w:t>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15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including the Infrastructure Investment and Jobs Act, will remain in effect through 2031, with the exception of a temporary suspension from May 1, 2020 through March 31, 2022, unless additional action is taken by Congress. Under current legislation the actual reduction in Medicare payments will vary from 1% in 2022 to up to 3% in the final fiscal year of this sequester. Another sequester, the PAYGO Sequester, effective with the passage of the American Rescue Plan, will add another 4% reduction in Medicare spending in 2023, unless additional Congressional action is taken.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as part of the other reform measures.</w:t>
      </w:r>
    </w:p>
    <w:p>
      <w:pPr>
        <w:spacing w:after="0" w:line="168"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the Department of Health and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51"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other countries that impose similar obligations.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6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U.S. Foreign Corrupt Practices Act, or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The scope of the FCPA includes interactions with certain healthcare professionals in many countries. Equivalent laws have been adopted in other foreign countries that impose similar obligations.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9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of December 31, 2021, we had 60 full-time employees, including 15 who hold Ph.D. or M.D. degrees. Of these full-time employees, 45 employees are engaged in research and development and 15 employees are engaged in management or general and administrative activities. None of our employees are subject to a collective bargaining agreement or represented by a trade or labor union. We consider our relationship with our employees to be good.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5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At Keros, diversity means making a conscious effort to reflect the many experiences and identities of the world outside, while treating each other with fairness and without bias. Inclusion is the choice we make every day to foster an environment where people of all backgrounds not only belong but excel, so that together, as a company, we can succeed. Keros strives to foster an inclusive community, both inside and out of the office.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 Training and Development</w:t>
      </w:r>
    </w:p>
    <w:p>
      <w:pPr>
        <w:spacing w:after="0" w:line="65"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development, attraction and retention of our employees is a critical success factor for Keros. We cultivate a culture of learning and offer formal and informal training and development opportunities for employees at all levels. We actively promote from within and continue to fill our team with strong and experienced management talent.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6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An important part of attracting and retaining key talent is competitive pay and benefits. To ensure our compensation and benefits programs are competitive, we engage a nationally recognized outside compensation and benefits consulting firm to independently evaluate the effectiveness of our programs and to provide benchmarking against our peers within the industry. Our pay for performance philosophy seeks to motivate and reward employees while accomplishing our short and long-term strategic goals. As part of our performance management process, employees are evaluated both on what they accomplished and on their experience managing and mentoring other employees. Annual salary increases and incentive bonuses are based on merit and include individual and corporate performance factors.</w:t>
      </w:r>
    </w:p>
    <w:p>
      <w:pPr>
        <w:spacing w:after="0" w:line="166"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To encourage our employees to think like owners and share in the Company’s success, all employees are granted stock options. All employees are eligible for health insurance, paid and unpaid leaves including paid parental leave, retirement plans with an employer contribution match, life and disability/accident coverage and access to convenient COVID-19 testing.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Conduct and Ethics</w:t>
      </w:r>
    </w:p>
    <w:p>
      <w:pPr>
        <w:spacing w:after="0" w:line="65"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color w:val="auto"/>
        </w:rPr>
        <w:t>At Keros, we are committed to fostering a culture of integrity and ensuring each of our employees is equipped with resources to help them do the right thing. We believe it is imperative that the board of directors and senior management strongly support a no-tolerance stance for workplace harassment, biases and unethical behavior. All employees are required to abide by, review and confirm compliance to the Company’s Code of Business Conduct and Ethics and Insider Trading policies upon hire and on an annual basis thereafter.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2"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color w:val="auto"/>
        </w:rPr>
        <w:t>We were originally incorporated under the laws of the State of Delaware under the name Keros Therapeutics, Inc. in December 2015. Our principal executive office is located at 99 Hayden Avenue, Suite 120, Building E, Lexington, Massachusetts 02421. Our telephone number is (617) 314-6297. We completed our initial public offering in April 2020 and our common stock is listed on the Nasdaq Global Market under the symbol “KROS.”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website address is www.kerostx.com and our investor relations website address is https://ir.kerostx.com/. Our Annual Reports on Form 10-K, Quarterly Reports on Form 10-Q, current reports on Form 8-K and amendments to those reports filed or furnished pursuant to Sections 13(a) and 15(d) of the Securities Exchange Act of 1934, as amended, or the Exchange Act, are available free of charge on our investor relations website as soon as reasonably practicable after we electronically file such material with, or furnish it to, the Securities and Exchange Commission, or the SEC. The SEC maintains an internet site that contains reports, proxy and information statements and other information. The address of the SEC’s website is www.sec.gov.</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Further corporate governance information, including our corporate governance guidelines and board committee charters, is also available on our investor relations website under the heading "Corporate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7"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Our business is subject to numerous risks. You should consider carefully the risks and uncertainties described below, in addition to other information contained in this Annual Report on Form 10-K as well as our other public filings with the Securities and Exchange Commission, or the SEC. Any of the following risks could have a material adverse effect on our</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sectPr>
      </w:pPr>
    </w:p>
    <w:bookmarkStart w:id="48" w:name="page49"/>
    <w:bookmarkEnd w:id="48"/>
    <w:p>
      <w:pPr>
        <w:spacing w:after="0"/>
        <w:rPr>
          <w:sz w:val="20"/>
          <w:szCs w:val="20"/>
          <w:color w:val="auto"/>
        </w:rPr>
      </w:pPr>
      <w:r>
        <w:rPr>
          <w:rFonts w:ascii="Arial" w:cs="Arial" w:eastAsia="Arial" w:hAnsi="Arial"/>
          <w:sz w:val="17"/>
          <w:szCs w:val="17"/>
          <w:i w:val="1"/>
          <w:iCs w:val="1"/>
          <w:color w:val="auto"/>
        </w:rPr>
        <w:t>business, financial condition, results of operations and growth prospects and cause the trading price of our common stock to decline.</w:t>
      </w:r>
    </w:p>
    <w:p>
      <w:pPr>
        <w:spacing w:after="0" w:line="165"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SUMMARY OF SELECTED RISKS ASSOCIATED WITH OUR BUSINESS</w:t>
      </w:r>
    </w:p>
    <w:p>
      <w:pPr>
        <w:spacing w:after="0" w:line="200" w:lineRule="exact"/>
        <w:rPr>
          <w:sz w:val="20"/>
          <w:szCs w:val="20"/>
          <w:color w:val="auto"/>
        </w:rPr>
      </w:pPr>
    </w:p>
    <w:p>
      <w:pPr>
        <w:ind w:right="640"/>
        <w:spacing w:after="0" w:line="257" w:lineRule="auto"/>
        <w:rPr>
          <w:sz w:val="20"/>
          <w:szCs w:val="20"/>
          <w:color w:val="auto"/>
        </w:rPr>
      </w:pPr>
      <w:r>
        <w:rPr>
          <w:rFonts w:ascii="Arial" w:cs="Arial" w:eastAsia="Arial" w:hAnsi="Arial"/>
          <w:sz w:val="17"/>
          <w:szCs w:val="17"/>
          <w:color w:val="auto"/>
        </w:rPr>
        <w:t>Our business faces significant risks and uncertainties. If any of the following risks are realized, our business, financial condition and results of operations could be materially and adversely affected. Some of the more significant risks include the following:</w:t>
      </w:r>
    </w:p>
    <w:p>
      <w:pPr>
        <w:spacing w:after="0" w:line="158" w:lineRule="exact"/>
        <w:rPr>
          <w:sz w:val="20"/>
          <w:szCs w:val="20"/>
          <w:color w:val="auto"/>
        </w:rPr>
      </w:pPr>
    </w:p>
    <w:p>
      <w:pPr>
        <w:ind w:left="660" w:right="260" w:hanging="331"/>
        <w:spacing w:after="0" w:line="257"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have a limited operating history, have incurred net losses in every year since our inception and anticipate that we will continue to incur net losses in the future.</w:t>
      </w:r>
    </w:p>
    <w:p>
      <w:pPr>
        <w:spacing w:after="0" w:line="145" w:lineRule="exact"/>
        <w:rPr>
          <w:rFonts w:ascii="Arial" w:cs="Arial" w:eastAsia="Arial" w:hAnsi="Arial"/>
          <w:sz w:val="17"/>
          <w:szCs w:val="17"/>
          <w:color w:val="auto"/>
        </w:rPr>
      </w:pPr>
    </w:p>
    <w:p>
      <w:pPr>
        <w:jc w:val="both"/>
        <w:ind w:left="660" w:right="840" w:hanging="331"/>
        <w:spacing w:after="0" w:line="252"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162" w:lineRule="exact"/>
        <w:rPr>
          <w:rFonts w:ascii="Arial" w:cs="Arial" w:eastAsia="Arial" w:hAnsi="Arial"/>
          <w:sz w:val="17"/>
          <w:szCs w:val="17"/>
          <w:color w:val="auto"/>
        </w:rPr>
      </w:pPr>
    </w:p>
    <w:p>
      <w:pPr>
        <w:ind w:left="660" w:right="20" w:hanging="331"/>
        <w:spacing w:after="0" w:line="252"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are heavily dependent on the success of our product candidates, which are in early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162" w:lineRule="exact"/>
        <w:rPr>
          <w:rFonts w:ascii="Arial" w:cs="Arial" w:eastAsia="Arial" w:hAnsi="Arial"/>
          <w:sz w:val="17"/>
          <w:szCs w:val="17"/>
          <w:color w:val="auto"/>
        </w:rPr>
      </w:pPr>
    </w:p>
    <w:p>
      <w:pPr>
        <w:ind w:left="660" w:right="120" w:hanging="331"/>
        <w:spacing w:after="0" w:line="252"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of our product candidates are in preclinical or early clinical development stages. Clinical trials are difficult to design and implement, and they involve a lengthy and expensive process with uncertain outcomes. We may experience delays in completing, or ultimately be unable to complete, the development and commercialization of KER-050, KER-047, KER-012 or any future product candidates.</w:t>
      </w:r>
    </w:p>
    <w:p>
      <w:pPr>
        <w:spacing w:after="0" w:line="149" w:lineRule="exact"/>
        <w:rPr>
          <w:rFonts w:ascii="Arial" w:cs="Arial" w:eastAsia="Arial" w:hAnsi="Arial"/>
          <w:sz w:val="17"/>
          <w:szCs w:val="17"/>
          <w:color w:val="auto"/>
        </w:rPr>
      </w:pPr>
    </w:p>
    <w:p>
      <w:pPr>
        <w:ind w:left="660" w:right="380" w:hanging="331"/>
        <w:spacing w:after="0" w:line="257"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we are unable to successfully commercialize any product candidate for which we receive regulatory approval, or experience significant delays in doing so, our business will be materially harmed.</w:t>
      </w:r>
    </w:p>
    <w:p>
      <w:pPr>
        <w:spacing w:after="0" w:line="158" w:lineRule="exact"/>
        <w:rPr>
          <w:rFonts w:ascii="Arial" w:cs="Arial" w:eastAsia="Arial" w:hAnsi="Arial"/>
          <w:sz w:val="17"/>
          <w:szCs w:val="17"/>
          <w:color w:val="auto"/>
        </w:rPr>
      </w:pPr>
    </w:p>
    <w:p>
      <w:pPr>
        <w:ind w:left="660" w:right="360" w:hanging="331"/>
        <w:spacing w:after="0" w:line="257"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face significant competition from other biotechnology and pharmaceutical companies, and our operating results will suffer if we fail to compete effectively.</w:t>
      </w:r>
    </w:p>
    <w:p>
      <w:pPr>
        <w:spacing w:after="0" w:line="158" w:lineRule="exact"/>
        <w:rPr>
          <w:rFonts w:ascii="Arial" w:cs="Arial" w:eastAsia="Arial" w:hAnsi="Arial"/>
          <w:sz w:val="17"/>
          <w:szCs w:val="17"/>
          <w:color w:val="auto"/>
        </w:rPr>
      </w:pPr>
    </w:p>
    <w:p>
      <w:pPr>
        <w:ind w:left="660" w:right="420" w:hanging="331"/>
        <w:spacing w:after="0" w:line="257"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success depends in part on our ability to protect our intellectual property. It is difficult and costly to protect our proprietary rights and technology, and we may not be able to ensure their protection.</w:t>
      </w:r>
    </w:p>
    <w:p>
      <w:pPr>
        <w:spacing w:after="0" w:line="145" w:lineRule="exact"/>
        <w:rPr>
          <w:rFonts w:ascii="Arial" w:cs="Arial" w:eastAsia="Arial" w:hAnsi="Arial"/>
          <w:sz w:val="17"/>
          <w:szCs w:val="17"/>
          <w:color w:val="auto"/>
        </w:rPr>
      </w:pPr>
    </w:p>
    <w:p>
      <w:pPr>
        <w:ind w:left="660" w:hanging="331"/>
        <w:spacing w:after="0" w:line="250"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rely, and expect to continue to rely, on third parties, including independent clinical investigators, contracted laboratories and contract research organizations,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65" w:lineRule="exact"/>
        <w:rPr>
          <w:rFonts w:ascii="Arial" w:cs="Arial" w:eastAsia="Arial" w:hAnsi="Arial"/>
          <w:sz w:val="17"/>
          <w:szCs w:val="17"/>
          <w:color w:val="auto"/>
        </w:rPr>
      </w:pPr>
    </w:p>
    <w:p>
      <w:pPr>
        <w:ind w:left="660" w:right="100" w:hanging="331"/>
        <w:spacing w:after="0" w:line="271" w:lineRule="auto"/>
        <w:tabs>
          <w:tab w:leader="none" w:pos="652"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148" w:lineRule="exact"/>
        <w:rPr>
          <w:rFonts w:ascii="Arial" w:cs="Arial" w:eastAsia="Arial" w:hAnsi="Arial"/>
          <w:sz w:val="16"/>
          <w:szCs w:val="16"/>
          <w:color w:val="auto"/>
        </w:rPr>
      </w:pPr>
    </w:p>
    <w:p>
      <w:pPr>
        <w:ind w:left="660" w:right="40" w:hanging="331"/>
        <w:spacing w:after="0" w:line="257" w:lineRule="auto"/>
        <w:tabs>
          <w:tab w:leader="none" w:pos="6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future collaborations will be important to our business. If we are unable to enter into new collaborations, or if these collaborations are not successful, our business could be adversely affected.</w:t>
      </w:r>
    </w:p>
    <w:p>
      <w:pPr>
        <w:spacing w:after="0" w:line="145" w:lineRule="exact"/>
        <w:rPr>
          <w:rFonts w:ascii="Arial" w:cs="Arial" w:eastAsia="Arial" w:hAnsi="Arial"/>
          <w:sz w:val="17"/>
          <w:szCs w:val="17"/>
          <w:color w:val="auto"/>
        </w:rPr>
      </w:pPr>
    </w:p>
    <w:p>
      <w:pPr>
        <w:ind w:left="640" w:hanging="311"/>
        <w:spacing w:after="0"/>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COVID-19 pandemic could adversely impact our business, including the timing or results of our preclinical studies and clinical trials.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1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i w:val="1"/>
          <w:iCs w:val="1"/>
          <w:color w:val="auto"/>
        </w:rPr>
        <w:t>We have a limited operating history, have incurred net losses in every year since our inception and anticipate that we will continue to incur net losses in the future.</w:t>
      </w:r>
    </w:p>
    <w:p>
      <w:pPr>
        <w:spacing w:after="0" w:line="5"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are a clinical-stage biopharmaceutical company with a limited operating history. Since our inception in 2015, we have invested most of our resources in developing our product candidates, building our intellectual property portfolio, developing our supply chain, conducting business planning, raising capital and providing general and administrative support for these operations.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not yet demonstrated the ability to progress any product candidate through late-stage clinical trials, we have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9" w:name="page50"/>
    <w:bookmarkEnd w:id="49"/>
    <w:p>
      <w:pPr>
        <w:ind w:right="60"/>
        <w:spacing w:after="0" w:line="248" w:lineRule="auto"/>
        <w:rPr>
          <w:sz w:val="20"/>
          <w:szCs w:val="20"/>
          <w:color w:val="auto"/>
        </w:rPr>
      </w:pPr>
      <w:r>
        <w:rPr>
          <w:rFonts w:ascii="Arial" w:cs="Arial" w:eastAsia="Arial" w:hAnsi="Arial"/>
          <w:sz w:val="17"/>
          <w:szCs w:val="17"/>
          <w:color w:val="auto"/>
        </w:rPr>
        <w:t>no products approved for commercial sale and we have not generated any revenue from product sales to date. We continue to incur significant research and development and other expenses related to our ongoing operations. As a result, we are not profitable and have incurred losses in each period since our inception. For the years ended December 31, 2021 and 2020, we reported a net loss of $58.7 million and $45.4 million, respectively. As of December 31, 2021, we had an accumulated deficit of $123.8 million. We expect to continue to incur significant losses for the foreseeable future, and we expect these losses to increase as we continue our research and development of, and seek regulatory approvals for, our lead protein therapeutic product candidate, KER-050, our lead small molecule product candidate, KER-047, our third product candidate, KER-012, and any future product candidates we may develop.</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anticipate that our expenses will increase substantially if, and as, we:</w:t>
      </w:r>
    </w:p>
    <w:p>
      <w:pPr>
        <w:spacing w:after="0" w:line="180" w:lineRule="exact"/>
        <w:rPr>
          <w:sz w:val="20"/>
          <w:szCs w:val="20"/>
          <w:color w:val="auto"/>
        </w:rPr>
      </w:pPr>
    </w:p>
    <w:p>
      <w:pPr>
        <w:ind w:left="660" w:right="240" w:hanging="331"/>
        <w:spacing w:after="0" w:line="247" w:lineRule="auto"/>
        <w:tabs>
          <w:tab w:leader="none" w:pos="6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complete our Phase 2 clinical trial of KER-050 evaluating the treatment of cytopenias, including anemia and thrombocytopenia, in patients with myelodysplastic syndrome, or MDS;</w:t>
      </w:r>
    </w:p>
    <w:p>
      <w:pPr>
        <w:ind w:left="660" w:right="260" w:hanging="331"/>
        <w:spacing w:after="0" w:line="247" w:lineRule="auto"/>
        <w:tabs>
          <w:tab w:leader="none" w:pos="6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progress our Phase 2 clinical trial of KER-050 evaluating the treatment of cytopenias, including anemia and thrombocytopenia, in patients with myelofibrosis;</w:t>
      </w:r>
    </w:p>
    <w:p>
      <w:pPr>
        <w:ind w:left="660" w:right="80" w:hanging="331"/>
        <w:spacing w:after="0" w:line="247" w:lineRule="auto"/>
        <w:tabs>
          <w:tab w:leader="none" w:pos="6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commence two open-label Phase 2 clinical trials of KER-047 in the first half of 2022, one in patients with iron deficiency anemia, or IDA, and one in patients with iron-refractory iron deficiency anemia, or IRIDA;</w:t>
      </w:r>
    </w:p>
    <w:p>
      <w:pPr>
        <w:ind w:left="640" w:hanging="311"/>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complete our Phase 1 clinical trial of KER-012 in healthy volunteers;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continue the research and development of our other clinical- and preclinical-stage product candidates and discovery-stage programs;</w:t>
      </w:r>
    </w:p>
    <w:p>
      <w:pPr>
        <w:spacing w:after="0" w:line="5" w:lineRule="exact"/>
        <w:rPr>
          <w:rFonts w:ascii="Arial" w:cs="Arial" w:eastAsia="Arial" w:hAnsi="Arial"/>
          <w:sz w:val="17"/>
          <w:szCs w:val="17"/>
          <w:color w:val="auto"/>
        </w:rPr>
      </w:pPr>
    </w:p>
    <w:p>
      <w:pPr>
        <w:ind w:left="660" w:right="500" w:hanging="331"/>
        <w:spacing w:after="0" w:line="247" w:lineRule="auto"/>
        <w:tabs>
          <w:tab w:leader="none" w:pos="6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 the amount of research and development activities to identify and develop product candidates using our proprietary discovery approach;</w:t>
      </w:r>
    </w:p>
    <w:p>
      <w:pPr>
        <w:ind w:left="640" w:hanging="311"/>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make milestone, royalty or other payments under in-license or collaboration agreements;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5" w:lineRule="exact"/>
        <w:rPr>
          <w:rFonts w:ascii="Arial" w:cs="Arial" w:eastAsia="Arial" w:hAnsi="Arial"/>
          <w:sz w:val="17"/>
          <w:szCs w:val="17"/>
          <w:color w:val="auto"/>
        </w:rPr>
      </w:pPr>
    </w:p>
    <w:p>
      <w:pPr>
        <w:ind w:left="660" w:hanging="331"/>
        <w:spacing w:after="0" w:line="247" w:lineRule="auto"/>
        <w:tabs>
          <w:tab w:leader="none" w:pos="6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expand our operational, financial and management systems and increase personnel, including personnel to support our clinical development, manufacturing and commercialization efforts and our operations as a public company;</w:t>
      </w:r>
    </w:p>
    <w:p>
      <w:pPr>
        <w:ind w:left="660" w:right="60" w:hanging="331"/>
        <w:spacing w:after="0" w:line="247" w:lineRule="auto"/>
        <w:tabs>
          <w:tab w:leader="none" w:pos="6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 a sales, marketing, medical affairs and distribution infrastructure to commercialize any products for which we may obtain marketing approval and intend to commercialize on our own or jointly with third parties;</w:t>
      </w:r>
    </w:p>
    <w:p>
      <w:pPr>
        <w:ind w:left="640" w:hanging="311"/>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invest in or in-license other technologies; and</w:t>
      </w:r>
    </w:p>
    <w:p>
      <w:pPr>
        <w:spacing w:after="0" w:line="5" w:lineRule="exact"/>
        <w:rPr>
          <w:rFonts w:ascii="Arial" w:cs="Arial" w:eastAsia="Arial" w:hAnsi="Arial"/>
          <w:sz w:val="17"/>
          <w:szCs w:val="17"/>
          <w:color w:val="auto"/>
        </w:rPr>
      </w:pPr>
    </w:p>
    <w:p>
      <w:pPr>
        <w:ind w:left="660" w:right="960" w:hanging="331"/>
        <w:spacing w:after="0" w:line="257" w:lineRule="auto"/>
        <w:tabs>
          <w:tab w:leader="none" w:pos="6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experience any delays or encounter any issues with any of the above, including but not limited to failed studies, complex results, manufacturing challenges, safety issues or other regulatory challenges.</w:t>
      </w:r>
    </w:p>
    <w:p>
      <w:pPr>
        <w:spacing w:after="0" w:line="15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5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47" w:lineRule="exact"/>
        <w:rPr>
          <w:sz w:val="20"/>
          <w:szCs w:val="20"/>
          <w:color w:val="auto"/>
        </w:rPr>
      </w:pPr>
    </w:p>
    <w:p>
      <w:pPr>
        <w:ind w:right="640"/>
        <w:spacing w:after="0" w:line="264" w:lineRule="auto"/>
        <w:rPr>
          <w:sz w:val="20"/>
          <w:szCs w:val="20"/>
          <w:color w:val="auto"/>
        </w:rPr>
      </w:pPr>
      <w:r>
        <w:rPr>
          <w:rFonts w:ascii="Arial" w:cs="Arial" w:eastAsia="Arial" w:hAnsi="Arial"/>
          <w:sz w:val="17"/>
          <w:szCs w:val="17"/>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19"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To date, we have funded our operations primarily through private placements of our equity securities, upfront and expense reimbursement payments received from our collaborators, from our initial public offering, or IPO, in April 2020, from our public offering of common stock in November 2020 and from our “at the market offering,” in connection with our Sales Agreement with SVB Leerink LLC, as agent, pursuant to which we may offer and sell, from time to time, shares of our common stock having an aggregate offering price of up to $150.0 million through SVB Leerink LLC. We expect our expenses to increase in connection with our ongoing activities, particularly as we complete our Phase 2 clinical trial of KER-050 in patients with MDS, progress our Phase 2 clinical trial of KER-050 in patients with myelofibrosis, initiate two Phase 2 clinical trials of KER-047, one in patients with IDA and one in patients with IRIDA, progress our Phase 1 clinical trial of KER-012 in healthy volunteers and initiate later-stage clinical development, and continue to research, develop and initiate clinical trials of any other future product candidates. In addition, if we obtain regulatory approval for any of our product candidates, we expect to incur significant commercialization expenses related to product manufacturing, marketing, sales and distribution. Furthermore, we expect to incur additional costs associated with operating as a public company. Accordingly, we will need to obtain substantial</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50" w:name="page51"/>
    <w:bookmarkEnd w:id="50"/>
    <w:p>
      <w:pPr>
        <w:ind w:right="400"/>
        <w:spacing w:after="0" w:line="257" w:lineRule="auto"/>
        <w:rPr>
          <w:sz w:val="20"/>
          <w:szCs w:val="20"/>
          <w:color w:val="auto"/>
        </w:rPr>
      </w:pPr>
      <w:r>
        <w:rPr>
          <w:rFonts w:ascii="Arial" w:cs="Arial" w:eastAsia="Arial" w:hAnsi="Arial"/>
          <w:sz w:val="17"/>
          <w:szCs w:val="17"/>
          <w:color w:val="auto"/>
        </w:rPr>
        <w:t>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14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As of December 31, 2021, we had $230.0 million in cash and cash equivalents. We expect that our existing cash and cash equivalents as of December 31, 2021 along with the net $18.0 million upfront payment pursuant to the license agreement with Hansoh (Shanghai) Healthtech Co., Ltd., or Hansoh, which we received in January 2022, will enable us to fund our operating expenses and capital expenditure requirements into the first quarter of 2024. We have based this estimate on assumptions that may prove to be wrong, and we could use our capital resources sooner than we currently expect. Our future capital requirements for KER-050, KER-047, KER-012 or our other preclinical programs will depend on many factors, including:</w:t>
      </w:r>
    </w:p>
    <w:p>
      <w:pPr>
        <w:spacing w:after="0" w:line="166" w:lineRule="exact"/>
        <w:rPr>
          <w:sz w:val="20"/>
          <w:szCs w:val="20"/>
          <w:color w:val="auto"/>
        </w:rPr>
      </w:pPr>
    </w:p>
    <w:p>
      <w:pPr>
        <w:jc w:val="both"/>
        <w:ind w:left="660" w:right="32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the COVID-19 pandemic or other causes;</w:t>
      </w:r>
    </w:p>
    <w:p>
      <w:pPr>
        <w:ind w:left="660" w:right="26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and amount of milestone and royalty payments we are required to make or are eligible to receive under our license agreements with each of The General Hospital Corporation and Hansoh;</w:t>
      </w:r>
    </w:p>
    <w:p>
      <w:pPr>
        <w:ind w:left="640" w:hanging="311"/>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number of potential new product candidates we identify and decide to develop;</w:t>
      </w:r>
    </w:p>
    <w:p>
      <w:pPr>
        <w:spacing w:after="0" w:line="5" w:lineRule="exact"/>
        <w:rPr>
          <w:rFonts w:ascii="Arial" w:cs="Arial" w:eastAsia="Arial" w:hAnsi="Arial"/>
          <w:sz w:val="17"/>
          <w:szCs w:val="17"/>
          <w:color w:val="auto"/>
        </w:rPr>
      </w:pPr>
    </w:p>
    <w:p>
      <w:pPr>
        <w:ind w:left="660" w:right="4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need for additional or expanded preclinical studies and clinical trials beyond those that we plan to conduct with respect to our current and future product candidates;</w:t>
      </w:r>
    </w:p>
    <w:p>
      <w:pPr>
        <w:ind w:left="660" w:right="18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involved in growing our organization to the size needed to allow for the research, development and potential commercialization of our current or any future product candidates;</w:t>
      </w:r>
    </w:p>
    <w:p>
      <w:pPr>
        <w:ind w:left="660" w:right="10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costs involved in filing patent applications, maintaining and enforcing patents or defending against infringement or other claims raised by third parties;</w:t>
      </w:r>
    </w:p>
    <w:p>
      <w:pPr>
        <w:ind w:left="640" w:hanging="311"/>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maintenance of our existing license and collaboration agreements and the entry into new license and collaboration agreements;</w:t>
      </w:r>
    </w:p>
    <w:p>
      <w:pPr>
        <w:spacing w:after="0" w:line="5" w:lineRule="exact"/>
        <w:rPr>
          <w:rFonts w:ascii="Arial" w:cs="Arial" w:eastAsia="Arial" w:hAnsi="Arial"/>
          <w:sz w:val="17"/>
          <w:szCs w:val="17"/>
          <w:color w:val="auto"/>
        </w:rPr>
      </w:pPr>
    </w:p>
    <w:p>
      <w:pPr>
        <w:ind w:left="660" w:right="46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time and costs involved in obtaining regulatory approval for our product candidates and any delays we may encounter as a result of evolving regulatory requirements or adverse results with respect to any of our product candidates;</w:t>
      </w:r>
    </w:p>
    <w:p>
      <w:pPr>
        <w:ind w:left="640" w:hanging="311"/>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5" w:lineRule="exact"/>
        <w:rPr>
          <w:rFonts w:ascii="Arial" w:cs="Arial" w:eastAsia="Arial" w:hAnsi="Arial"/>
          <w:sz w:val="17"/>
          <w:szCs w:val="17"/>
          <w:color w:val="auto"/>
        </w:rPr>
      </w:pPr>
    </w:p>
    <w:p>
      <w:pPr>
        <w:ind w:left="660" w:right="6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 of manufacturing KER-050, KER-047, KER-012 and future product candidates for clinical trials in preparation for marketing approval and in preparation for commercialization;</w:t>
      </w:r>
    </w:p>
    <w:p>
      <w:pPr>
        <w:ind w:left="660" w:right="70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w:t>
      </w:r>
    </w:p>
    <w:p>
      <w:pPr>
        <w:ind w:left="660" w:right="60" w:hanging="331"/>
        <w:spacing w:after="0" w:line="247" w:lineRule="auto"/>
        <w:tabs>
          <w:tab w:leader="none" w:pos="65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amount of revenues, if any, we may derive either directly or in the form of royalty payments from future sales of our product candidates, if approved; and</w:t>
      </w:r>
    </w:p>
    <w:p>
      <w:pPr>
        <w:ind w:left="640" w:hanging="311"/>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market acceptance of any approved product candidates.</w:t>
      </w:r>
    </w:p>
    <w:p>
      <w:pPr>
        <w:spacing w:after="0" w:line="180"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w:t>
      </w:r>
    </w:p>
    <w:p>
      <w:pPr>
        <w:spacing w:after="0" w:line="15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ability to raise additional funds will depend on financial, economic and market conditions and other factors, over which we may have no or limited control. For example, the COVID-19 pandemic continues to evolve and has already resulted in a significant disruption of the global financial markets. If the disruption persists and deepens, we could experience an inability to access additional capital when and if needed. If we are unable to obtain additional funding, we could be forced to delay, reduce or eliminate some or all of our research and development programs and clinical development efforts, which would adversely affect our business prospects, or we may be unable to continue operations.</w:t>
      </w:r>
    </w:p>
    <w:p>
      <w:pPr>
        <w:spacing w:after="0" w:line="147"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i w:val="1"/>
          <w:iCs w:val="1"/>
          <w:color w:val="auto"/>
        </w:rPr>
        <w:t>Raising additional capital may cause dilution to holders of our common stock, restrict our operations or require us to relinquish rights to our technologies or product candidates.</w:t>
      </w:r>
    </w:p>
    <w:p>
      <w:pPr>
        <w:spacing w:after="0" w:line="5"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Until such time, if ever, as we can generate substantial product revenues, we expect to finance our operations with our existing cash and cash equivalents and revenue from our collaborations. In order to further advance development of our product candidates, discover additional product candidates and pursue our other business objectives, we will need to seek additional funds.</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cannot guarantee that future financing will be available in sufficient amounts or on commercially reasonable terms, if at all. Moreover, the terms of any financing may adversely affect the holdings or the rights of holders of our common stock and the issuance of additional securities, whether equity or debt, by us, or the possibility of such issuance, may cause the market price of our common stock to decline. The sale of additional common stock or securities convertible or exchangeable into common stock would dilute all of our existing stockholders and the terms of these securities may include liquidation or other preferences that adversely affect your rights as a holder of our common stock. The incurrence of indebtedness could result in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1" w:name="page52"/>
    <w:bookmarkEnd w:id="51"/>
    <w:p>
      <w:pPr>
        <w:spacing w:after="0" w:line="248" w:lineRule="auto"/>
        <w:rPr>
          <w:sz w:val="20"/>
          <w:szCs w:val="20"/>
          <w:color w:val="auto"/>
        </w:rPr>
      </w:pPr>
      <w:r>
        <w:rPr>
          <w:rFonts w:ascii="Arial" w:cs="Arial" w:eastAsia="Arial" w:hAnsi="Arial"/>
          <w:sz w:val="17"/>
          <w:szCs w:val="17"/>
          <w:color w:val="auto"/>
        </w:rPr>
        <w:t>increased fixed payment obligations and we may be required to agree to certain restrictive covenants, such as limitations on our ability to incur additional debt or declare dividends, limitations on our ability to acquire, sell or license intellectual property rights and other operating restrictions that could adversely impact our ability to conduct our business.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collaborators for KER-050, KER-047, KER-012 or any future product candidate at an earlier stage than otherwise would be desirable or relinquish our rights to product candidates or technologies that we otherwise would seek to develop or commercialize ourselves. Further, any additional fundraising efforts may divert our management from its day-to-day activities, which may adversely affect our ability to develop and commercialize our product candidates.</w:t>
      </w:r>
    </w:p>
    <w:p>
      <w:pPr>
        <w:spacing w:after="0" w:line="155"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Regulatory Approval of our Product Candidates</w:t>
      </w:r>
    </w:p>
    <w:p>
      <w:pPr>
        <w:spacing w:after="0" w:line="112"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which are in early clinical development.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19"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KER-050, KER-047 and KER-012 are still in early-stage clinical trials. Because KER-050 and KER-047 are our lead product candidates, if either KER-050 or KER-047 encounters safety or efficacy problems, development delays or regulatory issues or other problems, our development plans and business would be significantly harmed.</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ability to generate product revenues, which we do not expect will occur for several years, if ever, will depend heavily on the successful development and eventual commercialization of KER-050, KER-047, KER-012 and any future product candidates we develop, which may never occur. KER-050, KER-047, KER-012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156" w:lineRule="exact"/>
        <w:rPr>
          <w:sz w:val="20"/>
          <w:szCs w:val="20"/>
          <w:color w:val="auto"/>
        </w:rPr>
      </w:pPr>
    </w:p>
    <w:p>
      <w:pPr>
        <w:ind w:left="660" w:right="40" w:hanging="331"/>
        <w:spacing w:after="0" w:line="247" w:lineRule="auto"/>
        <w:tabs>
          <w:tab w:leader="none" w:pos="6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successful and timely completion of clinical trials and preclinical studies for which the U.S. Food and Drug Administration, or the FDA, or any comparable foreign regulatory authority agree with the design, endpoints or implementation;</w:t>
      </w: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sufficiency of our financial and other resources to complete the necessary preclinical studies and clinical trials;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receiving regulatory approvals or authorizations for conducting our planned clinical trials or future clinical trials;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initiation and successful patient enrollment in, and completion of, additional clinical trials on a timely basis;</w:t>
      </w:r>
    </w:p>
    <w:p>
      <w:pPr>
        <w:spacing w:after="0" w:line="5" w:lineRule="exact"/>
        <w:rPr>
          <w:rFonts w:ascii="Arial" w:cs="Arial" w:eastAsia="Arial" w:hAnsi="Arial"/>
          <w:sz w:val="17"/>
          <w:szCs w:val="17"/>
          <w:color w:val="auto"/>
        </w:rPr>
      </w:pPr>
    </w:p>
    <w:p>
      <w:pPr>
        <w:ind w:left="660" w:right="100" w:hanging="331"/>
        <w:spacing w:after="0" w:line="247" w:lineRule="auto"/>
        <w:tabs>
          <w:tab w:leader="none" w:pos="6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demonstrate to the satisfaction of the FDA or any comparable foreign regulatory authority that the applicable product candidate is safe and effective as a treatment for our targeted indications or, in the case of an applicable product candidates which is regulated as a biological product, that the applicable product is safe, pure, and potent for our targeted indications;</w:t>
      </w:r>
    </w:p>
    <w:p>
      <w:pPr>
        <w:ind w:left="660" w:right="880" w:hanging="331"/>
        <w:spacing w:after="0" w:line="247" w:lineRule="auto"/>
        <w:tabs>
          <w:tab w:leader="none" w:pos="6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demonstrate to the satisfaction of the FDA or any comparable foreign regulatory authority that the applicable product candidate’s risk-benefit ratio for its proposed indication is acceptable;</w:t>
      </w: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timely receipt of marketing approvals for our product candidates from applicable regulatory authorities;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5" w:lineRule="exact"/>
        <w:rPr>
          <w:rFonts w:ascii="Arial" w:cs="Arial" w:eastAsia="Arial" w:hAnsi="Arial"/>
          <w:sz w:val="17"/>
          <w:szCs w:val="17"/>
          <w:color w:val="auto"/>
        </w:rPr>
      </w:pPr>
    </w:p>
    <w:p>
      <w:pPr>
        <w:ind w:left="660" w:right="220" w:hanging="331"/>
        <w:spacing w:after="0" w:line="247" w:lineRule="auto"/>
        <w:tabs>
          <w:tab w:leader="none" w:pos="6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establishing and scaling up, either alone or with third-party manufacturers, manufacturing capabilities of clinical supply for our clinical trials and commercial manufacturing, if any of our product candidates are approved;</w:t>
      </w:r>
    </w:p>
    <w:p>
      <w:pPr>
        <w:ind w:left="660" w:right="260" w:hanging="331"/>
        <w:spacing w:after="0" w:line="247" w:lineRule="auto"/>
        <w:tabs>
          <w:tab w:leader="none" w:pos="653"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or regulatory exclusivity for our product candidates, both in the United States and internationally;</w:t>
      </w: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successfully scaling a sales and marketing organization and launching commercial sales of our product candidates, if approved;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acceptance of our product candidates’ benefits and uses, if approved, by patients, the medical community and third-party payors;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our product candidates following approval;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effectively competing with companies developing and commercializing other therapies in the indications which our product candidates target;</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 from third-party payors;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52" w:name="page53"/>
    <w:bookmarkEnd w:id="52"/>
    <w:p>
      <w:pPr>
        <w:ind w:left="640" w:hanging="311"/>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w:t>
      </w:r>
    </w:p>
    <w:p>
      <w:pPr>
        <w:spacing w:after="0" w:line="1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If we are not successful with respect to one or more of these factors in a timely manner or at all, we could experience significant delays or an inability to successfully commercialize KER-050, KER-047, KER-012 or any future product candidates we develop, which would materially harm our business. If we do not receive marketing approvals for our current and future product candidates, we may not be able to continue our operations.</w:t>
      </w:r>
    </w:p>
    <w:p>
      <w:pPr>
        <w:spacing w:after="0" w:line="143"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b w:val="1"/>
          <w:bCs w:val="1"/>
          <w:i w:val="1"/>
          <w:iCs w:val="1"/>
          <w:color w:val="auto"/>
        </w:rPr>
        <w:t>All of our product candidates are in preclinical or early clinical development stages. Clinical trials are difficult to design and implement, and they involve a lengthy and expensive process with uncertain outcomes. We may experience delays in completing, or ultimately be unable to complete, the development and commercialization of KER-050, KER-047, KER-012 or any future product candidates.</w:t>
      </w:r>
    </w:p>
    <w:p>
      <w:pPr>
        <w:spacing w:after="0" w:line="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15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To date, we have not completed any clinical trials required for the approval of any of our product candidates. Although we have completed our Phase 1 clinical trial of KER-050 and our Phase 1 clinical trial of KER-047, each in healthy volunteers,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KER-050, KER-047, KER-012 or any future product candidates, including:</w:t>
      </w:r>
    </w:p>
    <w:p>
      <w:pPr>
        <w:spacing w:after="0" w:line="170" w:lineRule="exact"/>
        <w:rPr>
          <w:sz w:val="20"/>
          <w:szCs w:val="20"/>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or failure to obtain regulatory authorizations to commence a trial;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reaching a consensus with regulatory agencies as to the design or implementation of our clinical trials;</w:t>
      </w:r>
    </w:p>
    <w:p>
      <w:pPr>
        <w:spacing w:after="0" w:line="5" w:lineRule="exact"/>
        <w:rPr>
          <w:rFonts w:ascii="Arial" w:cs="Arial" w:eastAsia="Arial" w:hAnsi="Arial"/>
          <w:sz w:val="17"/>
          <w:szCs w:val="17"/>
          <w:color w:val="auto"/>
        </w:rPr>
      </w:pPr>
    </w:p>
    <w:p>
      <w:pPr>
        <w:ind w:left="660" w:right="400" w:hanging="331"/>
        <w:spacing w:after="0" w:line="247" w:lineRule="auto"/>
        <w:tabs>
          <w:tab w:leader="none" w:pos="653"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or failure to reach agreement on acceptable terms with prospective contract research organizations, or CROs, and clinical trial sites, the terms of which can be subject to extensive negotiation and may vary significantly among different CROs and trial sites;</w:t>
      </w: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or failure to obtain institutional review board, or IRB, or ethics committee approval at each site;</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or failure to recruit a sufficient number of suitable patients to participate in a trial;</w:t>
      </w:r>
    </w:p>
    <w:p>
      <w:pPr>
        <w:spacing w:after="0" w:line="5" w:lineRule="exact"/>
        <w:rPr>
          <w:rFonts w:ascii="Arial" w:cs="Arial" w:eastAsia="Arial" w:hAnsi="Arial"/>
          <w:sz w:val="17"/>
          <w:szCs w:val="17"/>
          <w:color w:val="auto"/>
        </w:rPr>
      </w:pPr>
    </w:p>
    <w:p>
      <w:pPr>
        <w:ind w:left="660" w:right="220" w:hanging="331"/>
        <w:spacing w:after="0" w:line="247" w:lineRule="auto"/>
        <w:tabs>
          <w:tab w:leader="none" w:pos="653"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have patients complete a trial or return for post-treatment follow-up, including disruptions in our ability to treat patients or conduct post-treatment follow-up due to the COVID-19 pandemic;</w:t>
      </w: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clinical sites deviating from trial protocol, missing data or dropping out of a trial;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adding new clinical trial sites;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manufacture sufficient quantities of our product candidates for use in clinical trials in a timely manner;</w:t>
      </w:r>
    </w:p>
    <w:p>
      <w:pPr>
        <w:spacing w:after="0" w:line="5" w:lineRule="exact"/>
        <w:rPr>
          <w:rFonts w:ascii="Arial" w:cs="Arial" w:eastAsia="Arial" w:hAnsi="Arial"/>
          <w:sz w:val="17"/>
          <w:szCs w:val="17"/>
          <w:color w:val="auto"/>
        </w:rPr>
      </w:pPr>
    </w:p>
    <w:p>
      <w:pPr>
        <w:ind w:left="660" w:right="40" w:hanging="331"/>
        <w:spacing w:after="0" w:line="247" w:lineRule="auto"/>
        <w:tabs>
          <w:tab w:leader="none" w:pos="653" w:val="left"/>
        </w:tabs>
        <w:numPr>
          <w:ilvl w:val="0"/>
          <w:numId w:val="30"/>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 or safety or tolerability concerns that could cause us or our collaborators, as applicable, to suspend or terminate a trial if we or our collaborators find that the participants are being exposed to unacceptable health risks;</w:t>
      </w:r>
    </w:p>
    <w:p>
      <w:pPr>
        <w:ind w:left="660" w:right="40" w:hanging="331"/>
        <w:spacing w:after="0" w:line="247" w:lineRule="auto"/>
        <w:tabs>
          <w:tab w:leader="none" w:pos="653"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perform clinical trials in accordance with the FDA’s or any other regulatory authority’s good clinical practices, or GCP, requirements, or regulatory guidelines in other countries;</w:t>
      </w: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regulatory requirements, policies and guidelines;</w:t>
      </w:r>
    </w:p>
    <w:p>
      <w:pPr>
        <w:spacing w:after="0" w:line="5" w:lineRule="exact"/>
        <w:rPr>
          <w:rFonts w:ascii="Arial" w:cs="Arial" w:eastAsia="Arial" w:hAnsi="Arial"/>
          <w:sz w:val="17"/>
          <w:szCs w:val="17"/>
          <w:color w:val="auto"/>
        </w:rPr>
      </w:pPr>
    </w:p>
    <w:p>
      <w:pPr>
        <w:ind w:left="660" w:right="300" w:hanging="331"/>
        <w:spacing w:after="0" w:line="247" w:lineRule="auto"/>
        <w:tabs>
          <w:tab w:leader="none" w:pos="653"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of our third-party research contractors to comply with regulatory requirements or meet their contractual obligations to us in a timely manner, or at all;</w:t>
      </w: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in establishing the appropriate dosage levels and frequency of dosing in clinical trials;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quality or stability of our product candidates falling below acceptable standards; and</w:t>
      </w:r>
    </w:p>
    <w:p>
      <w:pPr>
        <w:spacing w:after="0" w:line="5" w:lineRule="exact"/>
        <w:rPr>
          <w:rFonts w:ascii="Arial" w:cs="Arial" w:eastAsia="Arial" w:hAnsi="Arial"/>
          <w:sz w:val="17"/>
          <w:szCs w:val="17"/>
          <w:color w:val="auto"/>
        </w:rPr>
      </w:pPr>
    </w:p>
    <w:p>
      <w:pPr>
        <w:ind w:left="660" w:right="40" w:hanging="331"/>
        <w:spacing w:after="0" w:line="257" w:lineRule="auto"/>
        <w:tabs>
          <w:tab w:leader="none" w:pos="653" w:val="left"/>
        </w:tabs>
        <w:numPr>
          <w:ilvl w:val="0"/>
          <w:numId w:val="30"/>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such as the current situation with Ukraine and Russia, and terrorism, another outbreak of a contagious disease or natural disasters including earthquakes, typhoons, floods and fires.</w:t>
      </w:r>
    </w:p>
    <w:p>
      <w:pPr>
        <w:spacing w:after="0" w:line="15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addition, disruptions caused by the COVID-19 pandemic have resulted in difficulties and delays in initiating, enrolling, conducting or completing our planned and ongoing preclinical studies and clinical trials, as applicable, and may increase the likelihood that we encounter additional difficulties and delays in the future. We could also encounter delays if a clinical trial is suspended or terminated by us, the IRBs of the institutions in which such trials are being conducted, or the FDA or comparable foreign regulatory authorities, or recommended for suspension or termination by the Safety Review Committee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53" w:name="page54"/>
    <w:bookmarkEnd w:id="53"/>
    <w:p>
      <w:pPr>
        <w:ind w:right="220"/>
        <w:spacing w:after="0" w:line="257" w:lineRule="auto"/>
        <w:rPr>
          <w:sz w:val="20"/>
          <w:szCs w:val="20"/>
          <w:color w:val="auto"/>
        </w:rPr>
      </w:pPr>
      <w:r>
        <w:rPr>
          <w:rFonts w:ascii="Arial" w:cs="Arial" w:eastAsia="Arial" w:hAnsi="Arial"/>
          <w:sz w:val="17"/>
          <w:szCs w:val="17"/>
          <w:color w:val="auto"/>
        </w:rPr>
        <w:t>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4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46" w:lineRule="exact"/>
        <w:rPr>
          <w:sz w:val="20"/>
          <w:szCs w:val="20"/>
          <w:color w:val="auto"/>
        </w:rPr>
      </w:pPr>
    </w:p>
    <w:p>
      <w:pPr>
        <w:ind w:right="540"/>
        <w:spacing w:after="0" w:line="264" w:lineRule="auto"/>
        <w:rPr>
          <w:sz w:val="20"/>
          <w:szCs w:val="20"/>
          <w:color w:val="auto"/>
        </w:rPr>
      </w:pPr>
      <w:r>
        <w:rPr>
          <w:rFonts w:ascii="Arial" w:cs="Arial" w:eastAsia="Arial" w:hAnsi="Arial"/>
          <w:sz w:val="17"/>
          <w:szCs w:val="17"/>
          <w:b w:val="1"/>
          <w:bCs w:val="1"/>
          <w:i w:val="1"/>
          <w:iCs w:val="1"/>
          <w:color w:val="auto"/>
        </w:rPr>
        <w:t>Our clinical trials may fail to demonstrate substantial evidence of the safety and efficacy or safety, purity and potency of our product candidates or any future product candidates, which would prevent or delay or limit the scope of regulatory approval and commercialization.</w:t>
      </w:r>
    </w:p>
    <w:p>
      <w:pPr>
        <w:spacing w:after="0" w:line="19"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To obtain the requisite regulatory approvals to market and sell any of our product candidates, including KER-050, KER-047, KER-012 and any other future product candidates, we must demonstrate through extensive preclinical studies and clinical trials that our investigational drug products, such as KER-047, are safe and effective for use in each targeted indication, and in the case of our product candidates regulated as biological products, such as KER-050 and KER-012, that the product candidate is safe, pure and potent for use in its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KER-050, KER-047, KER-012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15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16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Even if the trials are successfully completed, clinical data are often susceptible to varying interpretations and analyses, and we cannot guarantee that the FDA or comparable foreign regulatory authorities will interpret the results as we do,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KER-050, KER-047, KER-012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The results of nonclinical and preclinical studies and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4" w:name="page55"/>
    <w:bookmarkEnd w:id="54"/>
    <w:p>
      <w:pPr>
        <w:ind w:right="60"/>
        <w:spacing w:after="0" w:line="250" w:lineRule="auto"/>
        <w:rPr>
          <w:sz w:val="20"/>
          <w:szCs w:val="20"/>
          <w:color w:val="auto"/>
        </w:rPr>
      </w:pPr>
      <w:r>
        <w:rPr>
          <w:rFonts w:ascii="Arial" w:cs="Arial" w:eastAsia="Arial" w:hAnsi="Arial"/>
          <w:sz w:val="17"/>
          <w:szCs w:val="17"/>
          <w:color w:val="auto"/>
        </w:rPr>
        <w:t>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152"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Additionally, some of the clinical trials we conduct may include open-label trials conducted at a limited number of clinical sites on a limited number of patients. For example, our ongoing Phase 2 clinical trial for KER-050 in patients with MDS is an open-label trial. An “open-label” clinical trial is one where both the patient and investigator know whether the patient is receiving the investigational product candidate or either an existing approved product or placebo. Most typically, open-label clinical trials test only the investigational product candidate and sometimes may do so at different dose levels. For example, in our ongoing Phase 2 clinical trial for KER-050 in patients with MDS, the dose levels for Cohorts 1, 2, 3, 4 and 5 are 0.75 mg/kg, 1.5 mg/kg, 2.5 mg/kg, 3.75 mg/kg and 5.0 mg/kg, respectively.</w:t>
      </w:r>
    </w:p>
    <w:p>
      <w:pPr>
        <w:spacing w:after="0" w:line="166"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Open-label clinical trials are also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early-stage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Given that open-label Phase 2 clinical trials are ongoing for KER-050 and planned for KER-047, the results from these clinical trials may not be predictive of future clinical trial results with these or other product candidates for which we include an open-label clinical trial when studied in a controlled environment with a placebo or active control.</w:t>
      </w:r>
    </w:p>
    <w:p>
      <w:pPr>
        <w:spacing w:after="0" w:line="148"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1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candidates, KER-050 and KER-047, have generally been well tolerated in our preclinical studies and clinical trials to date, the results from future preclinical studies and clinical trials, including of KER-012 and our other product candidates, may identify safety concerns or other undesirable properties of our product candidates.</w:t>
      </w:r>
    </w:p>
    <w:p>
      <w:pPr>
        <w:spacing w:after="0" w:line="167"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The results of our ongoing Phase 2 clinical trials of KER-050, our planned Phase 2 clinical trials of KER-047, our ongoing Phase 1 clinical trial of KER-012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52"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w:t>
      </w:r>
    </w:p>
    <w:p>
      <w:pPr>
        <w:spacing w:after="0" w:line="163"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caused by such products, a number of potentially significant negative consequences could result, including:</w:t>
      </w:r>
    </w:p>
    <w:p>
      <w:pPr>
        <w:spacing w:after="0" w:line="158" w:lineRule="exact"/>
        <w:rPr>
          <w:sz w:val="20"/>
          <w:szCs w:val="20"/>
          <w:color w:val="auto"/>
        </w:rPr>
      </w:pPr>
    </w:p>
    <w:p>
      <w:pPr>
        <w:ind w:left="640" w:hanging="311"/>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withdraw approvals of such product and require us to take our approved product off the market;</w:t>
      </w:r>
    </w:p>
    <w:p>
      <w:pPr>
        <w:spacing w:after="0" w:line="5" w:lineRule="exact"/>
        <w:rPr>
          <w:rFonts w:ascii="Arial" w:cs="Arial" w:eastAsia="Arial" w:hAnsi="Arial"/>
          <w:sz w:val="17"/>
          <w:szCs w:val="17"/>
          <w:color w:val="auto"/>
        </w:rPr>
      </w:pPr>
    </w:p>
    <w:p>
      <w:pPr>
        <w:ind w:left="660" w:right="240" w:hanging="331"/>
        <w:spacing w:after="0" w:line="247" w:lineRule="auto"/>
        <w:tabs>
          <w:tab w:leader="none" w:pos="6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specific warnings, a contraindication or field alerts to physicians and pharmacies;</w:t>
      </w:r>
    </w:p>
    <w:p>
      <w:pPr>
        <w:ind w:left="660" w:right="120" w:hanging="331"/>
        <w:spacing w:after="0" w:line="257" w:lineRule="auto"/>
        <w:tabs>
          <w:tab w:leader="none" w:pos="653"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regulatory authorities may require a medication guide outlining the risks of such side effects for distribution to patients, or that we implement a risk evaluation and mitigation strategy, or REMS, plan to ensure that the benefits of the product outweigh its risks;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5" w:name="page56"/>
    <w:bookmarkEnd w:id="55"/>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conduct additional clinical trials, which may lead to additional interactions with regulatory authorities;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clinical trials or change the labeling of the product;</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subject to limitations on how we may promote the product;</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sales of the product may decrease significantly;</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subject to litigation or product liability claims;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67" w:lineRule="exact"/>
        <w:rPr>
          <w:sz w:val="20"/>
          <w:szCs w:val="20"/>
          <w:color w:val="auto"/>
        </w:rPr>
      </w:pPr>
    </w:p>
    <w:p>
      <w:pPr>
        <w:jc w:val="both"/>
        <w:ind w:right="500"/>
        <w:spacing w:after="0" w:line="252" w:lineRule="auto"/>
        <w:rPr>
          <w:sz w:val="20"/>
          <w:szCs w:val="20"/>
          <w:color w:val="auto"/>
        </w:rPr>
      </w:pPr>
      <w:r>
        <w:rPr>
          <w:rFonts w:ascii="Arial" w:cs="Arial" w:eastAsia="Arial" w:hAnsi="Arial"/>
          <w:sz w:val="17"/>
          <w:szCs w:val="17"/>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143"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timely completion of our clinical trials in accordance with their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including the ongoing COVID-19 pandemic. Any delays related to patient enrollment or difficulties related to patient retention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w:t>
      </w:r>
    </w:p>
    <w:p>
      <w:pPr>
        <w:spacing w:after="0" w:line="155" w:lineRule="exact"/>
        <w:rPr>
          <w:sz w:val="20"/>
          <w:szCs w:val="20"/>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size and nature of the patient population and process for identifying patients;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proximity and availability of clinical trial sites for prospective patients;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ability of patients to travel to clinical trial sites;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eligibility and exclusion criteria for the trial;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design of the clinical trial;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safety profile, to date, of the product candidate under study;</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perceived risks and benefits of the product candidate under study;</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perceived risks and benefits of our approach;</w:t>
      </w:r>
    </w:p>
    <w:p>
      <w:pPr>
        <w:spacing w:after="0" w:line="5" w:lineRule="exact"/>
        <w:rPr>
          <w:rFonts w:ascii="Arial" w:cs="Arial" w:eastAsia="Arial" w:hAnsi="Arial"/>
          <w:sz w:val="17"/>
          <w:szCs w:val="17"/>
          <w:color w:val="auto"/>
        </w:rPr>
      </w:pPr>
    </w:p>
    <w:p>
      <w:pPr>
        <w:ind w:left="660" w:right="420" w:hanging="331"/>
        <w:spacing w:after="0" w:line="247" w:lineRule="auto"/>
        <w:tabs>
          <w:tab w:leader="none" w:pos="653"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severity of the disease under investigation;</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degree of progression of the patient’s disease at the time of enrollment and throughout the clinical trial;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ability to obtain and maintain patient consent;</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risk that enrolled patients will drop out before completion of the trial;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patient referral practices of physicians;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ability to adequately monitor patients during and after treatment.</w:t>
      </w:r>
    </w:p>
    <w:p>
      <w:pPr>
        <w:spacing w:after="0" w:line="18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Enrollment risks are heightened with respect to indications that are rare or orphan diseases, which may limit the pool of patients that may be enrolled in our planned clinical trials. For example, we are developing KER-047 for the treatment of IRIDA, which is a rare, inherited form of IDA with a worldwide prevalence estimated to be less than one person in 1,000,000. As a result, we have encountered difficulties enrolling participants in our planned clinical trial evaluating KER-047 for the treatment of IRIDA due, in part, to the small size of this patient population.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68"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Delays related to patient enrollment and difficulties related to patient retention may result in increased costs or may affect the timing or outcome of our future clinical trials, which could prevent completion of these trials and adversely affect our ability to advance the development of our product candidates.</w:t>
      </w:r>
    </w:p>
    <w:p>
      <w:pPr>
        <w:spacing w:after="0" w:line="129"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From time to time, we may publish interim, topline or preliminary data from our clinical trials. Preliminary and interim data from our clinical trials may change as more participant data become available. For example, in June 2021, we announced</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56" w:name="page57"/>
    <w:bookmarkEnd w:id="56"/>
    <w:p>
      <w:pPr>
        <w:ind w:right="60"/>
        <w:spacing w:after="0" w:line="248" w:lineRule="auto"/>
        <w:rPr>
          <w:sz w:val="20"/>
          <w:szCs w:val="20"/>
          <w:color w:val="auto"/>
        </w:rPr>
      </w:pPr>
      <w:r>
        <w:rPr>
          <w:rFonts w:ascii="Arial" w:cs="Arial" w:eastAsia="Arial" w:hAnsi="Arial"/>
          <w:sz w:val="17"/>
          <w:szCs w:val="17"/>
          <w:color w:val="auto"/>
        </w:rPr>
        <w:t>preliminary results from Cohorts 1 and 2 of our Phase 2 clinical trial evaluating KER-050 for the treatment of anemia and thrombocytopenia in patients with very low-, low-, or intermediate-risk MDS, which only included a small subset of the patients expected to be enrolled in the trial. Preliminary or interim data from our clinical trials are not necessarily predictive of final results. Preliminary and interim data are subject to the risk that one or more of the clinical outcomes may materially change as enrollment continues, more trial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15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our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1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Before we can commence clinical trials for any product candidate, we must complete extensive preclinical studies that support any future Investigational New Drug, or IND, applications in the United States, or similar applications in other jurisdictions. We have not submitted any IND to the FDA and all of our clinical trials have, to date, been conducted in Australia and New Zealand. Conducting preclinical testing is a lengthy, time-consuming and expensive process and delays associated with product candidates for which we are directly conducting preclinical testing and studies may cause us to incur additional operating expenses. While we are conducting two Phase 2 clinical trials for KER-050, one in patients with MDS and one in patients with myelofibrosis, and a Phase 1 clinical trial for KER-012 in healthy volunteers, and plan to initially conduct two Phase 2 clinical trials for KER-047, one in patients with IDA and one in patients with IRIDA,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research and development activities could be affected or delayed as a result of possible restrictions on animal testing.</w:t>
      </w:r>
    </w:p>
    <w:p>
      <w:pPr>
        <w:spacing w:after="0" w:line="6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47" w:lineRule="exact"/>
        <w:rPr>
          <w:sz w:val="20"/>
          <w:szCs w:val="20"/>
          <w:color w:val="auto"/>
        </w:rPr>
      </w:pPr>
    </w:p>
    <w:p>
      <w:pPr>
        <w:jc w:val="both"/>
        <w:ind w:right="160"/>
        <w:spacing w:after="0" w:line="264"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Our product candidates could fail to receive regulatory approval for many reasons, including the following:</w:t>
      </w:r>
    </w:p>
    <w:p>
      <w:pPr>
        <w:spacing w:after="0" w:line="180" w:lineRule="exact"/>
        <w:rPr>
          <w:sz w:val="20"/>
          <w:szCs w:val="20"/>
          <w:color w:val="auto"/>
        </w:rPr>
      </w:pPr>
    </w:p>
    <w:p>
      <w:pPr>
        <w:ind w:left="5520" w:right="1500" w:hanging="5191"/>
        <w:spacing w:after="0" w:line="488"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40640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7" w:name="page58"/>
    <w:bookmarkEnd w:id="57"/>
    <w:p>
      <w:pPr>
        <w:ind w:left="660" w:right="40" w:hanging="331"/>
        <w:spacing w:after="0" w:line="247" w:lineRule="auto"/>
        <w:tabs>
          <w:tab w:leader="none" w:pos="6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product candidate is safe and effective as a treatment for our targeted indications, or, in the case of a product candidate regulated as a biological product, that the product candidate is safe, pure and potent for its proposed indication;</w:t>
      </w:r>
    </w:p>
    <w:p>
      <w:pPr>
        <w:ind w:left="660" w:right="620" w:hanging="331"/>
        <w:spacing w:after="0" w:line="247" w:lineRule="auto"/>
        <w:tabs>
          <w:tab w:leader="none" w:pos="6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population studied may not be sufficiently broad or representative to assure safety or efficacy in the population for which we seek approval;</w:t>
      </w:r>
    </w:p>
    <w:p>
      <w:pPr>
        <w:ind w:left="660" w:right="120" w:hanging="331"/>
        <w:spacing w:after="0" w:line="247" w:lineRule="auto"/>
        <w:tabs>
          <w:tab w:leader="none" w:pos="6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ind w:left="640" w:hanging="311"/>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unable to demonstrate that a product candidate’s clinical and other benefits outweigh its safety risks;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5" w:lineRule="exact"/>
        <w:rPr>
          <w:rFonts w:ascii="Arial" w:cs="Arial" w:eastAsia="Arial" w:hAnsi="Arial"/>
          <w:sz w:val="17"/>
          <w:szCs w:val="17"/>
          <w:color w:val="auto"/>
        </w:rPr>
      </w:pPr>
    </w:p>
    <w:p>
      <w:pPr>
        <w:ind w:left="660" w:hanging="331"/>
        <w:spacing w:after="0" w:line="247" w:lineRule="auto"/>
        <w:tabs>
          <w:tab w:leader="none" w:pos="6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require additional preclinical studies or clinical trials beyond those that we currently anticipate;</w:t>
      </w:r>
    </w:p>
    <w:p>
      <w:pPr>
        <w:jc w:val="both"/>
        <w:ind w:left="660" w:right="60" w:hanging="331"/>
        <w:spacing w:after="0" w:line="247" w:lineRule="auto"/>
        <w:tabs>
          <w:tab w:leader="none" w:pos="6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data collected from clinical trials of our product candidates may not be sufficient to support the submission of a New Drug Application, or NDA, or a Biologics License Application, or BLA, as applicable, to the FDA or other submission or to obtain regulatory approval in the United States or elsewhere;</w:t>
      </w:r>
    </w:p>
    <w:p>
      <w:pPr>
        <w:ind w:left="660" w:right="60" w:hanging="331"/>
        <w:spacing w:after="0" w:line="247" w:lineRule="auto"/>
        <w:tabs>
          <w:tab w:leader="none" w:pos="6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find deficiencies with or fail to approve the manufacturing processes or facilities of third-party manufacturers with which we contract for clinical and commercial supplies; and</w:t>
      </w:r>
    </w:p>
    <w:p>
      <w:pPr>
        <w:ind w:left="660" w:right="300" w:hanging="331"/>
        <w:spacing w:after="0" w:line="257" w:lineRule="auto"/>
        <w:tabs>
          <w:tab w:leader="none" w:pos="65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any comparable foreign regulatory authorities or the laws they enforce may significantly change in a manner rendering our clinical data insufficient for approval.</w:t>
      </w:r>
    </w:p>
    <w:p>
      <w:pPr>
        <w:spacing w:after="0" w:line="145"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 Separately, in response to the COVID-19 pandemic, the FDA had postponed most inspections of foreign and domestic manufacturing facilities and products, and as of July 2021, has restarted inspections on a risk-based basis. Regulatory authorities outside the United States may continue to adopt similar restrictions or other policy measures in response to the COVID-19 pandemic.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68"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47" w:lineRule="exact"/>
        <w:rPr>
          <w:sz w:val="20"/>
          <w:szCs w:val="20"/>
          <w:color w:val="auto"/>
        </w:rPr>
      </w:pPr>
    </w:p>
    <w:p>
      <w:pPr>
        <w:ind w:right="680"/>
        <w:spacing w:after="0" w:line="275" w:lineRule="auto"/>
        <w:rPr>
          <w:sz w:val="20"/>
          <w:szCs w:val="20"/>
          <w:color w:val="auto"/>
        </w:rPr>
      </w:pPr>
      <w:r>
        <w:rPr>
          <w:rFonts w:ascii="Arial" w:cs="Arial" w:eastAsia="Arial" w:hAnsi="Arial"/>
          <w:sz w:val="17"/>
          <w:szCs w:val="17"/>
          <w:b w:val="1"/>
          <w:bCs w:val="1"/>
          <w:i w:val="1"/>
          <w:iCs w:val="1"/>
          <w:color w:val="auto"/>
        </w:rPr>
        <w:t>The FDA and any comparable foreign regulatory authorities may not accept data from trials conducted in locations outside of their jurisdiction.</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are presently conducting clinical development solely in Australia and New Zealand and anticipate conducting additional international clinical trials in additional countries in the near future. We have not submitted any IND to the FDA. The acceptance of trial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46" w:lineRule="exact"/>
        <w:rPr>
          <w:sz w:val="20"/>
          <w:szCs w:val="20"/>
          <w:color w:val="auto"/>
        </w:rPr>
      </w:pPr>
    </w:p>
    <w:p>
      <w:pPr>
        <w:jc w:val="both"/>
        <w:ind w:right="760"/>
        <w:spacing w:after="0" w:line="264" w:lineRule="auto"/>
        <w:rPr>
          <w:sz w:val="20"/>
          <w:szCs w:val="20"/>
          <w:color w:val="auto"/>
        </w:rPr>
      </w:pPr>
      <w:r>
        <w:rPr>
          <w:rFonts w:ascii="Arial" w:cs="Arial" w:eastAsia="Arial" w:hAnsi="Arial"/>
          <w:sz w:val="17"/>
          <w:szCs w:val="17"/>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19" w:lineRule="exact"/>
        <w:rPr>
          <w:sz w:val="20"/>
          <w:szCs w:val="20"/>
          <w:color w:val="auto"/>
        </w:rPr>
      </w:pPr>
    </w:p>
    <w:p>
      <w:pPr>
        <w:ind w:right="620"/>
        <w:spacing w:after="0" w:line="257" w:lineRule="auto"/>
        <w:rPr>
          <w:sz w:val="20"/>
          <w:szCs w:val="20"/>
          <w:color w:val="auto"/>
        </w:rPr>
      </w:pPr>
      <w:r>
        <w:rPr>
          <w:rFonts w:ascii="Arial" w:cs="Arial" w:eastAsia="Arial" w:hAnsi="Arial"/>
          <w:sz w:val="17"/>
          <w:szCs w:val="17"/>
          <w:color w:val="auto"/>
        </w:rPr>
        <w:t>If any of our product candidates are approved, they will be subject to ongoing regulatory requirements for manufacturing, labeling, packaging, storage, advertising, promotion, sampling, record-keeping, conduct of post-marketing studies and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58" w:name="page59"/>
    <w:bookmarkEnd w:id="58"/>
    <w:p>
      <w:pPr>
        <w:ind w:right="40"/>
        <w:spacing w:after="0" w:line="252" w:lineRule="auto"/>
        <w:rPr>
          <w:sz w:val="20"/>
          <w:szCs w:val="20"/>
          <w:color w:val="auto"/>
        </w:rPr>
      </w:pPr>
      <w:r>
        <w:rPr>
          <w:rFonts w:ascii="Arial" w:cs="Arial" w:eastAsia="Arial" w:hAnsi="Arial"/>
          <w:sz w:val="17"/>
          <w:szCs w:val="17"/>
          <w:color w:val="auto"/>
        </w:rPr>
        <w:t>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or cGMPs, and GCP requirements for any clinical trials that we conduct post-approval.</w:t>
      </w:r>
    </w:p>
    <w:p>
      <w:pPr>
        <w:spacing w:after="0" w:line="149"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NDA or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7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52" w:lineRule="exact"/>
        <w:rPr>
          <w:sz w:val="20"/>
          <w:szCs w:val="20"/>
          <w:color w:val="auto"/>
        </w:rPr>
      </w:pPr>
    </w:p>
    <w:p>
      <w:pPr>
        <w:ind w:left="660" w:right="120" w:hanging="331"/>
        <w:spacing w:after="0" w:line="247" w:lineRule="auto"/>
        <w:tabs>
          <w:tab w:leader="none" w:pos="653"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our products, withdrawal of the product from the market or voluntary or mandatory product recalls;</w:t>
      </w: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5" w:lineRule="exact"/>
        <w:rPr>
          <w:rFonts w:ascii="Arial" w:cs="Arial" w:eastAsia="Arial" w:hAnsi="Arial"/>
          <w:sz w:val="17"/>
          <w:szCs w:val="17"/>
          <w:color w:val="auto"/>
        </w:rPr>
      </w:pPr>
    </w:p>
    <w:p>
      <w:pPr>
        <w:ind w:left="660" w:right="500" w:hanging="331"/>
        <w:spacing w:after="0" w:line="247" w:lineRule="auto"/>
        <w:tabs>
          <w:tab w:leader="none" w:pos="653"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license approvals;</w:t>
      </w: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 candidates;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80"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16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The holder of an NDA or BLA must submit new or supplemental applications and obtain approval for certain changes to the approved product, product labeling, or manufacturing process. We could also be asked to conduct post-marketing clinical trials to confirm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54"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59" w:name="page60"/>
    <w:bookmarkEnd w:id="59"/>
    <w:p>
      <w:pPr>
        <w:ind w:right="200"/>
        <w:spacing w:after="0" w:line="275" w:lineRule="auto"/>
        <w:rPr>
          <w:sz w:val="20"/>
          <w:szCs w:val="20"/>
          <w:color w:val="auto"/>
        </w:rPr>
      </w:pPr>
      <w:r>
        <w:rPr>
          <w:rFonts w:ascii="Arial" w:cs="Arial" w:eastAsia="Arial" w:hAnsi="Arial"/>
          <w:sz w:val="17"/>
          <w:szCs w:val="17"/>
          <w:b w:val="1"/>
          <w:bCs w:val="1"/>
          <w:i w:val="1"/>
          <w:iCs w:val="1"/>
          <w:color w:val="auto"/>
        </w:rPr>
        <w:t>If approved, our investigational products regulated as biologics, including KER-050 and KER-012, may face competition from biosimilars approved through an abbreviated regulatory pathway.</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We are developing KER-050 for the treatment of cytopenias, including anemia and thrombocytopenia, in patients with MDS and myelofibrosis and KER-012 for the treatment of pulmonary arterial hypertension, or PAH, and for the treatment of disorders associated with bone loss, such as osteoporosis and osteogenesis imperfecta, both of which we anticipate will be regulated as a biological product. 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6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25" w:lineRule="exact"/>
        <w:rPr>
          <w:sz w:val="20"/>
          <w:szCs w:val="20"/>
          <w:color w:val="auto"/>
        </w:rPr>
      </w:pPr>
    </w:p>
    <w:p>
      <w:pPr>
        <w:ind w:right="740"/>
        <w:spacing w:after="0" w:line="281" w:lineRule="auto"/>
        <w:rPr>
          <w:sz w:val="20"/>
          <w:szCs w:val="20"/>
          <w:color w:val="auto"/>
        </w:rPr>
      </w:pPr>
      <w:r>
        <w:rPr>
          <w:rFonts w:ascii="Arial" w:cs="Arial" w:eastAsia="Arial" w:hAnsi="Arial"/>
          <w:sz w:val="17"/>
          <w:szCs w:val="17"/>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Regardless of the merits or eventual outcome, liability claims may result in:</w:t>
      </w:r>
    </w:p>
    <w:p>
      <w:pPr>
        <w:spacing w:after="0" w:line="170" w:lineRule="exact"/>
        <w:rPr>
          <w:sz w:val="20"/>
          <w:szCs w:val="20"/>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decreased demand for our products due to negative public perception;</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injury to our reputation;</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withdrawal of clinical trial participants or difficulties in recruiting new trial participants;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initiation of investigations by regulators;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costs to defend or settle the related litigation;</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loss of revenues from product sales;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inability to commercialize any of our product candidates, if approved.</w:t>
      </w:r>
    </w:p>
    <w:p>
      <w:pPr>
        <w:spacing w:after="0" w:line="167"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 material adverse effect on our business, financial condition and results of operations.</w:t>
      </w:r>
    </w:p>
    <w:p>
      <w:pPr>
        <w:spacing w:after="0" w:line="134"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0" w:name="page61"/>
    <w:bookmarkEnd w:id="60"/>
    <w:p>
      <w:pPr>
        <w:ind w:right="220"/>
        <w:spacing w:after="0" w:line="275" w:lineRule="auto"/>
        <w:rPr>
          <w:sz w:val="20"/>
          <w:szCs w:val="20"/>
          <w:color w:val="auto"/>
        </w:rPr>
      </w:pPr>
      <w:r>
        <w:rPr>
          <w:rFonts w:ascii="Arial" w:cs="Arial" w:eastAsia="Arial" w:hAnsi="Arial"/>
          <w:sz w:val="17"/>
          <w:szCs w:val="17"/>
          <w:b w:val="1"/>
          <w:bCs w:val="1"/>
          <w:i w:val="1"/>
          <w:iCs w:val="1"/>
          <w:color w:val="auto"/>
        </w:rPr>
        <w:t>wrong and may adversely affect our ability to develop our own programs, our attractiveness as a commercial partner and may ultimately have an impact on our commercial success.</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our lead product candidates, KER-050, KER-047, as well as for KER-012, our business, financial condition and results of operations could be materially adversely affected.</w:t>
      </w:r>
    </w:p>
    <w:p>
      <w:pPr>
        <w:spacing w:after="0" w:line="149"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As part of our business strategy, we may seek orphan drug designation for any product candidates we develop, and we may be unsuccessful. While we have not made a determination regarding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156"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drug and indication for seven years, except in limited circumstances.</w:t>
      </w:r>
    </w:p>
    <w:p>
      <w:pPr>
        <w:spacing w:after="0" w:line="16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benefit from those designations.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1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2"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If we are successful in obtaining marketing approval from applicable regulatory authorities for KER-050, KER-047, KER-012 or any other product candidate, our ability to generate revenues from any such products will depend on our success in:</w:t>
      </w:r>
    </w:p>
    <w:p>
      <w:pPr>
        <w:spacing w:after="0" w:line="158" w:lineRule="exact"/>
        <w:rPr>
          <w:sz w:val="20"/>
          <w:szCs w:val="20"/>
          <w:color w:val="auto"/>
        </w:rPr>
      </w:pPr>
    </w:p>
    <w:p>
      <w:pPr>
        <w:ind w:left="640" w:hanging="31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launching commercial sales of such products, whether alone or in collaboration with others;</w:t>
      </w:r>
    </w:p>
    <w:p>
      <w:pPr>
        <w:spacing w:after="0" w:line="5" w:lineRule="exact"/>
        <w:rPr>
          <w:rFonts w:ascii="Arial" w:cs="Arial" w:eastAsia="Arial" w:hAnsi="Arial"/>
          <w:sz w:val="17"/>
          <w:szCs w:val="17"/>
          <w:color w:val="auto"/>
        </w:rPr>
      </w:pPr>
    </w:p>
    <w:p>
      <w:pPr>
        <w:ind w:left="660" w:right="580" w:hanging="331"/>
        <w:spacing w:after="0" w:line="247" w:lineRule="auto"/>
        <w:tabs>
          <w:tab w:leader="none" w:pos="653"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receiving approved labels with claims that are necessary or desirable for successful marketing, and that do not contain safety or other limitations that would impede our ability to market such products;</w:t>
      </w:r>
    </w:p>
    <w:p>
      <w:pPr>
        <w:ind w:left="640" w:hanging="31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creating market demand for such products through marketing, sales and promotion activities;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hiring, training, and deploying a sales force or contracting with third parties to commercialize such products in the United States;</w:t>
      </w:r>
    </w:p>
    <w:p>
      <w:pPr>
        <w:spacing w:after="0" w:line="5" w:lineRule="exact"/>
        <w:rPr>
          <w:rFonts w:ascii="Arial" w:cs="Arial" w:eastAsia="Arial" w:hAnsi="Arial"/>
          <w:sz w:val="17"/>
          <w:szCs w:val="17"/>
          <w:color w:val="auto"/>
        </w:rPr>
      </w:pPr>
    </w:p>
    <w:p>
      <w:pPr>
        <w:ind w:left="660" w:right="400" w:hanging="331"/>
        <w:spacing w:after="0" w:line="247" w:lineRule="auto"/>
        <w:tabs>
          <w:tab w:leader="none" w:pos="653" w:val="left"/>
        </w:tabs>
        <w:numPr>
          <w:ilvl w:val="0"/>
          <w:numId w:val="38"/>
        </w:numPr>
        <w:rPr>
          <w:rFonts w:ascii="Arial" w:cs="Arial" w:eastAsia="Arial" w:hAnsi="Arial"/>
          <w:sz w:val="17"/>
          <w:szCs w:val="17"/>
          <w:color w:val="auto"/>
        </w:rPr>
      </w:pPr>
      <w:r>
        <w:rPr>
          <w:rFonts w:ascii="Arial" w:cs="Arial" w:eastAsia="Arial" w:hAnsi="Arial"/>
          <w:sz w:val="17"/>
          <w:szCs w:val="17"/>
          <w:color w:val="auto"/>
        </w:rPr>
        <w:t>creating strategic collaborations with, or offering licenses to, third parties to promote and sell such products in foreign markets where we receive marketing approval;</w:t>
      </w:r>
    </w:p>
    <w:p>
      <w:pPr>
        <w:ind w:left="640" w:hanging="311"/>
        <w:spacing w:after="0"/>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manufacturing such products in sufficient quantities and at acceptable quality and cost to meet commercial demand at launch and thereafter;</w:t>
      </w:r>
    </w:p>
    <w:p>
      <w:pPr>
        <w:spacing w:after="0" w:line="5" w:lineRule="exact"/>
        <w:rPr>
          <w:rFonts w:ascii="Arial" w:cs="Arial" w:eastAsia="Arial" w:hAnsi="Arial"/>
          <w:sz w:val="17"/>
          <w:szCs w:val="17"/>
          <w:color w:val="auto"/>
        </w:rPr>
      </w:pPr>
    </w:p>
    <w:p>
      <w:pPr>
        <w:ind w:left="660" w:right="340" w:hanging="331"/>
        <w:spacing w:after="0" w:line="257" w:lineRule="auto"/>
        <w:tabs>
          <w:tab w:leader="none" w:pos="653" w:val="left"/>
        </w:tabs>
        <w:numPr>
          <w:ilvl w:val="0"/>
          <w:numId w:val="38"/>
        </w:numPr>
        <w:rPr>
          <w:rFonts w:ascii="Arial" w:cs="Arial" w:eastAsia="Arial" w:hAnsi="Arial"/>
          <w:sz w:val="17"/>
          <w:szCs w:val="17"/>
          <w:color w:val="auto"/>
        </w:rPr>
      </w:pPr>
      <w:r>
        <w:rPr>
          <w:rFonts w:ascii="Arial" w:cs="Arial" w:eastAsia="Arial" w:hAnsi="Arial"/>
          <w:sz w:val="17"/>
          <w:szCs w:val="17"/>
          <w:color w:val="auto"/>
        </w:rPr>
        <w:t>establishing and maintaining agreements with wholesalers, distributors, and group purchasing organizations on commercially reasonable terms;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61" w:name="page62"/>
    <w:bookmarkEnd w:id="61"/>
    <w:p>
      <w:pPr>
        <w:ind w:left="640" w:hanging="31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maintaining patent and trade secret protection and regulatory exclusivity for such products;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achieving market acceptance of such products by patients, the medical community, and third-party payors;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achieving coverage and adequate reimbursement from third-party payors for such products;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patients’ willingness to pay out-of-pocket in the absence of such coverage and adequate reimbursement from third-party payors;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effectively competing with other therapies;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maintaining a continued acceptable safety profile of such products following launch.</w:t>
      </w:r>
    </w:p>
    <w:p>
      <w:pPr>
        <w:spacing w:after="0" w:line="167"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To the extent we are not able to do any of the foregoing, our business, financial condition, results of operations, stock price and prospects will be materially harmed.</w:t>
      </w:r>
    </w:p>
    <w:p>
      <w:pPr>
        <w:spacing w:after="0" w:line="138"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i w:val="1"/>
          <w:iCs w:val="1"/>
          <w:color w:val="auto"/>
        </w:rPr>
        <w:t>We face significant competition from other biotechnology and pharmaceutical companies, and our operating results will suffer if we fail to compete effectively.</w:t>
      </w:r>
    </w:p>
    <w:p>
      <w:pPr>
        <w:spacing w:after="0" w:line="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biopharmaceutical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6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We compete in the segments of the biotechnology, pharmaceutical and other related industries that develop and market therapies for the treatment of hematological and musculoskeletal disorders. There are many other companies, including large biotechnology and pharmaceutical companies, that have commercialized and/or are developing therapies for the same therapeutic areas that our product candidates target. For example, FibroGen Inc. and Astellas Pharma Inc. are developing product candidates for the treatment of anemia, and Acceleron Pharma Inc. (which was acquired by Merck</w:t>
      </w:r>
    </w:p>
    <w:p>
      <w:pPr>
        <w:spacing w:after="0" w:line="2" w:lineRule="exact"/>
        <w:rPr>
          <w:sz w:val="20"/>
          <w:szCs w:val="20"/>
          <w:color w:val="auto"/>
        </w:rPr>
      </w:pPr>
    </w:p>
    <w:p>
      <w:pPr>
        <w:ind w:firstLine="7"/>
        <w:spacing w:after="0" w:line="250" w:lineRule="auto"/>
        <w:tabs>
          <w:tab w:leader="none" w:pos="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 Inc. in November 2021), or Acceleron, Bristol-Myers Squibb Company and Disc Medicine are developing product candidates targeting diseases associated with MDS and myelofibrosis, including chronic anemia. Additionally, in April 2020, Acceleron received FDA approval of its product, Reblozyl, for the treatment of anemia failing an erythropoiesis stimulating agent and requiring two or more red blood cell units over eight weeks in adult patients with very low- to intermediate-risk MDS with ring sideroblasts or with myelodysplastic/myeloproliferative neoplasm with ring sideroblasts and thrombocytosis. In June 2020, Acceleron further announced that the European Commission approved Reblozyl for the treatment of transfusion-dependent anemia in adult patients with MDS or beta thalassemia and in September 2020, Acceleron announced that Health Canada approved Reblozyl for the treatment of adult patients with red blood cell transfusion-dependent anemia associated with beta thalassemia. Geron Corporation is developing imetelstat as a treatment for MDS and for myelofibrosis. Sierra Oncology, Inc. is developing momelotinib as a treatment for myelofibrosis. Additionally, Constellation Pharmaceutics, Inc. (which was acquired by MorphoSys AG in July 2021) is also developing a product candidate as a treatment for myelofibrosis and Incyte Corporation is developing an ALK2 inhibitor product candidate for the treatment of myelofibrosis. In March 2022, CTI BioPharma Corp. received FDA accelerated approval of its product, pacritinib (Vonjo), for the treatment of adults with intermediate or high-risk primary or secondary (post-polycythemia vera or post-essential thrombocythemia) myelofibrosis with a platelet count below 50 × 10</w:t>
      </w:r>
      <w:r>
        <w:rPr>
          <w:rFonts w:ascii="Arial" w:cs="Arial" w:eastAsia="Arial" w:hAnsi="Arial"/>
          <w:sz w:val="22"/>
          <w:szCs w:val="22"/>
          <w:color w:val="auto"/>
          <w:vertAlign w:val="superscript"/>
        </w:rPr>
        <w:t>9</w:t>
      </w:r>
      <w:r>
        <w:rPr>
          <w:rFonts w:ascii="Arial" w:cs="Arial" w:eastAsia="Arial" w:hAnsi="Arial"/>
          <w:sz w:val="17"/>
          <w:szCs w:val="17"/>
          <w:color w:val="auto"/>
        </w:rPr>
        <w:t>/L.</w:t>
      </w:r>
    </w:p>
    <w:p>
      <w:pPr>
        <w:spacing w:after="0" w:line="87"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Other companies that are developing product candidates that are designed to target the TGF-ß signaling pathways include Scholar Rock Holding Corporation, Biogen Inc. and Regeneron Pharmaceuticals, Inc.</w:t>
      </w:r>
    </w:p>
    <w:p>
      <w:pPr>
        <w:spacing w:after="0" w:line="158"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There are currently no approved drugs for the treatment of osteogenesis imperfecta. However, Mereo BioPharma Group plc, in collaboration with Ultragenyx Pharmaceutical Inc., is developing an anti-sclerostin product candidate for the treatment of osteogenesis imperfecta.</w:t>
      </w:r>
    </w:p>
    <w:p>
      <w:pPr>
        <w:spacing w:after="0" w:line="145"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All of the currently-approved therapies for PAH are vasodilators, which are medications that dilate blood vessels. However, Acceleron is developing sotatercept, an activin receptor ligand trap, for the treatment of PAH.</w:t>
      </w:r>
    </w:p>
    <w:p>
      <w:pPr>
        <w:spacing w:after="0" w:line="158"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2" w:name="page63"/>
    <w:bookmarkEnd w:id="62"/>
    <w:p>
      <w:pPr>
        <w:ind w:right="180"/>
        <w:spacing w:after="0" w:line="250" w:lineRule="auto"/>
        <w:rPr>
          <w:sz w:val="20"/>
          <w:szCs w:val="20"/>
          <w:color w:val="auto"/>
        </w:rPr>
      </w:pPr>
      <w:r>
        <w:rPr>
          <w:rFonts w:ascii="Arial" w:cs="Arial" w:eastAsia="Arial" w:hAnsi="Arial"/>
          <w:sz w:val="17"/>
          <w:szCs w:val="17"/>
          <w:color w:val="auto"/>
        </w:rPr>
        <w:t>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132"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b w:val="1"/>
          <w:bCs w:val="1"/>
          <w:i w:val="1"/>
          <w:iCs w:val="1"/>
          <w:color w:val="auto"/>
        </w:rPr>
        <w:t>We do not have a sales or marketing infrastructure and have no experience in the sale or marketing of biopharmaceutical products. To achieve commercial success for any approved product, we must develop or acquire a sales and marketing organization, outsource these functions to third parties or enter into strategic collaborations.</w:t>
      </w:r>
    </w:p>
    <w:p>
      <w:pPr>
        <w:spacing w:after="0" w:line="19"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biopharmaceutical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169" w:lineRule="exact"/>
        <w:rPr>
          <w:sz w:val="20"/>
          <w:szCs w:val="20"/>
          <w:color w:val="auto"/>
        </w:rPr>
      </w:pPr>
    </w:p>
    <w:p>
      <w:pPr>
        <w:ind w:left="640" w:hanging="31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effective sales and marketing personnel;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or educate adequate numbers of physicians on the benefits of our products;</w:t>
      </w:r>
    </w:p>
    <w:p>
      <w:pPr>
        <w:spacing w:after="0" w:line="5" w:lineRule="exact"/>
        <w:rPr>
          <w:rFonts w:ascii="Arial" w:cs="Arial" w:eastAsia="Arial" w:hAnsi="Arial"/>
          <w:sz w:val="17"/>
          <w:szCs w:val="17"/>
          <w:color w:val="auto"/>
        </w:rPr>
      </w:pPr>
    </w:p>
    <w:p>
      <w:pPr>
        <w:ind w:left="660" w:right="100" w:hanging="331"/>
        <w:spacing w:after="0" w:line="247" w:lineRule="auto"/>
        <w:tabs>
          <w:tab w:leader="none" w:pos="65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w:t>
      </w:r>
    </w:p>
    <w:p>
      <w:pPr>
        <w:ind w:left="640" w:hanging="31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unforeseen costs and expenses associated with creating an independent sales and marketing organization;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costs of marketing and promotion above those anticipated by us.</w:t>
      </w:r>
    </w:p>
    <w:p>
      <w:pPr>
        <w:spacing w:after="0" w:line="167"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16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143" w:lineRule="exact"/>
        <w:rPr>
          <w:sz w:val="20"/>
          <w:szCs w:val="20"/>
          <w:color w:val="auto"/>
        </w:rPr>
      </w:pPr>
    </w:p>
    <w:p>
      <w:pPr>
        <w:jc w:val="both"/>
        <w:ind w:right="40"/>
        <w:spacing w:after="0" w:line="264" w:lineRule="auto"/>
        <w:rPr>
          <w:sz w:val="20"/>
          <w:szCs w:val="20"/>
          <w:color w:val="auto"/>
        </w:rPr>
      </w:pPr>
      <w:r>
        <w:rPr>
          <w:rFonts w:ascii="Arial" w:cs="Arial" w:eastAsia="Arial" w:hAnsi="Arial"/>
          <w:sz w:val="17"/>
          <w:szCs w:val="17"/>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their sales may be limited, and we may never become profitable.</w:t>
      </w:r>
    </w:p>
    <w:p>
      <w:pPr>
        <w:spacing w:after="0" w:line="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54"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165" w:lineRule="exact"/>
        <w:rPr>
          <w:sz w:val="20"/>
          <w:szCs w:val="20"/>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clinical indications for which our product candidates are approved;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physicians, hospitals and patients considering our product candidates as a safe and effective treatment;</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potential and perceived advantages of our product candidates over alternative treatments;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prevalence and severity of any side effects;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3" w:name="page64"/>
    <w:bookmarkEnd w:id="63"/>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product labeling or product insert requirements of the FDA or comparable foreign regulatory authorities;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by the FDA or comparable foreign regulatory authorities;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market introduction of our product candidates in relation to other potentially competitive products;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cost of our product candidates in relation to alternative treatments;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amount of upfront costs or training required for physicians to administer our product candidates;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from third-party payors and government authorities;</w:t>
      </w:r>
    </w:p>
    <w:p>
      <w:pPr>
        <w:spacing w:after="0" w:line="5" w:lineRule="exact"/>
        <w:rPr>
          <w:rFonts w:ascii="Arial" w:cs="Arial" w:eastAsia="Arial" w:hAnsi="Arial"/>
          <w:sz w:val="17"/>
          <w:szCs w:val="17"/>
          <w:color w:val="auto"/>
        </w:rPr>
      </w:pPr>
    </w:p>
    <w:p>
      <w:pPr>
        <w:ind w:left="660" w:right="360" w:hanging="331"/>
        <w:spacing w:after="0" w:line="247" w:lineRule="auto"/>
        <w:tabs>
          <w:tab w:leader="none" w:pos="6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willingness of patients to pay out-of-pocket in the absence of comprehensive coverage and reimbursement by third-party payors and government authorities;</w:t>
      </w: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relative convenience and ease of administration, including as compared to alternative treatments and competitive therapies;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effectiveness of our sales and marketing efforts and distribution support;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presence or perceived risk of potential product liability claims.</w:t>
      </w:r>
    </w:p>
    <w:p>
      <w:pPr>
        <w:spacing w:after="0" w:line="147" w:lineRule="exact"/>
        <w:rPr>
          <w:sz w:val="20"/>
          <w:szCs w:val="20"/>
          <w:color w:val="auto"/>
        </w:rPr>
      </w:pPr>
    </w:p>
    <w:p>
      <w:pPr>
        <w:ind w:right="780"/>
        <w:spacing w:after="0" w:line="281" w:lineRule="auto"/>
        <w:rPr>
          <w:sz w:val="20"/>
          <w:szCs w:val="20"/>
          <w:color w:val="auto"/>
        </w:rPr>
      </w:pPr>
      <w:r>
        <w:rPr>
          <w:rFonts w:ascii="Arial" w:cs="Arial" w:eastAsia="Arial" w:hAnsi="Arial"/>
          <w:sz w:val="17"/>
          <w:szCs w:val="17"/>
          <w:b w:val="1"/>
          <w:bCs w:val="1"/>
          <w:i w:val="1"/>
          <w:iCs w:val="1"/>
          <w:color w:val="auto"/>
        </w:rPr>
        <w:t>Enacted and future healthcare legislation may increase the difficulty and cost for us to progress our clinical programs and obtain marketing approval of and commercialize our product candidates and may affect the prices we may set.</w:t>
      </w:r>
    </w:p>
    <w:p>
      <w:pPr>
        <w:spacing w:after="0" w:line="5"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167" w:lineRule="exact"/>
        <w:rPr>
          <w:sz w:val="20"/>
          <w:szCs w:val="20"/>
          <w:color w:val="auto"/>
        </w:rPr>
      </w:pPr>
    </w:p>
    <w:p>
      <w:pPr>
        <w:ind w:left="660" w:right="340" w:hanging="331"/>
        <w:spacing w:after="0" w:line="247" w:lineRule="auto"/>
        <w:tabs>
          <w:tab w:leader="none" w:pos="6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ind w:left="660" w:right="320" w:hanging="331"/>
        <w:spacing w:after="0" w:line="247" w:lineRule="auto"/>
        <w:tabs>
          <w:tab w:leader="none" w:pos="6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drugs that are inhaled, infused, instilled, implanted or injected;</w:t>
      </w:r>
    </w:p>
    <w:p>
      <w:pPr>
        <w:ind w:left="660" w:right="20" w:hanging="331"/>
        <w:spacing w:after="0" w:line="262" w:lineRule="auto"/>
        <w:tabs>
          <w:tab w:leader="none" w:pos="6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ind w:left="640" w:hanging="311"/>
        <w:spacing w:after="0"/>
        <w:tabs>
          <w:tab w:leader="none" w:pos="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licensure framework for follow on biologic products;</w:t>
      </w:r>
    </w:p>
    <w:p>
      <w:pPr>
        <w:spacing w:after="0" w:line="5" w:lineRule="exact"/>
        <w:rPr>
          <w:rFonts w:ascii="Arial" w:cs="Arial" w:eastAsia="Arial" w:hAnsi="Arial"/>
          <w:sz w:val="17"/>
          <w:szCs w:val="17"/>
          <w:color w:val="auto"/>
        </w:rPr>
      </w:pPr>
    </w:p>
    <w:p>
      <w:pPr>
        <w:ind w:left="660" w:right="280" w:hanging="331"/>
        <w:spacing w:after="0" w:line="247" w:lineRule="auto"/>
        <w:tabs>
          <w:tab w:leader="none" w:pos="653"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Patient-Centered Outcomes Research Institute to oversee, identify priorities in and conduct comparative clinical effectiveness research, along with funding for such research; and</w:t>
      </w:r>
    </w:p>
    <w:p>
      <w:pPr>
        <w:ind w:left="660" w:right="200" w:hanging="331"/>
        <w:spacing w:after="0" w:line="288" w:lineRule="auto"/>
        <w:tabs>
          <w:tab w:leader="none" w:pos="6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establishment of a Center for Medicare &amp; Medicaid Innovation at the Centers for Medicare &amp; Medicaid Services, or CMS, to test innovative payment and service delivery models to lower Medicare and Medicaid spending, potentially including prescription drug spending.</w:t>
      </w:r>
    </w:p>
    <w:p>
      <w:pPr>
        <w:spacing w:after="0" w:line="12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Since its enactment, there have been judicial, Congressional and executive branch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additional challenges in the future. It is unclear how any such challenges and the healthcare reform measures of the Biden administration will impact the ACA and our business. In addition, other legislative changes have been proposed and adopted in the United States since the ACA was enacted. In August 2011, the Budget Control Act of 2011, among other things, led to aggregate reductions of Medicare payments to providers of 2% per fiscal year. These reductions went into effect in April 2013 and, due to subsequent legislative amendments to the statute, including the Infrastructure Investment and Jobs Act, will remain in effect through 2031, with the exception of a temporary suspension from May 1, 2020 through March 31, 2022, unless additional action is taken by Congress. Under current legislation the actual reduction in Medicare payments will vary from 1% in 2022 to up to 3% in the final fiscal year of this sequester.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Congress is also considering additional health reform measures as part of the other reform measures.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These new laws or any other similar laws introduced in the future may result in additional reductions in Medicare and other health care funding, which could negatively affect our customers and accordingly, our financial operations.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64" w:name="page65"/>
    <w:bookmarkEnd w:id="64"/>
    <w:p>
      <w:pPr>
        <w:ind w:right="40"/>
        <w:spacing w:after="0" w:line="247"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2020 providing pathways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As a result of litigation challenging the Most Favored Nation model, on December 27, 2021, CMS published a final rule that rescinded the Most Favored Nation Model interim final rule.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No legislation or administrative actions have been finalized to implement these principles. In addition, Congress is considering drug pricing as part of the budget reconciliation process.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65"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70"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In markets outside of the United States, reimbursement and healthcare payment systems vary significantly by country, and many countries have instituted price ceilings on specific products and therapies.</w:t>
      </w:r>
    </w:p>
    <w:p>
      <w:pPr>
        <w:spacing w:after="0" w:line="15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in the United States or any other jurisdiction. Further, it is possible that additional governmental action is taken in response to the COVID-19 pandemic.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3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Disruptions at the FDA, the SEC and other government agencies caused by funding shortages or global health concerns could hinder their ability to hire and retain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2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5" w:name="page66"/>
    <w:bookmarkEnd w:id="65"/>
    <w:p>
      <w:pPr>
        <w:spacing w:after="0" w:line="26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Regulatory authorities outside the United States may continue to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120"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healthcare professionals, consultants, third-party payors, patient organizations and customers may be subject to applicable healthcare regulatory laws, which could expose us to penalties.</w:t>
      </w:r>
    </w:p>
    <w:p>
      <w:pPr>
        <w:spacing w:after="0" w:line="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w:t>
      </w:r>
    </w:p>
    <w:p>
      <w:pPr>
        <w:spacing w:after="0" w:line="165" w:lineRule="exact"/>
        <w:rPr>
          <w:sz w:val="20"/>
          <w:szCs w:val="20"/>
          <w:color w:val="auto"/>
        </w:rPr>
      </w:pPr>
    </w:p>
    <w:p>
      <w:pPr>
        <w:ind w:left="660" w:right="60" w:hanging="331"/>
        <w:spacing w:after="0" w:line="247"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ind w:left="660" w:right="20" w:hanging="331"/>
        <w:spacing w:after="0" w:line="247"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 federal civil and criminal false claims laws, including the civil False Claims Act, which can be enforced by private individuals on behalf of the government through civil whistleblower or qui tam actions, and civil monetary penalties laws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civil False Claims Act;</w:t>
      </w:r>
    </w:p>
    <w:p>
      <w:pPr>
        <w:ind w:left="660" w:right="200" w:hanging="331"/>
        <w:spacing w:after="0" w:line="262" w:lineRule="auto"/>
        <w:tabs>
          <w:tab w:leader="none" w:pos="6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created additional federal civil and criminal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6"/>
          <w:szCs w:val="16"/>
          <w:color w:val="auto"/>
        </w:rPr>
      </w:pPr>
    </w:p>
    <w:p>
      <w:pPr>
        <w:ind w:left="660" w:right="40" w:hanging="331"/>
        <w:spacing w:after="0" w:line="247"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implementing regulations, which impose certain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certain healthcare providers and their business associates, independent contractors of a covered entity that perform certain services involving the use or disclosure of individually identifiable health information, as well as their covered subcontractors;</w:t>
      </w:r>
    </w:p>
    <w:p>
      <w:pPr>
        <w:ind w:left="660" w:right="420" w:hanging="331"/>
        <w:spacing w:after="0" w:line="247"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Food, Drug, and Cosmetic Act, which prohibits, among other things, the adulteration or misbranding of drugs, biologics and medical devices;</w:t>
      </w:r>
    </w:p>
    <w:p>
      <w:pPr>
        <w:ind w:left="660" w:right="360" w:hanging="331"/>
        <w:spacing w:after="0" w:line="247"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 Public Health Service Act, which prohibits, among other things, the introduction into interstate commerce of a biological product unless a biologics license is in effect for that product;</w:t>
      </w:r>
    </w:p>
    <w:p>
      <w:pPr>
        <w:ind w:left="660" w:right="40" w:hanging="331"/>
        <w:spacing w:after="0" w:line="247"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 Physician Payments Sunshine Act and its implementing regulations, which require certain manufacturers of drugs, devices, biologics and medical supplies that are reimbursable under Medicare, Medicaid, or the Children’s Health Insurance Program, with specific exceptions, to report annually to CMS information related to certain payments and other transfers of value made in the prior year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 and</w:t>
      </w:r>
    </w:p>
    <w:p>
      <w:pPr>
        <w:ind w:left="660" w:right="160" w:hanging="331"/>
        <w:spacing w:after="0" w:line="250" w:lineRule="auto"/>
        <w:tabs>
          <w:tab w:leader="none" w:pos="6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2" w:right="379" w:bottom="1440" w:gutter="0" w:footer="0" w:header="0"/>
        </w:sectPr>
      </w:pPr>
    </w:p>
    <w:bookmarkStart w:id="66" w:name="page67"/>
    <w:bookmarkEnd w:id="66"/>
    <w:p>
      <w:pPr>
        <w:ind w:left="660"/>
        <w:spacing w:after="0" w:line="249" w:lineRule="auto"/>
        <w:rPr>
          <w:sz w:val="20"/>
          <w:szCs w:val="20"/>
          <w:color w:val="auto"/>
        </w:rPr>
      </w:pPr>
      <w:r>
        <w:rPr>
          <w:rFonts w:ascii="Arial" w:cs="Arial" w:eastAsia="Arial" w:hAnsi="Arial"/>
          <w:sz w:val="17"/>
          <w:szCs w:val="17"/>
          <w:color w:val="auto"/>
        </w:rPr>
        <w:t>guidelines and the relevant compliance guidance promulgated by the U.S. federal government, or otherwise restrict payments that may be made to healthcare providers and other potential referral sources; state and local laws and regulations that require drug manufacturers to file reports relating to drug pricing and marketing information, which requires tracking gifts and other remuneration and items of value provided to healthcare professionals and entities; state and local laws that require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152" w:lineRule="exact"/>
        <w:rPr>
          <w:sz w:val="20"/>
          <w:szCs w:val="20"/>
          <w:color w:val="auto"/>
        </w:rPr>
      </w:pPr>
    </w:p>
    <w:p>
      <w:pPr>
        <w:ind w:right="620"/>
        <w:spacing w:after="0" w:line="257" w:lineRule="auto"/>
        <w:rPr>
          <w:sz w:val="20"/>
          <w:szCs w:val="20"/>
          <w:color w:val="auto"/>
        </w:rPr>
      </w:pPr>
      <w:r>
        <w:rPr>
          <w:rFonts w:ascii="Arial" w:cs="Arial" w:eastAsia="Arial" w:hAnsi="Arial"/>
          <w:sz w:val="17"/>
          <w:szCs w:val="17"/>
          <w:color w:val="auto"/>
        </w:rPr>
        <w:t>In addition, our activities are also subject to certain federal and state consumer protection and unfair competition laws, which broadly regulate marketplace activities and activities that potentially harm consumers.</w:t>
      </w:r>
    </w:p>
    <w:p>
      <w:pPr>
        <w:spacing w:after="0" w:line="158"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46" w:lineRule="exact"/>
        <w:rPr>
          <w:sz w:val="20"/>
          <w:szCs w:val="20"/>
          <w:color w:val="auto"/>
        </w:rPr>
      </w:pPr>
    </w:p>
    <w:p>
      <w:pPr>
        <w:ind w:right="840"/>
        <w:spacing w:after="0" w:line="275" w:lineRule="auto"/>
        <w:rPr>
          <w:sz w:val="20"/>
          <w:szCs w:val="20"/>
          <w:color w:val="auto"/>
        </w:rPr>
      </w:pPr>
      <w:r>
        <w:rPr>
          <w:rFonts w:ascii="Arial" w:cs="Arial" w:eastAsia="Arial" w:hAnsi="Arial"/>
          <w:sz w:val="17"/>
          <w:szCs w:val="17"/>
          <w:b w:val="1"/>
          <w:bCs w:val="1"/>
          <w:i w:val="1"/>
          <w:iCs w:val="1"/>
          <w:color w:val="auto"/>
        </w:rPr>
        <w:t>If the market opportunities for our product candidates are smaller than we believe they are, even assuming approval of a product candidate, our business may suffer.</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projections of both the number of people who are affected by disease within our potential target indications, as well as the subset of these people who have the potential to benefit from treatment with our product candidates, are based on our beliefs and estimates. These estimates have been derived from a variety of sources, including the scientific literature, healthcare utilization databases and market research, and may prove to be incorrect. Further, new studies may change the estimated incidence or prevalence of these diseases. The number of patients may turn out to be lower than expected. Likewise,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and results of operations.</w:t>
      </w:r>
    </w:p>
    <w:p>
      <w:pPr>
        <w:spacing w:after="0" w:line="150"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b w:val="1"/>
          <w:bCs w:val="1"/>
          <w:i w:val="1"/>
          <w:iCs w:val="1"/>
          <w:color w:val="auto"/>
        </w:rPr>
        <w:t>Any product candidates we develop may become subject to unfavorable third-party coverage and reimbursement practices, as well as pricing regulations.</w:t>
      </w:r>
    </w:p>
    <w:p>
      <w:pPr>
        <w:spacing w:after="0" w:line="5"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55"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CMS.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70"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7" w:name="page68"/>
    <w:bookmarkEnd w:id="67"/>
    <w:p>
      <w:pPr>
        <w:ind w:right="200"/>
        <w:spacing w:after="0" w:line="249" w:lineRule="auto"/>
        <w:rPr>
          <w:sz w:val="20"/>
          <w:szCs w:val="20"/>
          <w:color w:val="auto"/>
        </w:rPr>
      </w:pPr>
      <w:r>
        <w:rPr>
          <w:rFonts w:ascii="Arial" w:cs="Arial" w:eastAsia="Arial" w:hAnsi="Arial"/>
          <w:sz w:val="17"/>
          <w:szCs w:val="17"/>
          <w:color w:val="auto"/>
        </w:rPr>
        <w:t>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54"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Furthermore, obtaining coverage and adequate reimbursement for products administered under the supervision of a physician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66"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68"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2"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7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w:t>
      </w:r>
    </w:p>
    <w:p>
      <w:pPr>
        <w:spacing w:after="0" w:line="152"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8" w:name="page69"/>
    <w:bookmarkEnd w:id="68"/>
    <w:p>
      <w:pPr>
        <w:ind w:right="100"/>
        <w:spacing w:after="0" w:line="257" w:lineRule="auto"/>
        <w:rPr>
          <w:sz w:val="20"/>
          <w:szCs w:val="20"/>
          <w:color w:val="auto"/>
        </w:rPr>
      </w:pPr>
      <w:r>
        <w:rPr>
          <w:rFonts w:ascii="Arial" w:cs="Arial" w:eastAsia="Arial" w:hAnsi="Arial"/>
          <w:sz w:val="17"/>
          <w:szCs w:val="17"/>
          <w:color w:val="auto"/>
        </w:rPr>
        <w:t>candidates. Further, if we encounter delays in our clinical trials, the period of time during which we could market our product candidates under patent protection would be reduced.</w:t>
      </w:r>
    </w:p>
    <w:p>
      <w:pPr>
        <w:spacing w:after="0" w:line="14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 party or instituted by the United States Patent and Trademark Office, or USPTO, to determine who was the first to invent any of the subject matter covered by the patent claims of our applications.</w:t>
      </w:r>
    </w:p>
    <w:p>
      <w:pPr>
        <w:spacing w:after="0" w:line="14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66"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53"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58" w:lineRule="exact"/>
        <w:rPr>
          <w:sz w:val="20"/>
          <w:szCs w:val="20"/>
          <w:color w:val="auto"/>
        </w:rPr>
      </w:pPr>
    </w:p>
    <w:p>
      <w:pPr>
        <w:ind w:left="660" w:right="180" w:hanging="331"/>
        <w:spacing w:after="0" w:line="247"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others may be able to make or use compounds or cells that are similar to the biological compositions of our product candidates but that are not covered by the claims of our patents;</w:t>
      </w:r>
    </w:p>
    <w:p>
      <w:pPr>
        <w:ind w:left="660" w:right="120" w:hanging="331"/>
        <w:spacing w:after="0" w:line="247"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active biological ingredients in our current product candidates will eventually become commercially available in biosimilar drug products, and no patent protection may be available with regard to formulation or method of use;</w:t>
      </w:r>
    </w:p>
    <w:p>
      <w:pPr>
        <w:ind w:left="660" w:right="260" w:hanging="331"/>
        <w:spacing w:after="0" w:line="247"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or our licensors, as the case may be, may fail to meet our obligations to the U.S. government in regards to any in-licensed patents and patent applications funded by U.S. government grants, leading to the loss of patent rights;</w:t>
      </w:r>
    </w:p>
    <w:p>
      <w:pPr>
        <w:ind w:left="640" w:hanging="31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we or our licensors, as the case may be, might not have been the first to file patent applications for these inventions;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our pending patent applications will not result in issued patents;</w:t>
      </w:r>
    </w:p>
    <w:p>
      <w:pPr>
        <w:spacing w:after="0" w:line="5" w:lineRule="exact"/>
        <w:rPr>
          <w:rFonts w:ascii="Arial" w:cs="Arial" w:eastAsia="Arial" w:hAnsi="Arial"/>
          <w:sz w:val="17"/>
          <w:szCs w:val="17"/>
          <w:color w:val="auto"/>
        </w:rPr>
      </w:pPr>
    </w:p>
    <w:p>
      <w:pPr>
        <w:ind w:left="660" w:right="220" w:hanging="331"/>
        <w:spacing w:after="0" w:line="247"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there are prior public disclosures that could invalidate our or our licensors’ patents, as the case may be, or parts of our or their patents;</w:t>
      </w:r>
    </w:p>
    <w:p>
      <w:pPr>
        <w:ind w:left="640" w:hanging="31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others may circumvent our owned or in-licensed patents;</w:t>
      </w:r>
    </w:p>
    <w:p>
      <w:pPr>
        <w:spacing w:after="0" w:line="5" w:lineRule="exact"/>
        <w:rPr>
          <w:rFonts w:ascii="Arial" w:cs="Arial" w:eastAsia="Arial" w:hAnsi="Arial"/>
          <w:sz w:val="17"/>
          <w:szCs w:val="17"/>
          <w:color w:val="auto"/>
        </w:rPr>
      </w:pPr>
    </w:p>
    <w:p>
      <w:pPr>
        <w:ind w:left="660" w:right="260" w:hanging="331"/>
        <w:spacing w:after="0" w:line="247"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possible that there are unpublished applications or patent applications maintained in secrecy that may later issue with claims covering our products or technology similar to ours;</w:t>
      </w:r>
    </w:p>
    <w:p>
      <w:pPr>
        <w:ind w:left="660" w:right="260" w:hanging="331"/>
        <w:spacing w:after="0" w:line="247"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laws of foreign countries may not protect our or our licensors’, as the case may be, proprietary rights to the same extent as the laws of the United States;</w:t>
      </w:r>
    </w:p>
    <w:p>
      <w:pPr>
        <w:ind w:left="640" w:hanging="311"/>
        <w:spacing w:after="0"/>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claims of our owned or in-licensed issued patents or patent applications, if and when issued, may not cover our product candidates;</w:t>
      </w:r>
    </w:p>
    <w:p>
      <w:pPr>
        <w:spacing w:after="0" w:line="5" w:lineRule="exact"/>
        <w:rPr>
          <w:rFonts w:ascii="Arial" w:cs="Arial" w:eastAsia="Arial" w:hAnsi="Arial"/>
          <w:sz w:val="17"/>
          <w:szCs w:val="17"/>
          <w:color w:val="auto"/>
        </w:rPr>
      </w:pPr>
    </w:p>
    <w:p>
      <w:pPr>
        <w:ind w:left="660" w:right="160" w:hanging="331"/>
        <w:spacing w:after="0" w:line="247"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owned or in-licensed issued patents may not provide us with any competitive advantages, may be narrowed in scope, or be held invalid or unenforceable as a result of legal challenges by third parties;</w:t>
      </w:r>
    </w:p>
    <w:p>
      <w:pPr>
        <w:ind w:left="660" w:right="540" w:hanging="331"/>
        <w:spacing w:after="0" w:line="252" w:lineRule="auto"/>
        <w:tabs>
          <w:tab w:leader="none" w:pos="65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69" w:name="page70"/>
    <w:bookmarkEnd w:id="69"/>
    <w:p>
      <w:pPr>
        <w:ind w:left="660" w:right="180" w:hanging="331"/>
        <w:spacing w:after="0" w:line="247" w:lineRule="auto"/>
        <w:tabs>
          <w:tab w:leader="none" w:pos="6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ind w:left="660" w:right="100" w:hanging="331"/>
        <w:spacing w:after="0" w:line="247" w:lineRule="auto"/>
        <w:tabs>
          <w:tab w:leader="none" w:pos="6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have engaged in scientific collaborations in the past, and will continue to do so in the future. Such collaborators may develop adjacent or competing products to ours that are outside the scope of our patents;</w:t>
      </w:r>
    </w:p>
    <w:p>
      <w:pPr>
        <w:ind w:left="640" w:hanging="311"/>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for which we can obtain patent protection;</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product candidates or diagnostic tests we develop may be covered by third parties’ patents or other exclusive rights; or</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47" w:lineRule="exact"/>
        <w:rPr>
          <w:sz w:val="20"/>
          <w:szCs w:val="20"/>
          <w:color w:val="auto"/>
        </w:rPr>
      </w:pPr>
    </w:p>
    <w:p>
      <w:pPr>
        <w:ind w:right="840"/>
        <w:spacing w:after="0" w:line="281" w:lineRule="auto"/>
        <w:rPr>
          <w:sz w:val="20"/>
          <w:szCs w:val="20"/>
          <w:color w:val="auto"/>
        </w:rPr>
      </w:pPr>
      <w:r>
        <w:rPr>
          <w:rFonts w:ascii="Arial" w:cs="Arial" w:eastAsia="Arial" w:hAnsi="Arial"/>
          <w:sz w:val="17"/>
          <w:szCs w:val="17"/>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5"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We are dependent on patents, know-how and proprietary technology, both our own and licensed from others. Any termination of these licenses could result in the loss of significant rights and could harm our ability to commercialize our product candidates. See the section titled “Business— Collaborations and License Agreement” set forth in Part I, Item 1 of this Annual Report on Form 10-K for additional information regarding our license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Disputes may also arise between us and our licensors regarding intellectual property subject to a license agreement, including:</w:t>
      </w:r>
    </w:p>
    <w:p>
      <w:pPr>
        <w:spacing w:after="0" w:line="167" w:lineRule="exact"/>
        <w:rPr>
          <w:sz w:val="20"/>
          <w:szCs w:val="20"/>
          <w:color w:val="auto"/>
        </w:rPr>
      </w:pPr>
    </w:p>
    <w:p>
      <w:pPr>
        <w:ind w:left="660" w:right="700" w:hanging="331"/>
        <w:spacing w:after="0" w:line="247" w:lineRule="auto"/>
        <w:tabs>
          <w:tab w:leader="none" w:pos="6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ind w:left="640" w:hanging="311"/>
        <w:spacing w:after="0"/>
        <w:tabs>
          <w:tab w:leader="none" w:pos="6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5" w:lineRule="exact"/>
        <w:rPr>
          <w:rFonts w:ascii="Arial" w:cs="Arial" w:eastAsia="Arial" w:hAnsi="Arial"/>
          <w:sz w:val="17"/>
          <w:szCs w:val="17"/>
          <w:color w:val="auto"/>
        </w:rPr>
      </w:pPr>
    </w:p>
    <w:p>
      <w:pPr>
        <w:ind w:left="660" w:right="520" w:hanging="331"/>
        <w:spacing w:after="0" w:line="247" w:lineRule="auto"/>
        <w:tabs>
          <w:tab w:leader="none" w:pos="6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candidates, and what activities satisfy those diligence obligations; and</w:t>
      </w:r>
    </w:p>
    <w:p>
      <w:pPr>
        <w:ind w:left="660" w:right="60" w:hanging="331"/>
        <w:spacing w:after="0" w:line="257" w:lineRule="auto"/>
        <w:tabs>
          <w:tab w:leader="none" w:pos="6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inventorship or ownership of inventions and know-how resulting from the joint creation or use of intellectual property by our licensors and us and our partners.</w:t>
      </w:r>
    </w:p>
    <w:p>
      <w:pPr>
        <w:spacing w:after="0" w:line="158"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129"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i w:val="1"/>
          <w:iCs w:val="1"/>
          <w:color w:val="auto"/>
        </w:rPr>
        <w:t>If we fail to comply with our obligations under our patent license with a third party, we could lose license rights that are important to our business.</w:t>
      </w:r>
    </w:p>
    <w:p>
      <w:pPr>
        <w:spacing w:after="0" w:line="5"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166"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6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addition to patent protection, we rely heavily upon know-how and to some extent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 party with authorized access, provide adequate protection for our proprietary information. Our security</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0" w:name="page71"/>
    <w:bookmarkEnd w:id="70"/>
    <w:p>
      <w:pPr>
        <w:jc w:val="both"/>
        <w:ind w:right="60"/>
        <w:spacing w:after="0" w:line="249" w:lineRule="auto"/>
        <w:rPr>
          <w:sz w:val="20"/>
          <w:szCs w:val="20"/>
          <w:color w:val="auto"/>
        </w:rPr>
      </w:pPr>
      <w:r>
        <w:rPr>
          <w:rFonts w:ascii="Arial" w:cs="Arial" w:eastAsia="Arial" w:hAnsi="Arial"/>
          <w:sz w:val="17"/>
          <w:szCs w:val="17"/>
          <w:color w:val="auto"/>
        </w:rPr>
        <w:t>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67"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product discovery and development efforts.</w:t>
      </w:r>
    </w:p>
    <w:p>
      <w:pPr>
        <w:spacing w:after="0" w:line="53"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If a third-party claims that we infringe its intellectual property rights, we may face a number of issues, including, but not limited to:</w:t>
      </w:r>
    </w:p>
    <w:p>
      <w:pPr>
        <w:spacing w:after="0" w:line="180" w:lineRule="exact"/>
        <w:rPr>
          <w:sz w:val="20"/>
          <w:szCs w:val="20"/>
          <w:color w:val="auto"/>
        </w:rPr>
      </w:pPr>
    </w:p>
    <w:p>
      <w:pPr>
        <w:ind w:left="660" w:right="340" w:hanging="331"/>
        <w:spacing w:after="0" w:line="247" w:lineRule="auto"/>
        <w:tabs>
          <w:tab w:leader="none" w:pos="6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regardless of merit, may be expensive and time-consuming to litigate and may divert our management’s attention from our core business;</w:t>
      </w:r>
    </w:p>
    <w:p>
      <w:pPr>
        <w:ind w:left="660" w:right="460" w:hanging="331"/>
        <w:spacing w:after="0" w:line="247" w:lineRule="auto"/>
        <w:tabs>
          <w:tab w:leader="none" w:pos="6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ind w:left="660" w:right="960" w:hanging="331"/>
        <w:spacing w:after="0" w:line="247" w:lineRule="auto"/>
        <w:tabs>
          <w:tab w:leader="none" w:pos="6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court prohibiting us from developing, manufacturing, marketing or selling our product candidates, or from using our proprietary technologies, unless the third party licenses its product rights to us, which it is not required to do;</w:t>
      </w:r>
    </w:p>
    <w:p>
      <w:pPr>
        <w:ind w:left="660" w:right="400" w:hanging="331"/>
        <w:spacing w:after="0" w:line="247" w:lineRule="auto"/>
        <w:tabs>
          <w:tab w:leader="none" w:pos="6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 license is available from a third party, we may have to pay substantial royalties, upfront fees and other amounts, and/or grant cross-licenses to intellectual property rights for our products; and</w:t>
      </w:r>
    </w:p>
    <w:p>
      <w:pPr>
        <w:ind w:left="660" w:right="300" w:hanging="331"/>
        <w:spacing w:after="0" w:line="257" w:lineRule="auto"/>
        <w:tabs>
          <w:tab w:leader="none" w:pos="653"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redesigning our product candidates or processes so they do not infringe, which may not be possible or may require substantial monetary expenditures and time.</w:t>
      </w:r>
    </w:p>
    <w:p>
      <w:pPr>
        <w:spacing w:after="0" w:line="145"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72" w:right="399" w:bottom="1440" w:gutter="0" w:footer="0" w:header="0"/>
        </w:sectPr>
      </w:pPr>
    </w:p>
    <w:bookmarkStart w:id="71" w:name="page72"/>
    <w:bookmarkEnd w:id="71"/>
    <w:p>
      <w:pPr>
        <w:spacing w:after="0" w:line="247" w:lineRule="auto"/>
        <w:rPr>
          <w:sz w:val="20"/>
          <w:szCs w:val="20"/>
          <w:color w:val="auto"/>
        </w:rPr>
      </w:pPr>
      <w:r>
        <w:rPr>
          <w:rFonts w:ascii="Arial" w:cs="Arial" w:eastAsia="Arial" w:hAnsi="Arial"/>
          <w:sz w:val="17"/>
          <w:szCs w:val="17"/>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KER-050, KER-047, KER-012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our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68"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Lastly, we may need to indemnify our customers and distributors against claims relating to the infringement of intellectual property rights of third parties related to our product candidates, including KER-050, KER-047 and KER-012.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14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Third parties may assert that our employees or consultants have wrongfully used or disclosed confidential information or misappropriated trade secrets.</w:t>
      </w:r>
    </w:p>
    <w:p>
      <w:pPr>
        <w:spacing w:after="0" w:line="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universities or other biopharmaceutical or 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72" w:name="page73"/>
    <w:bookmarkEnd w:id="72"/>
    <w:p>
      <w:pPr>
        <w:ind w:right="360"/>
        <w:spacing w:after="0" w:line="252" w:lineRule="auto"/>
        <w:rPr>
          <w:sz w:val="20"/>
          <w:szCs w:val="20"/>
          <w:color w:val="auto"/>
        </w:rPr>
      </w:pPr>
      <w:r>
        <w:rPr>
          <w:rFonts w:ascii="Arial" w:cs="Arial" w:eastAsia="Arial" w:hAnsi="Arial"/>
          <w:sz w:val="17"/>
          <w:szCs w:val="17"/>
          <w:color w:val="auto"/>
        </w:rPr>
        <w:t>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develop any future product candidates on acceptable terms.</w:t>
      </w:r>
    </w:p>
    <w:p>
      <w:pPr>
        <w:spacing w:after="0" w:line="6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5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product candidates may also require specific formulations to work effectively and efficiently and these rights may be held by others. We may develop products containing our compounds and pre-existing pharmaceutical compounds.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4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46" w:lineRule="exact"/>
        <w:rPr>
          <w:sz w:val="20"/>
          <w:szCs w:val="20"/>
          <w:color w:val="auto"/>
        </w:rPr>
      </w:pPr>
    </w:p>
    <w:p>
      <w:pPr>
        <w:ind w:right="820"/>
        <w:spacing w:after="0" w:line="275"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which could be expensive, time-consuming and unsuccessful.</w:t>
      </w:r>
    </w:p>
    <w:p>
      <w:pPr>
        <w:spacing w:after="0" w:line="2"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5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73" w:name="page74"/>
    <w:bookmarkEnd w:id="73"/>
    <w:p>
      <w:pPr>
        <w:ind w:right="40"/>
        <w:spacing w:after="0" w:line="249" w:lineRule="auto"/>
        <w:rPr>
          <w:sz w:val="20"/>
          <w:szCs w:val="20"/>
          <w:color w:val="auto"/>
        </w:rPr>
      </w:pPr>
      <w:r>
        <w:rPr>
          <w:rFonts w:ascii="Arial" w:cs="Arial" w:eastAsia="Arial" w:hAnsi="Arial"/>
          <w:sz w:val="17"/>
          <w:szCs w:val="17"/>
          <w:color w:val="auto"/>
        </w:rPr>
        <w:t>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5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4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including due to the effect of the COVID-19 pandemic on us or our licensors’ patent maintenance vendors,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Issued patents covering our product candidates could be found invalid or unenforceable if challenged in court or the USPTO.</w:t>
      </w:r>
    </w:p>
    <w:p>
      <w:pPr>
        <w:spacing w:after="0" w:line="6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41"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Moreover, the patents included in our patent portfolio may expire before, or soon after, our first product achieves marketing approval in the United States or foreign jurisdictions. For example, the patents related to novel ALK2 inhibitors in the patent family that we license from The General Hospital Corporation are expected to expire in April 2038, without taking into account any possible patent term adjustments or extensions.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2042, without taking into account any possible patent term adjustments or extensions. However, we cannot be assured that the USPTO or relevant foreign patent offices will grant any of these patent applications.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4" w:name="page75"/>
    <w:bookmarkEnd w:id="74"/>
    <w:p>
      <w:pPr>
        <w:ind w:right="20"/>
        <w:spacing w:after="0" w:line="275" w:lineRule="auto"/>
        <w:rPr>
          <w:sz w:val="20"/>
          <w:szCs w:val="20"/>
          <w:color w:val="auto"/>
        </w:rPr>
      </w:pPr>
      <w:r>
        <w:rPr>
          <w:rFonts w:ascii="Arial" w:cs="Arial" w:eastAsia="Arial" w:hAnsi="Arial"/>
          <w:sz w:val="17"/>
          <w:szCs w:val="17"/>
          <w:b w:val="1"/>
          <w:bCs w:val="1"/>
          <w:i w:val="1"/>
          <w:iCs w:val="1"/>
          <w:color w:val="auto"/>
        </w:rPr>
        <w:t>Changes in patent law in the U.S. and in ex-U.S. jurisdictions could diminish the value of patents in general, thereby impairing our ability to protect our products.</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Arial" w:cs="Arial" w:eastAsia="Arial" w:hAnsi="Arial"/>
          <w:sz w:val="17"/>
          <w:szCs w:val="17"/>
          <w:i w:val="1"/>
          <w:iCs w:val="1"/>
          <w:color w:val="auto"/>
        </w:rPr>
        <w:t>Amgen Inc. v. Sanofi</w:t>
      </w:r>
      <w:r>
        <w:rPr>
          <w:rFonts w:ascii="Arial" w:cs="Arial" w:eastAsia="Arial" w:hAnsi="Arial"/>
          <w:sz w:val="17"/>
          <w:szCs w:val="17"/>
          <w:color w:val="auto"/>
        </w:rPr>
        <w:t xml:space="preserve">, the Federal Circuit held that a well-characterized antigen is insufficient to satisfy the written description requirement of certain claims directed to a genus of antibodies that are solely defined by function; and in the case of Assoc. for </w:t>
      </w:r>
      <w:r>
        <w:rPr>
          <w:rFonts w:ascii="Arial" w:cs="Arial" w:eastAsia="Arial" w:hAnsi="Arial"/>
          <w:sz w:val="17"/>
          <w:szCs w:val="17"/>
          <w:i w:val="1"/>
          <w:iCs w:val="1"/>
          <w:color w:val="auto"/>
        </w:rPr>
        <w:t>Molecular Pathology v. Myriad Genetics, Inc</w:t>
      </w:r>
      <w:r>
        <w:rPr>
          <w:rFonts w:ascii="Arial" w:cs="Arial" w:eastAsia="Arial" w:hAnsi="Arial"/>
          <w:sz w:val="17"/>
          <w:szCs w:val="17"/>
          <w:color w:val="auto"/>
        </w:rPr>
        <w:t>., the U.S. Supreme Court held that certain claims to DNA molecules are not patentable. We cannot predict how 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157"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auto"/>
        </w:rPr>
        <w:t>Some of our in-licensed intellectual property that was discovered through government-funded programs may be subject to federal regulation such as “march-in” rights, certain reporting requirements and a preference for U.S. industry. Compliance with such regulations may limit our exclusive rights, subject us to expenditure of resources with respect to reporting requirements and limit our ability to contract with foreign manufacturers.</w:t>
      </w:r>
    </w:p>
    <w:p>
      <w:pPr>
        <w:spacing w:after="0" w:line="25"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At least one of our in-licensed patent cases related to our KER-047 product candidate has been funded in part by the U.S. government and, therefore, is subject to certain federal regulations pursuant to the Bayh-Dole Act of 1980, or the Bayh-Dole Act, and it is possible that additional patent filings we may choose to in-license in the future may also be subject to similar regulations. In particular, the federal government retains a “nonexclusive, nontransferable, irrevocable, paid-up license” for its own benefit to inventions produced with its financial assistance.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Intellectual property discovered under government-funded programs are also subject to certain reporting requirements, compliance with which may require us or our licensors to expend substantial resources. Such intellectual property is also subject to a preference for U.S. industry, which may limit our ability to contract with foreign product manufacturers for products covered by such intellectual property. Moreover, we sometimes collaborate with academic institutions to accelerate our preclinical research or development. While it is our policy to avoid engaging our university partners in projects in which there is a risk that federal funds may be commingled, we cannot be sure that any co-developed intellectual property will be free from government rights pursuant to the Bayh-Dole Act. Further, we may choose to license intellectual property in the future that may be subject to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foreign intellectual property rights and may not be able to protect our intellectual property rights throughout the world.</w:t>
      </w:r>
    </w:p>
    <w:p>
      <w:pPr>
        <w:spacing w:after="0" w:line="6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 Also,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76"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75" w:name="page76"/>
    <w:bookmarkEnd w:id="75"/>
    <w:p>
      <w:pPr>
        <w:ind w:right="80"/>
        <w:spacing w:after="0" w:line="248" w:lineRule="auto"/>
        <w:rPr>
          <w:sz w:val="20"/>
          <w:szCs w:val="20"/>
          <w:color w:val="auto"/>
        </w:rPr>
      </w:pPr>
      <w:r>
        <w:rPr>
          <w:rFonts w:ascii="Arial" w:cs="Arial" w:eastAsia="Arial" w:hAnsi="Arial"/>
          <w:sz w:val="17"/>
          <w:szCs w:val="17"/>
          <w:color w:val="auto"/>
        </w:rPr>
        <w:t>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5"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patents, and we may be unable to protect our rights to our products and technology.</w:t>
      </w:r>
    </w:p>
    <w:p>
      <w:pPr>
        <w:spacing w:after="0" w:line="5"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52"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6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 xml:space="preserve">If another party questions the patentability of any of our claims in our owned or in-licensed U.S. patents, the third-party can request that the USPTO review the patent claims such as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66"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76" w:name="page77"/>
    <w:bookmarkEnd w:id="76"/>
    <w:p>
      <w:pPr>
        <w:ind w:right="60"/>
        <w:spacing w:after="0" w:line="275" w:lineRule="auto"/>
        <w:rPr>
          <w:sz w:val="20"/>
          <w:szCs w:val="20"/>
          <w:color w:val="auto"/>
        </w:rPr>
      </w:pPr>
      <w:r>
        <w:rPr>
          <w:rFonts w:ascii="Arial" w:cs="Arial" w:eastAsia="Arial" w:hAnsi="Arial"/>
          <w:sz w:val="17"/>
          <w:szCs w:val="17"/>
          <w:b w:val="1"/>
          <w:bCs w:val="1"/>
          <w:i w:val="1"/>
          <w:iCs w:val="1"/>
          <w:color w:val="auto"/>
        </w:rPr>
        <w:t>If we do not obtain patent term extension and data exclusivity for any product candidates we may develop, our business may be materially harmed.</w:t>
      </w:r>
    </w:p>
    <w:p>
      <w:pPr>
        <w:spacing w:after="0" w:line="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46" w:lineRule="exact"/>
        <w:rPr>
          <w:sz w:val="20"/>
          <w:szCs w:val="20"/>
          <w:color w:val="auto"/>
        </w:rPr>
      </w:pPr>
    </w:p>
    <w:p>
      <w:pPr>
        <w:ind w:right="480"/>
        <w:spacing w:after="0" w:line="281"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2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or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77"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77" w:name="page78"/>
    <w:bookmarkEnd w:id="77"/>
    <w:p>
      <w:pPr>
        <w:ind w:right="100"/>
        <w:spacing w:after="0" w:line="252"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4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COVID-19 pandemic and government measures taken in response have also had a significant impact on our CROs, and we expect that they will face further disruption which may affect our ability to initiate and complete our preclinical studies and clinical trials.</w:t>
      </w:r>
    </w:p>
    <w:p>
      <w:pPr>
        <w:spacing w:after="0" w:line="158"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6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5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146"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b w:val="1"/>
          <w:bCs w:val="1"/>
          <w:i w:val="1"/>
          <w:iCs w:val="1"/>
          <w:color w:val="auto"/>
        </w:rPr>
        <w:t>We rely on third parties to supply and manufacture our product candidates, and we expect to continue to rely on third parties to manufacture our products, if approved. The development of such product candidates and the commercialization of any products, if approved, could be stopped, delayed or made less profitable if any such third party fails to provide us with sufficient quantities of product candidates or products or fails to do so at acceptable quality levels or prices or fails to maintain or achieve satisfactory regulatory compliance.</w:t>
      </w:r>
    </w:p>
    <w:p>
      <w:pPr>
        <w:spacing w:after="0" w:line="28"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do not currently have the infrastructure or capability internally to manufacture our product candidates for use in the conduct of our preclinical studies and clinical trials or for commercial supply, if our products are approved. We rely on, and expect to continue to rely on, contract manufacturing organizations, or CMOs. Any replacement of our CMOs could require significant effort and expertise because there may be a limited number of qualified CMOs. This could be particularly problematic where we rely on a single-source supplier, as is currently the case for the manufacture of each of KER-050, KER-047 and KER-012.</w:t>
      </w:r>
    </w:p>
    <w:p>
      <w:pPr>
        <w:spacing w:after="0" w:line="154"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Reliance on third-party providers may expose us to more risk than if we were to manufacture our product candidates ourselves. We are dependent on our CMOs for the production of our product candidates in accordance with relevant regulations, such as cGMP, which includes, among other things, quality control, quality assurance and the maintenance of records and documentation. Moreover, many of the third parties with whom we contract may also have relationships with other commercial entities, including our competitors, for whom they may also be conducting product development activities that could harm our competitive position.</w:t>
      </w:r>
    </w:p>
    <w:p>
      <w:pPr>
        <w:spacing w:after="0" w:line="16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If we were to experience an unexpected loss of supply of or if any supplier were unable to meet our demand for any of our product candidates, we could experience delays in our research or planned clinical trials or commercialization.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We could be unable to find alternative suppliers of acceptable quality, in the appropriate volumes and at an acceptable cost. Moreover, our suppliers are often subject to strict manufacturing requirements and rigorous testing requirements, which could limit or delay production. Any changes in regulatory requirements, policy and guidelines, including the imposition of additional regulatory oversight around manufacturing and testing requirements generally or with respect to our technology in particular, could also limit or delay production. The long transition periods necessary to switch manufacturers and suppliers, if necessary, could significantly delay our clinical studies and the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commercialization of our products, if approved, which could materially adversely affect our business, financial condition and results of operation.</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In complying with the applicable manufacturing regulations of the FDA and comparable foreign regulatory authorities, we and our third-party suppliers must spend significant time, money and effort in the areas of design and development, testing, production, record-keeping and quality control to assure that the products meet applicable specifications and other regulatory requirements. The facilities used by our contract manufacturers to manufacture our product candidates are subject to review by the FDA pursuant to inspections that will be conducted after we submit our NDA or BLA to the FDA. We do not control the manufacturing process of, and are completely dependent on, our contract manufacturing partners for compliance with cGMP requirements for manufacture of drug and biologic products. If our contract manufacturers cannot successfully manufacture material that conforms to our specifications and the strict regulatory requirements of the FDA or others, we will not be able to secure or maintain regulatory approval for our product candidates manufactured at these manufacturing facilities. In addition, we have no control over the ability of our contract manufacturers to maintain adequate quality control, quality assurance and qualified personnel. If the FDA or a comparable foreign regulatory agency does not approve these facilities for the manufacture of our product candidates or if any agency withdraws its approval in the future, we and they may need to find alternative manufacturing facilities, which would negatively impact the ability to develop, obtain regulatory approval for or market our product candidates, if approved. The failure of our manufacturers to comply with regulatory requirements could also result in an enforcement action against us, including the seizure of products and shutting down of production. If any of our third-party suppliers fails to comply with cGMP or other applicable manufacturing regulations, our ability to develop and commercialize the products could suffer significant interruptions. We face risks inherent in relying on a single CMO, as any disruption, such as a fire, natural hazards or vandalism at the CMO could significantly interrupt our manufacturing capability. All of our CMOs currently do not have alternative production plans in place or disaster-recovery facilities available. In case of a disruption, we will have to establish alternative manufacturing sources. This would require substantial capital on our part, which we may not be able to obtain on commercially acceptable terms or at all. Additionally, we would likely experience months of manufacturing delays as the CMO builds or locates replacement facilities and seeks and obtains necessary regulatory approvals. If this occurs, we will be unable to satisfy manufacturing needs on a timely basis, if at all.</w:t>
      </w:r>
    </w:p>
    <w:p>
      <w:pPr>
        <w:spacing w:after="0" w:line="157" w:lineRule="exact"/>
        <w:rPr>
          <w:sz w:val="20"/>
          <w:szCs w:val="20"/>
          <w:color w:val="auto"/>
        </w:rPr>
      </w:pPr>
    </w:p>
    <w:p>
      <w:pPr>
        <w:spacing w:after="0" w:line="264" w:lineRule="auto"/>
        <w:rPr>
          <w:sz w:val="20"/>
          <w:szCs w:val="20"/>
          <w:color w:val="auto"/>
        </w:rPr>
      </w:pPr>
      <w:r>
        <w:rPr>
          <w:rFonts w:ascii="Arial" w:cs="Arial" w:eastAsia="Arial" w:hAnsi="Arial"/>
          <w:sz w:val="17"/>
          <w:szCs w:val="17"/>
          <w:b w:val="1"/>
          <w:bCs w:val="1"/>
          <w:i w:val="1"/>
          <w:iCs w:val="1"/>
          <w:color w:val="auto"/>
        </w:rPr>
        <w:t>We are dependent on our existing third-party collaboration with Hansoh to commercialize KER-050 within the territories of mainland China, Hong Kong and Macau, and if Hansoh is not successful in commercializing KER-050 in these areas, we will lose a significant source of potential revenue.</w:t>
      </w:r>
    </w:p>
    <w:p>
      <w:pPr>
        <w:spacing w:after="0" w:line="1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currently have a license agreement with Hansoh who will pay us milestone payments upon the achievement of specified development and commercial milestones. In addition, if KER-050, or a licensed product containing KER-050, is approved for marketing within the territories of mainland China, Hong Kong and Macau, which we refer to collectively as the Territory, we will be entitled to receive royalty payments based on a tiered percentage of annual net sales in each region within the Territory, with such percentage ranging from the low double digit to high teens, subject to specified potential royalty reductions. We are relying on Hansoh to commercialize KER-050 in the Territory, and if Hansoh is not able to commercialize KER-050 in those countries, or determines not to pursue development or commercialization of KER-050 in those countries, we will not receive any milestone or royalty payments under the agreement.</w:t>
      </w:r>
    </w:p>
    <w:p>
      <w:pPr>
        <w:spacing w:after="0" w:line="7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Any future collaborations we enter into may pose a number of risks, including, but not limited to, the following:</w:t>
      </w:r>
    </w:p>
    <w:p>
      <w:pPr>
        <w:spacing w:after="0" w:line="180" w:lineRule="exact"/>
        <w:rPr>
          <w:sz w:val="20"/>
          <w:szCs w:val="20"/>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may not perform their obligations as expected;</w:t>
      </w:r>
    </w:p>
    <w:p>
      <w:pPr>
        <w:spacing w:after="0" w:line="5" w:lineRule="exact"/>
        <w:rPr>
          <w:rFonts w:ascii="Arial" w:cs="Arial" w:eastAsia="Arial" w:hAnsi="Arial"/>
          <w:sz w:val="17"/>
          <w:szCs w:val="17"/>
          <w:color w:val="auto"/>
        </w:rPr>
      </w:pPr>
    </w:p>
    <w:p>
      <w:pPr>
        <w:ind w:left="660" w:right="120" w:hanging="331"/>
        <w:spacing w:after="0" w:line="247" w:lineRule="auto"/>
        <w:tabs>
          <w:tab w:leader="none" w:pos="6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ind w:left="660" w:right="680" w:hanging="331"/>
        <w:spacing w:after="0" w:line="247" w:lineRule="auto"/>
        <w:tabs>
          <w:tab w:leader="none" w:pos="6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ind w:left="660" w:right="280" w:hanging="331"/>
        <w:spacing w:after="0" w:line="252" w:lineRule="auto"/>
        <w:tabs>
          <w:tab w:leader="none" w:pos="653"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79" w:name="page80"/>
    <w:bookmarkEnd w:id="79"/>
    <w:p>
      <w:pPr>
        <w:ind w:left="660" w:right="100" w:hanging="331"/>
        <w:spacing w:after="0" w:line="247" w:lineRule="auto"/>
        <w:tabs>
          <w:tab w:leader="none" w:pos="6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ind w:left="660" w:right="20" w:hanging="331"/>
        <w:spacing w:after="0" w:line="247" w:lineRule="auto"/>
        <w:tabs>
          <w:tab w:leader="none" w:pos="6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fail to comply with applicable regulatory requirements regarding the development, manufacture, distribution or marketing of a product candidate or product;</w:t>
      </w:r>
    </w:p>
    <w:p>
      <w:pPr>
        <w:ind w:left="660" w:right="580" w:hanging="331"/>
        <w:spacing w:after="0" w:line="247" w:lineRule="auto"/>
        <w:tabs>
          <w:tab w:leader="none" w:pos="6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with marketing and distribution rights to one or more of our product candidates that achieve regulatory approval may not commit sufficient resources to the marketing and distribution of such product or products;</w:t>
      </w:r>
    </w:p>
    <w:p>
      <w:pPr>
        <w:ind w:left="660" w:right="300" w:hanging="331"/>
        <w:spacing w:after="0" w:line="247" w:lineRule="auto"/>
        <w:tabs>
          <w:tab w:leader="none" w:pos="6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ind w:left="660" w:right="160" w:hanging="331"/>
        <w:spacing w:after="0" w:line="247" w:lineRule="auto"/>
        <w:tabs>
          <w:tab w:leader="none" w:pos="6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ind w:left="640" w:hanging="311"/>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5" w:lineRule="exact"/>
        <w:rPr>
          <w:rFonts w:ascii="Arial" w:cs="Arial" w:eastAsia="Arial" w:hAnsi="Arial"/>
          <w:sz w:val="17"/>
          <w:szCs w:val="17"/>
          <w:color w:val="auto"/>
        </w:rPr>
      </w:pPr>
    </w:p>
    <w:p>
      <w:pPr>
        <w:ind w:left="660" w:right="720" w:hanging="331"/>
        <w:spacing w:after="0" w:line="247" w:lineRule="auto"/>
        <w:tabs>
          <w:tab w:leader="none" w:pos="6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a collaborator of ours is involved in a business combination, the collaborator might de-emphasize or terminate the development or commercialization of any product candidate licensed to it by us; and</w:t>
      </w:r>
    </w:p>
    <w:p>
      <w:pPr>
        <w:ind w:left="660" w:right="360" w:hanging="331"/>
        <w:spacing w:after="0" w:line="257" w:lineRule="auto"/>
        <w:tabs>
          <w:tab w:leader="none" w:pos="6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collaborations may be terminated by the collaborator, and, if terminated, we could be required to raise additional capital to pursue further development or commercialization of the applicable product candidates.</w:t>
      </w:r>
    </w:p>
    <w:p>
      <w:pPr>
        <w:spacing w:after="0" w:line="145"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Annual Report on Form 10-K also apply to the activities of our therapeutic collaborators.</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58"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5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46"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5"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From time to time, we may evaluate various acquisition opportunities and strategic collaborations, including licensing or acquiring complementary products, intellectual property rights, technologies or businesses. Any potential acquisition or strategic collaboration may entail numerous risks, including:</w:t>
      </w:r>
    </w:p>
    <w:p>
      <w:pPr>
        <w:spacing w:after="0" w:line="149" w:lineRule="exact"/>
        <w:rPr>
          <w:sz w:val="20"/>
          <w:szCs w:val="20"/>
          <w:color w:val="auto"/>
        </w:rPr>
      </w:pPr>
    </w:p>
    <w:p>
      <w:pPr>
        <w:ind w:left="640" w:hanging="31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increased operating expenses and cash requirements;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assumption of additional indebtedness or contingent liabilities;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issuance of our equity securities;</w:t>
      </w:r>
    </w:p>
    <w:p>
      <w:pPr>
        <w:spacing w:after="0" w:line="5" w:lineRule="exact"/>
        <w:rPr>
          <w:rFonts w:ascii="Arial" w:cs="Arial" w:eastAsia="Arial" w:hAnsi="Arial"/>
          <w:sz w:val="17"/>
          <w:szCs w:val="17"/>
          <w:color w:val="auto"/>
        </w:rPr>
      </w:pPr>
    </w:p>
    <w:p>
      <w:pPr>
        <w:ind w:left="660" w:right="280" w:hanging="331"/>
        <w:spacing w:after="0" w:line="247" w:lineRule="auto"/>
        <w:tabs>
          <w:tab w:leader="none" w:pos="6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assimilation of operations, intellectual property and products of an acquired company, including difficulties associated with integrating new personnel;</w:t>
      </w:r>
    </w:p>
    <w:p>
      <w:pPr>
        <w:ind w:left="640" w:hanging="31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diversion of our management’s attention from our existing programs and initiatives in pursuing such a strategic merger or acquisition;</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0" w:name="page81"/>
    <w:bookmarkEnd w:id="80"/>
    <w:p>
      <w:pPr>
        <w:ind w:left="660" w:right="120" w:hanging="331"/>
        <w:spacing w:after="0" w:line="247" w:lineRule="auto"/>
        <w:tabs>
          <w:tab w:leader="none" w:pos="6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marketing approvals; and</w:t>
      </w:r>
    </w:p>
    <w:p>
      <w:pPr>
        <w:ind w:left="660" w:right="100" w:hanging="331"/>
        <w:spacing w:after="0" w:line="257" w:lineRule="auto"/>
        <w:tabs>
          <w:tab w:leader="none" w:pos="653"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In addition, if we undertake acquisitions or pursue collaborations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 Matters, Managing Our Growth and Other Risks Relating to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the timing or results of our preclinical studies and clinical trials.</w:t>
      </w:r>
    </w:p>
    <w:p>
      <w:pPr>
        <w:spacing w:after="0" w:line="6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Since December 2019, a novel strain of coronavirus, COVID-19, has spread worldwide, including the United States, Australia and New Zealand, where we have planned or ongoing preclinical studies and clinical trials. On March 11, 2020, the World Health Organization declared the outbreak of COVID-19 as a global pandemic. On March 23, 2020, the governor of Massachusetts ordered the closure of all non-essential businesses effective March 24, 2020, through April 7, 2020, which was subsequently extended through May 18, 2020. On May 29, 2021, the Commonwealth of Massachusetts permitted all industries to fully re-open and on June 15, 2021, the governor of Massachusetts signed an executive order that terminated the Commonwealth's State of Emergency. Because of the nature of our operations, we are considered to be an essential business so, to date, our operations have only been partially affected by these orders.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principal executive office in March 2020, with our administrative employees continuing their work outside of our office, and limited the number of staff in any given research and development laboratory. In July 2021, we implemented a plan to reopen our office to allow employees to return to the office, which is based on a phased approach that is principles-based and local in design, with a focus on continuity of preclinical studies and clinical trial activities, employee safety and optimal work environment. If COVID-19 continues to spread in the United States, Australia, New Zealand and other countries, particularly in light of variant strains of the COVID-19 virus, we may experience disruptions that could severely impact our business, preclinical studies and clinical trials, including:</w:t>
      </w:r>
    </w:p>
    <w:p>
      <w:pPr>
        <w:spacing w:after="0" w:line="163" w:lineRule="exact"/>
        <w:rPr>
          <w:sz w:val="20"/>
          <w:szCs w:val="20"/>
          <w:color w:val="auto"/>
        </w:rPr>
      </w:pPr>
    </w:p>
    <w:p>
      <w:pPr>
        <w:ind w:left="640" w:hanging="31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delays in receiving approval from local regulatory authorities to initiate our planned clinical trials;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delays or difficulties in enrolling patients in our clinical trials;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5" w:lineRule="exact"/>
        <w:rPr>
          <w:rFonts w:ascii="Arial" w:cs="Arial" w:eastAsia="Arial" w:hAnsi="Arial"/>
          <w:sz w:val="17"/>
          <w:szCs w:val="17"/>
          <w:color w:val="auto"/>
        </w:rPr>
      </w:pPr>
    </w:p>
    <w:p>
      <w:pPr>
        <w:ind w:left="660" w:right="160" w:hanging="331"/>
        <w:spacing w:after="0" w:line="247"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delays in clinical sites receiving the supplies and materials needed to conduct our clinical trials, including interruption in global shipping that may affect the transport of clinical trial materials;</w:t>
      </w:r>
    </w:p>
    <w:p>
      <w:pPr>
        <w:ind w:left="660" w:right="440" w:hanging="331"/>
        <w:spacing w:after="0" w:line="247"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COVID-19 which may require us to change the ways in which our clinical trials are conducted, which may result in unexpected costs, or to discontinue the clinical trials altogether;</w:t>
      </w:r>
    </w:p>
    <w:p>
      <w:pPr>
        <w:ind w:left="660" w:right="100" w:hanging="331"/>
        <w:spacing w:after="0" w:line="247"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jc w:val="both"/>
        <w:ind w:left="660" w:hanging="331"/>
        <w:spacing w:after="0" w:line="247"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ind w:left="660" w:right="20" w:hanging="331"/>
        <w:spacing w:after="0" w:line="247"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risk that participants enrolled in our clinical trials will acquire COVID-19 while the clinical trial is ongoing, which could impact the results of the clinical trial, including by increasing the number of observed adverse events;</w:t>
      </w:r>
    </w:p>
    <w:p>
      <w:pPr>
        <w:ind w:left="660" w:right="460" w:hanging="331"/>
        <w:spacing w:after="0" w:line="247"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interruptions in preclinical studies due to restricted or limited operations at our research and development laboratory facility or delays in receiving the supplies and materials needed to conduct our preclinical studies;</w:t>
      </w:r>
    </w:p>
    <w:p>
      <w:pPr>
        <w:ind w:left="660" w:right="200" w:hanging="331"/>
        <w:spacing w:after="0" w:line="247"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delays in necessary interactions with local regulators, ethics committees and other important agencies and contractors due to limitations in employee resources or forced furlough of government employees;</w:t>
      </w:r>
    </w:p>
    <w:p>
      <w:pPr>
        <w:ind w:left="660" w:right="460" w:hanging="331"/>
        <w:spacing w:after="0" w:line="247" w:lineRule="auto"/>
        <w:tabs>
          <w:tab w:leader="none" w:pos="653" w:val="left"/>
        </w:tabs>
        <w:numPr>
          <w:ilvl w:val="0"/>
          <w:numId w:val="54"/>
        </w:numPr>
        <w:rPr>
          <w:rFonts w:ascii="Arial" w:cs="Arial" w:eastAsia="Arial" w:hAnsi="Arial"/>
          <w:sz w:val="17"/>
          <w:szCs w:val="17"/>
          <w:color w:val="auto"/>
        </w:rPr>
      </w:pPr>
      <w:r>
        <w:rPr>
          <w:rFonts w:ascii="Arial" w:cs="Arial" w:eastAsia="Arial" w:hAnsi="Arial"/>
          <w:sz w:val="17"/>
          <w:szCs w:val="17"/>
          <w:color w:val="auto"/>
        </w:rPr>
        <w:t>limitations in employee resources that would otherwise be focused on the conduct of our clinical trials, including because of sickness of employees or their families or the desire of employees to avoid contact with large groups of people;</w:t>
      </w:r>
    </w:p>
    <w:p>
      <w:pPr>
        <w:ind w:left="640" w:hanging="31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refusal of the FDA to accept data from clinical trials in these affected geographies;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interruption or delays to our sourced discovery and clinical activities.</w:t>
      </w:r>
    </w:p>
    <w:p>
      <w:pPr>
        <w:spacing w:after="0" w:line="180"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particularly in light of variant strains of the COVID-19 virus, the duration of the pandemic, travel restrictions and social distancing in the United States, Australia, New Zealand and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81" w:name="page82"/>
    <w:bookmarkEnd w:id="81"/>
    <w:p>
      <w:pPr>
        <w:spacing w:after="0" w:line="249" w:lineRule="auto"/>
        <w:rPr>
          <w:sz w:val="20"/>
          <w:szCs w:val="20"/>
          <w:color w:val="auto"/>
        </w:rPr>
      </w:pPr>
      <w:r>
        <w:rPr>
          <w:rFonts w:ascii="Arial" w:cs="Arial" w:eastAsia="Arial" w:hAnsi="Arial"/>
          <w:sz w:val="17"/>
          <w:szCs w:val="17"/>
          <w:color w:val="auto"/>
        </w:rPr>
        <w:t>other countries, business closures or business disruptions and the effectiveness of actions taken in the United States, Australia, New Zealand and other countries to contain and treat the disease. 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Moreover, to the extent the COVID-19 pandemic adversely affects our business, financial condition and results of operations, it may also have the effect of heightening many of the other risks described in this “Risk Factors” section.</w:t>
      </w:r>
    </w:p>
    <w:p>
      <w:pPr>
        <w:spacing w:after="0" w:line="132" w:lineRule="exact"/>
        <w:rPr>
          <w:sz w:val="20"/>
          <w:szCs w:val="20"/>
          <w:color w:val="auto"/>
        </w:rPr>
      </w:pPr>
    </w:p>
    <w:p>
      <w:pPr>
        <w:jc w:val="both"/>
        <w:ind w:right="240"/>
        <w:spacing w:after="0" w:line="264" w:lineRule="auto"/>
        <w:rPr>
          <w:sz w:val="20"/>
          <w:szCs w:val="20"/>
          <w:color w:val="auto"/>
        </w:rPr>
      </w:pPr>
      <w:r>
        <w:rPr>
          <w:rFonts w:ascii="Arial" w:cs="Arial" w:eastAsia="Arial" w:hAnsi="Arial"/>
          <w:sz w:val="17"/>
          <w:szCs w:val="17"/>
          <w:b w:val="1"/>
          <w:bCs w:val="1"/>
          <w:i w:val="1"/>
          <w:iCs w:val="1"/>
          <w:color w:val="auto"/>
        </w:rPr>
        <w:t>We are highly dependent on our key personnel, including our Chief Executive Officer, Chief Scientific Officer, Chief Medical Officer and Chief Operating Officer. If we are not successful in attracting, motivating and retaining highly qualified personnel, we may not be able to successfully implement our business strategy.</w:t>
      </w:r>
    </w:p>
    <w:p>
      <w:pPr>
        <w:spacing w:after="0" w:line="19"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our management and particularly on the services of our scientific personnel including Jasbir Seehra, Ph.D., our Chief Executive Officer, Jennifer Lachey, Ph.D., our Chief Scientific Officer, Simon Cooper, M.B.B.S., our Chief Medical Officer, and Christopher Rovaldi, our Chief Operating Officer. We believe that their drug discovery and development experience and overall biopharmaceutical company management experience would be difficult to replace. Any of our executive officers could leave our employment at any time, as all of our employees are “at-will” employees. The loss of the services of our key personnel and any of our other executive officers, key employees, and scientific and medical advisors, and our inability to find suitable replacements, could result in delays in our research and development objectives and harm our business.</w:t>
      </w:r>
    </w:p>
    <w:p>
      <w:pPr>
        <w:spacing w:after="0" w:line="16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66" w:lineRule="exact"/>
        <w:rPr>
          <w:sz w:val="20"/>
          <w:szCs w:val="20"/>
          <w:color w:val="auto"/>
        </w:rPr>
      </w:pPr>
    </w:p>
    <w:p>
      <w:pPr>
        <w:ind w:right="240"/>
        <w:spacing w:after="0" w:line="250" w:lineRule="auto"/>
        <w:rPr>
          <w:sz w:val="20"/>
          <w:szCs w:val="20"/>
          <w:color w:val="auto"/>
        </w:rPr>
      </w:pPr>
      <w:r>
        <w:rPr>
          <w:rFonts w:ascii="Arial" w:cs="Arial" w:eastAsia="Arial" w:hAnsi="Arial"/>
          <w:sz w:val="17"/>
          <w:szCs w:val="17"/>
          <w:color w:val="auto"/>
        </w:rPr>
        <w:t>As of December 31, 2021, we had 60 full-time employees, including 45 employees engaged in research and development and 15 employees engaged in management or general and administrative activities. As our clinical development and commercialization plans and strategies develop, we expect we will need additional managerial, operational, sales, marketing, financial, legal and other personnel. Future growth would impose significant added responsibilities on members of management, including:</w:t>
      </w:r>
    </w:p>
    <w:p>
      <w:pPr>
        <w:spacing w:after="0" w:line="165" w:lineRule="exact"/>
        <w:rPr>
          <w:sz w:val="20"/>
          <w:szCs w:val="20"/>
          <w:color w:val="auto"/>
        </w:rPr>
      </w:pP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identifying, recruiting, integrating, maintaining and motivating additional employees;</w:t>
      </w:r>
    </w:p>
    <w:p>
      <w:pPr>
        <w:spacing w:after="0" w:line="5" w:lineRule="exact"/>
        <w:rPr>
          <w:rFonts w:ascii="Arial" w:cs="Arial" w:eastAsia="Arial" w:hAnsi="Arial"/>
          <w:sz w:val="17"/>
          <w:szCs w:val="17"/>
          <w:color w:val="auto"/>
        </w:rPr>
      </w:pPr>
    </w:p>
    <w:p>
      <w:pPr>
        <w:ind w:left="660" w:right="20" w:hanging="331"/>
        <w:spacing w:after="0" w:line="247" w:lineRule="auto"/>
        <w:tabs>
          <w:tab w:leader="none" w:pos="653"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managing our development efforts effectively, including the clinical and FDA review process for KER-050, KER-047, KER-012 and any future product candidates, while complying with our contractual obligations to contractors and other third parties; and</w:t>
      </w:r>
    </w:p>
    <w:p>
      <w:pPr>
        <w:ind w:left="640" w:hanging="311"/>
        <w:spacing w:after="0"/>
        <w:tabs>
          <w:tab w:leader="none" w:pos="6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improving our operational, financial and management controls, reporting systems and procedures.</w:t>
      </w:r>
    </w:p>
    <w:p>
      <w:pPr>
        <w:spacing w:after="0" w:line="167"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Our future financial performance and our ability to commercialize KER-050, KER-047, KER-012 and any other product candidates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KER-050, KER-047, KER-012 and our other product candidates or otherwise advance our business. We cannot assure you that we will be able to manage our existing consultants or find other competent outside contractors and consultants on economically reasonable terms, or at all.</w:t>
      </w:r>
    </w:p>
    <w:p>
      <w:pPr>
        <w:spacing w:after="0" w:line="169"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If we are not able to effectively expand our organization by hiring qualified new employees and expanding our groups of consultants and contractors, we may not be able to successfully implement the tasks necessary to further develop and commercialize KER-050, KER-047, KER-012 and our other product candidates and, accordingly, may not achieve our research, development and commercialization goals.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82" w:name="page83"/>
    <w:bookmarkEnd w:id="82"/>
    <w:p>
      <w:pPr>
        <w:ind w:right="440"/>
        <w:spacing w:after="0" w:line="275" w:lineRule="auto"/>
        <w:rPr>
          <w:sz w:val="20"/>
          <w:szCs w:val="20"/>
          <w:color w:val="auto"/>
        </w:rPr>
      </w:pPr>
      <w:r>
        <w:rPr>
          <w:rFonts w:ascii="Arial" w:cs="Arial" w:eastAsia="Arial" w:hAnsi="Arial"/>
          <w:sz w:val="17"/>
          <w:szCs w:val="17"/>
          <w:b w:val="1"/>
          <w:bCs w:val="1"/>
          <w:i w:val="1"/>
          <w:iCs w:val="1"/>
          <w:color w:val="auto"/>
        </w:rPr>
        <w:t>Our internal computer systems, or those used by our contract research organizations, or other contractors or consultants, may fail or suffer security breaches, which could adversely affect our business.</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particularly during the COVID-19 pandemic. Despite the implementation of security measures, our internal computer systems and those of our future CROs and other contractors and consultants are vulnerable to damage or unauthorized access or use resulting from computer viruses, malware, cyber-attacks or cyber-intrusions over the Internet, denial or degradation of service attacks, ransomware, hacking, phishing and other social engineering attacks, attachments to emails, actions of persons inside our organization or persons with access to the systems upon which we depend. The techniques used to sabotage or to obtain unauthorized access to information systems, and networks in which data is stored or through which data is transmitted change frequently, and we may be unable to implement adequate preventative measures. In addition to traditional computer “hackers”, malicious code (such as viruses and worms), employee theft or misuse, denial-of-service attacks and sophisticated nation-state and nation-state supported actors now engage in attacks (including advanced persistent threat intrusions). We anticipate that these threats will continue to grow in scope and complexity over time. Despite significant efforts to create security barriers to such threats, it is virtually impossible for us to entirely mitigate these risks. Our ability to monitor future CROs and other contractors and consultants' data security is further limited. While we have not experienced any such material system failure or security breach to date, if such an event were to occur and cause interruptions in our operations, it could result in a material disruption of our development programs, our business operations, and the privacy or confidentiality of the information that we maintain. For example, the loss of preclinical or clinical data could result in delays in our regulatory approval efforts and significantly increase our costs to recover or reproduce the data. Our reputation could be damaged, our business may be harmed and we could incur significant liability, in particular if such security incident would lead to the exposure of personal data, sensitive data and confidential information to unauthorized persons. In addition, as a result of the COVID-19 pandemic, we may face increased cybersecurity risks due to our reliance on internet technology and the number of our employees that are working remotely, which may create additional opportunities for cybercriminals to exploit vulnerabilities.</w:t>
      </w:r>
    </w:p>
    <w:p>
      <w:pPr>
        <w:spacing w:after="0" w:line="17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costs to respond to a security breach and/or to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Any security breach affecting us, our CROs, contractors, consultants or other partners or our industry, whether real or perceived, could harm our reputation, erode confidence in the effectiveness of our security measures and lead to regulatory scrutiny. Likewise, we may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face governmental reporting obligations, fines, incur liability and the further development and commercialization of our product candidates could be delayed.</w:t>
      </w:r>
    </w:p>
    <w:p>
      <w:pPr>
        <w:spacing w:after="0" w:line="168" w:lineRule="exact"/>
        <w:rPr>
          <w:sz w:val="20"/>
          <w:szCs w:val="20"/>
          <w:color w:val="auto"/>
        </w:rPr>
      </w:pPr>
    </w:p>
    <w:p>
      <w:pPr>
        <w:ind w:right="300"/>
        <w:spacing w:after="0" w:line="249" w:lineRule="auto"/>
        <w:rPr>
          <w:sz w:val="20"/>
          <w:szCs w:val="20"/>
          <w:color w:val="auto"/>
        </w:rPr>
      </w:pPr>
      <w:r>
        <w:rPr>
          <w:rFonts w:ascii="Arial" w:cs="Arial" w:eastAsia="Arial" w:hAnsi="Arial"/>
          <w:sz w:val="17"/>
          <w:szCs w:val="17"/>
          <w:color w:val="auto"/>
        </w:rPr>
        <w:t>We may have contractual and legal obligations to notify relevant stakeholders of security breaches. Most jurisdictions have enacted laws requiring companies to notify individuals, regulatory authorities, and others of security breaches involving certain types of data. In addition, our agreements with collaborators may require us to notify them in the event of a security breach. Such mandatory disclosures are costly, could lead to negative publicity, may cause our collaborators to lose confidence in the effectiveness of our security measures and require us to expend significant capital and other resources to respond to and/or alleviate problems caused by the actual or perceived security breach.</w:t>
      </w:r>
    </w:p>
    <w:p>
      <w:pPr>
        <w:spacing w:after="0" w:line="154"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In addition, any actual or perceived security breach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the EU and United States. In addition, although we seek to detect and investigate all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w:t>
      </w:r>
    </w:p>
    <w:p>
      <w:pPr>
        <w:spacing w:after="0" w:line="16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may not have adequate insurance coverage for security incidents or breaches or information system failures.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7"/>
          <w:szCs w:val="17"/>
          <w:b w:val="1"/>
          <w:bCs w:val="1"/>
          <w:i w:val="1"/>
          <w:iCs w:val="1"/>
          <w:color w:val="auto"/>
        </w:rPr>
        <w:t>Failure to comply with existing and future data protection laws and regulations could lead to government enforcement actions, including administrative, civil or criminal fines or penalties, private litigation, other liabilities and adverse publicity and could negatively affect our operating results and business. Compliance or the failure to</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83" w:name="page84"/>
    <w:bookmarkEnd w:id="83"/>
    <w:p>
      <w:pPr>
        <w:ind w:right="340"/>
        <w:spacing w:after="0" w:line="275" w:lineRule="auto"/>
        <w:rPr>
          <w:sz w:val="20"/>
          <w:szCs w:val="20"/>
          <w:color w:val="auto"/>
        </w:rPr>
      </w:pPr>
      <w:r>
        <w:rPr>
          <w:rFonts w:ascii="Arial" w:cs="Arial" w:eastAsia="Arial" w:hAnsi="Arial"/>
          <w:sz w:val="17"/>
          <w:szCs w:val="17"/>
          <w:b w:val="1"/>
          <w:bCs w:val="1"/>
          <w:i w:val="1"/>
          <w:iCs w:val="1"/>
          <w:color w:val="auto"/>
        </w:rPr>
        <w:t>comply with such laws and regulations could increase the costs of our products, could limit their use or adoption, and could otherwise negatively affect our operating results and business.</w:t>
      </w:r>
    </w:p>
    <w:p>
      <w:pPr>
        <w:spacing w:after="0" w:line="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our service providers and any potential collaborators are subject to or affected by federal, state, local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including Section 5 of the Federal Trade Commission Act, that govern the collection, use, disclosure and protection of health information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and fines if we violate HIPAA.</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certain state and foreign laws govern the privacy and security of health information in certain circumstances, some of which are more stringent than U.S. federal law and many of which differ from each other in significant ways and may not have the same effect, thus complicating compliance efforts. For instance, the California Consumer Privacy Act of 2018, or CCPA, which became effective on January 1, 2020, gives California residents expanded rights to access and require deletion of their personal information, opt out of the sale of personal information, and receive detailed information about how their personal information is used. The CCPA authorizes private lawsuits to recover statutory damages for certain data breaches. Although the CCPA exempts some data regulated by HIPAA and certain data regarding clinical trials, the CCPA, to the extent applicable to our business and operations, may increase our compliance costs and potential liability with respect to other personal information we maintain about California residents. Other privacy legislation has been proposed at the federal and state levels, which, if enacted, could adversely affect our business.</w:t>
      </w:r>
    </w:p>
    <w:p>
      <w:pPr>
        <w:spacing w:after="0" w:line="168"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Our operations may also be subject to increased scrutiny or attention from foreign data protection authorities. Our clinical trial programs and research collaborations outside the United States may implicate foreign data protection laws, including in Europe, Australia, and New Zealand. Many countries have established, or are in the process of establishing, privacy and data security legal frameworks with which we, our collaborators, service providers, including our CROs, and contractors must comply. For example, European data protection laws, including, without limitation, the European Union’s General Data Protection Regulation, or GDPR, which went into effect in May 2018, and the UK Data Protection Act introduced strict requirements regarding the processing of personal data, including clinical trial data, which may apply to the company to the extent it processes the personal data of data subjects within the European Economic Area, or EEA, and/or the United Kingdom.</w:t>
      </w:r>
    </w:p>
    <w:p>
      <w:pPr>
        <w:spacing w:after="0" w:line="15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Laws such as these give rise to an increasingly complex set of compliance obligations on us. These data protection rules continue to evolve and may result in ever-increasing regulatory and public scrutiny and escalating levels of enforcement and sanctions and increased costs of compliance. We strive to comply with these rules and obligations to the extent possible. Such compliance is a rigorous and time-consuming process.</w:t>
      </w:r>
    </w:p>
    <w:p>
      <w:pPr>
        <w:spacing w:after="0" w:line="163"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GDPR and UK Data Protection Act set out extensive compliance requirements, including providing detailed disclosures about how personal data is collected and processed, demonstrating that an appropriate legal basis is in place or otherwise exists to justify data processing activities; granting new rights for data subjects in regard to their personal data, as well as enhancing pre-existing rights (e.g., data subject access requests);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principle of accountability and the obligation to demonstrate compliance through policies, procedures, training and audit. The processing of sensitive personal data, such as health information, impose heightened compliance burdens under the GDPR and the UK Data Protection Act and is a topic of active interest among foreign regulators. Moreover, the GDPR and the UK Data Protection Act increase our obligations with respect to clinical trials conducted in the EU by expanding the definition of personal data to include coded data and requiring changes to informed consent practices and more detailed notices for clinical trial participants and investigators.</w:t>
      </w:r>
    </w:p>
    <w:p>
      <w:pPr>
        <w:spacing w:after="0" w:line="16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Recent legal developments in Europe have created complexity and uncertainty regarding transfers of personal data from the European Economic Area, or EEA, to the United States. On July 16, 2020, in a case known as Schrems II, the Court of Justice of the European Union, or CJEU, invalidated the EU-US Privacy Shield Framework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Additionally, new Standard Contractual Clauses that repealed the Standard Contractual Clauses adopted under the Data Protection Directive have recently been adopted. We will thus need to update all of our contracts entailing the transfer of personal data outside of the European Economic Area with this new Standard Contractual Clauses. As supervisory authorities issue further guidance on personal data export mechanisms, including on the new Standard Contractual Clauses,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84" w:name="page85"/>
    <w:bookmarkEnd w:id="84"/>
    <w:p>
      <w:pPr>
        <w:ind w:right="100"/>
        <w:spacing w:after="0" w:line="288" w:lineRule="auto"/>
        <w:rPr>
          <w:sz w:val="20"/>
          <w:szCs w:val="20"/>
          <w:color w:val="auto"/>
        </w:rPr>
      </w:pPr>
      <w:r>
        <w:rPr>
          <w:rFonts w:ascii="Arial" w:cs="Arial" w:eastAsia="Arial" w:hAnsi="Arial"/>
          <w:sz w:val="16"/>
          <w:szCs w:val="16"/>
          <w:color w:val="auto"/>
        </w:rPr>
        <w:t>and/or start taking enforcement action, we could suffer additional costs, complaints and/or regulatory investigations or fines, and/or if we are otherwise unable to transfer personal data between and among countries and regions in which we conduct clinical trials, it could affect our business.</w:t>
      </w:r>
    </w:p>
    <w:p>
      <w:pPr>
        <w:spacing w:after="0" w:line="122"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Relatedly, following the United Kingdom’s withdrawal from the EEA and the EU, we also have to comply with the UK-specific requirements related to data protection, including with respect to transfer of personal data outside of the UK, which increases our regulatory compliance burden. The UK also recently updated its transfer mechanism and we will need to update all of our contracts entailing the transfer of personal data outside of the United Kingdom with this new UK-specific Transfer Tools.</w:t>
      </w:r>
    </w:p>
    <w:p>
      <w:pPr>
        <w:spacing w:after="0" w:line="165"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We maintain privacy policies and other documentation regarding our collection, processing, use and disclosure of personal information and/or other confidential information. Although we endeavor to comply with our policies and other documentation, we may at times fail to do so or may be perceived to have failed to do so.</w:t>
      </w:r>
    </w:p>
    <w:p>
      <w:pPr>
        <w:spacing w:after="0" w:line="16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Certain of our current or future data processing activities could be found by a government or regulatory authority to be noncompliant or become noncompliant in the future with one or more applicable data protection laws, even if we have implemented and maintained a strategy that we believe to be compliant</w:t>
      </w:r>
    </w:p>
    <w:p>
      <w:pPr>
        <w:spacing w:after="0" w:line="149"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Moreover, despite our efforts, we may not be successful in achieving compliance if our employees or vendors fail to comply with our policies and documentation. Such failures can subject us to potential foreign, local, state and federal action if they are found to be deceptive, unfair, or misrepresentative of our actual practices. Moreover, subjects about whom we or our collaborators obtain information, as well as the providers who share this information with us, may contractually limit our ability to use and disclose the information.</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Any failure or perceived failure by us to comply with our legal obligations concerning privacy, data protection or information security could result in claims by data subjects, governmental investigations and enforcement action against us, including fines, enforcement orders, imprisonment of company officials and public censure, (individual and collective) claims for damages by affected individuals and damage to our reputation, any of which could have a material adverse effect on our business, financial condition, and operating results. Companies that must comply with the GDPR and UK Data Protection Act face increased compliance obligations and risk, including more robust regulatory enforcement of data protection requirements and potential fines for noncompliance of up to €20 million or 4% of the annual global revenues of the noncompliant company, whichever is greater, litigation, regulatory investigations, enforcement actions that require us to change the way we use personal data, and/or prohibitions on the use of personal data. Such penalties may be in addition to any civil litigation claims by data subjects. We may not be successful in avoiding potential liability or disruption of business resulting from the failure to comply with these laws and, even if we comply with laws, we may be subject to liability because of a security incident. Further, complying with the applicable notification requirements in the event of a security breach could result in significant costs. Furthermore, future interpretations of existing data protection laws or regulations could be inconsistent with our current interpretations, increase our compliance burden, make it more difficult to comply, and/or increase our risk of regulatory investigations and fines.</w:t>
      </w:r>
    </w:p>
    <w:p>
      <w:pPr>
        <w:spacing w:after="0" w:line="16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Additionally, if third parties we work with, such as CROs and other contractors and consultants, violate data privacy or data protection applicable laws or regulations or our policies, or are subject to security incidents, such violations or security incidents may also put our clinical trial data at risk and could in turn materially and adversely affect our business, financial condition, results of operations and prospects.</w:t>
      </w:r>
    </w:p>
    <w:p>
      <w:pPr>
        <w:spacing w:after="0" w:line="149"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Compliance with U.S. and foreign data protection laws and regulations could require us to take on more onerous obligations in our contracts, increase our costs of legal compliance, restrict our ability to collect, use and disclose data, or in some cases, impact our or our partners’ or suppliers’ ability to operate in certain jurisdictions. Failure to comply with these laws and regulations could result in government investigations and/or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48"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5"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85" w:name="page86"/>
    <w:bookmarkEnd w:id="85"/>
    <w:p>
      <w:pPr>
        <w:spacing w:after="0" w:line="248" w:lineRule="auto"/>
        <w:rPr>
          <w:sz w:val="20"/>
          <w:szCs w:val="20"/>
          <w:color w:val="auto"/>
        </w:rPr>
      </w:pPr>
      <w:r>
        <w:rPr>
          <w:rFonts w:ascii="Arial" w:cs="Arial" w:eastAsia="Arial" w:hAnsi="Arial"/>
          <w:sz w:val="17"/>
          <w:szCs w:val="17"/>
          <w:color w:val="auto"/>
        </w:rPr>
        <w:t>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imprisonment, possible exclusion from participation in Medicare, Medicaid and other federal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of our operations, any of which could adversely affect our ability to operate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variety of risks are associated with operating our business internationally which could materially adversely affect our business.</w:t>
      </w:r>
    </w:p>
    <w:p>
      <w:pPr>
        <w:spacing w:after="0" w:line="66"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We conduct certain research and development operations in Australia and New Zealand and may conduct certain future clinical trials outside of the United States. Additionally, while we have not taken any steps to enter into any non-U.S. markets, we may do so in the future. Accordingly, we are subject to risks related to operating in foreign countries, including:</w:t>
      </w:r>
    </w:p>
    <w:p>
      <w:pPr>
        <w:spacing w:after="0" w:line="163" w:lineRule="exact"/>
        <w:rPr>
          <w:sz w:val="20"/>
          <w:szCs w:val="20"/>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different standards of care in various countries that could complicate the evaluation of our product candidates;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different United States and foreign drug import and export rules;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certain countries;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unexpected changes in tariffs, trade barriers and regulatory requirements;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abroad;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compliance with the FCPA and other anti-corruption and anti-bribery laws;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foreign taxes, including withholding of payroll taxes;</w:t>
      </w:r>
    </w:p>
    <w:p>
      <w:pPr>
        <w:spacing w:after="0" w:line="5" w:lineRule="exact"/>
        <w:rPr>
          <w:rFonts w:ascii="Arial" w:cs="Arial" w:eastAsia="Arial" w:hAnsi="Arial"/>
          <w:sz w:val="17"/>
          <w:szCs w:val="17"/>
          <w:color w:val="auto"/>
        </w:rPr>
      </w:pPr>
    </w:p>
    <w:p>
      <w:pPr>
        <w:ind w:left="660" w:right="280" w:hanging="331"/>
        <w:spacing w:after="0" w:line="247" w:lineRule="auto"/>
        <w:tabs>
          <w:tab w:leader="none" w:pos="653"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more common than in the United States;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abroad;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different payor reimbursement regimes, governmental payors or patient self-pay systems and price controls;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potential liability resulting from development work conducted by foreign partners;</w:t>
      </w:r>
    </w:p>
    <w:p>
      <w:pPr>
        <w:spacing w:after="0" w:line="5" w:lineRule="exact"/>
        <w:rPr>
          <w:rFonts w:ascii="Arial" w:cs="Arial" w:eastAsia="Arial" w:hAnsi="Arial"/>
          <w:sz w:val="17"/>
          <w:szCs w:val="17"/>
          <w:color w:val="auto"/>
        </w:rPr>
      </w:pPr>
    </w:p>
    <w:p>
      <w:pPr>
        <w:ind w:left="660" w:right="580" w:hanging="331"/>
        <w:spacing w:after="0" w:line="247" w:lineRule="auto"/>
        <w:tabs>
          <w:tab w:leader="none" w:pos="653" w:val="left"/>
        </w:tabs>
        <w:numPr>
          <w:ilvl w:val="0"/>
          <w:numId w:val="56"/>
        </w:numPr>
        <w:rPr>
          <w:rFonts w:ascii="Arial" w:cs="Arial" w:eastAsia="Arial" w:hAnsi="Arial"/>
          <w:sz w:val="17"/>
          <w:szCs w:val="17"/>
          <w:color w:val="auto"/>
        </w:rPr>
      </w:pPr>
      <w:r>
        <w:rPr>
          <w:rFonts w:ascii="Arial" w:cs="Arial" w:eastAsia="Arial" w:hAnsi="Arial"/>
          <w:sz w:val="17"/>
          <w:szCs w:val="17"/>
          <w:color w:val="auto"/>
        </w:rPr>
        <w:t>business interruptions resulting from natural disasters, outbreaks of contagious diseases, such as COVID-19, or geopolitical actions, including war and terrorism, or systems failure including cybersecurity breaches; and</w:t>
      </w:r>
    </w:p>
    <w:p>
      <w:pPr>
        <w:ind w:left="640" w:hanging="311"/>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compliance with evolving and expansive foreign regulatory requirements, including data privacy laws (such as the GDPR).</w:t>
      </w:r>
    </w:p>
    <w:p>
      <w:pPr>
        <w:spacing w:after="0" w:line="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Additionally, in connection with the ongoing conflict between Russia and Ukraine, the U.S. government and European Union countries have imposed enhanced export controls on certain products and sanctions on certain industry sectors and parties in Russia. The U.S. government has also indicated it will consider imposing additional sanctions and other similar measures in the near future. Although we do not currently conduct any clinical trials in Russia or Ukraine, further escalation of geopolitical tensions could have a broader impact that expands into other markets where we do business or conduct certain research and development operations, which could adversely affect our business, our supply chain for our product candidates, our collaborators or our ability to carry out our clinical trials.</w:t>
      </w:r>
    </w:p>
    <w:p>
      <w:pPr>
        <w:spacing w:after="0" w:line="132" w:lineRule="exact"/>
        <w:rPr>
          <w:sz w:val="20"/>
          <w:szCs w:val="20"/>
          <w:color w:val="auto"/>
        </w:rPr>
      </w:pPr>
    </w:p>
    <w:p>
      <w:pPr>
        <w:ind w:right="440"/>
        <w:spacing w:after="0" w:line="281" w:lineRule="auto"/>
        <w:rPr>
          <w:sz w:val="20"/>
          <w:szCs w:val="20"/>
          <w:color w:val="auto"/>
        </w:rPr>
      </w:pPr>
      <w:r>
        <w:rPr>
          <w:rFonts w:ascii="Arial" w:cs="Arial" w:eastAsia="Arial" w:hAnsi="Arial"/>
          <w:sz w:val="17"/>
          <w:szCs w:val="17"/>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presently conducting clinical development solely in Australia and New Zealand and may choose to conduct additional international clinical trials in the future. The U.S. Foreign Corrupt Practices Act, or FCPA, prohibits companies and their employees and third-party intermediaries from paying, offering, promising or authorizing others to pay or offer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The FCPA presents particular challenges in the pharmaceutical industry, because, in many countries, hospitals are owned and operated by the government, and doctors and other hospital employees are considered foreign officials. We can be held liable for the corrupt or other illegal activities of our employees, representatives, contractors, business partners and agents, even if we do not explicitly authorize or have actual knowledge of such activities. Noncompliance with the FCPA and anti-corruption laws could subject us to whistleblower complaints, investigations, sanctions, settlements, prosecution, other enforcement actions,</w:t>
      </w:r>
    </w:p>
    <w:p>
      <w:pPr>
        <w:spacing w:after="0" w:line="34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872" w:right="439" w:bottom="1440" w:gutter="0" w:footer="0" w:header="0"/>
        </w:sectPr>
      </w:pPr>
    </w:p>
    <w:bookmarkStart w:id="86" w:name="page87"/>
    <w:bookmarkEnd w:id="86"/>
    <w:p>
      <w:pPr>
        <w:ind w:right="140"/>
        <w:spacing w:after="0" w:line="250" w:lineRule="auto"/>
        <w:rPr>
          <w:sz w:val="20"/>
          <w:szCs w:val="20"/>
          <w:color w:val="auto"/>
        </w:rPr>
      </w:pPr>
      <w:r>
        <w:rPr>
          <w:rFonts w:ascii="Arial" w:cs="Arial" w:eastAsia="Arial" w:hAnsi="Arial"/>
          <w:sz w:val="17"/>
          <w:szCs w:val="17"/>
          <w:color w:val="auto"/>
        </w:rPr>
        <w:t>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w:t>
      </w:r>
    </w:p>
    <w:p>
      <w:pPr>
        <w:spacing w:after="0" w:line="152"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our products may be subject to export controls, trade sanctions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148" w:lineRule="exact"/>
        <w:rPr>
          <w:sz w:val="20"/>
          <w:szCs w:val="20"/>
          <w:color w:val="auto"/>
        </w:rPr>
      </w:pPr>
    </w:p>
    <w:p>
      <w:pPr>
        <w:ind w:right="380"/>
        <w:spacing w:after="0" w:line="281"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46"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145" w:lineRule="exact"/>
        <w:rPr>
          <w:sz w:val="20"/>
          <w:szCs w:val="20"/>
          <w:color w:val="auto"/>
        </w:rPr>
      </w:pPr>
    </w:p>
    <w:p>
      <w:pPr>
        <w:ind w:right="680"/>
        <w:spacing w:after="0" w:line="281" w:lineRule="auto"/>
        <w:rPr>
          <w:sz w:val="20"/>
          <w:szCs w:val="20"/>
          <w:color w:val="auto"/>
        </w:rPr>
      </w:pPr>
      <w:r>
        <w:rPr>
          <w:rFonts w:ascii="Arial" w:cs="Arial" w:eastAsia="Arial" w:hAnsi="Arial"/>
          <w:sz w:val="17"/>
          <w:szCs w:val="17"/>
          <w:b w:val="1"/>
          <w:bCs w:val="1"/>
          <w:i w:val="1"/>
          <w:iCs w:val="1"/>
          <w:color w:val="auto"/>
        </w:rPr>
        <w:t>Changes in tax laws or regulations that are applied adversely to us may have a material adverse effect on our business, cash flow, financial condition or results of operations.</w:t>
      </w:r>
    </w:p>
    <w:p>
      <w:pPr>
        <w:spacing w:after="0" w:line="13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in response to the COVID-19 pandemic, the Coronavirus Aid, Relief, and Economic Security, or CARES, Act was signed into law in March 2020. The CARES Act modifies certain of the changes made by the Tax Act. Changes in corporate tax rates, the realization of net deferred tax assets relating to our U.S. operations, and the deductibility of expenses under the Tax Act, as amended by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For example, proposals have recently been made in Congress (which have not yet been enacted) to make certain tax law changes that could have a material adverse impact on us. In addition, it is uncertain if and to what extent various states will conform to the Tax Act, as amended by the CARES Act, or any newly enacted federal tax legislation.</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tax credit carryforwards may be subject to limitation.</w:t>
      </w:r>
    </w:p>
    <w:p>
      <w:pPr>
        <w:spacing w:after="0" w:line="5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As of December 31, 2021, we had $85.8 million of U.S. federal, $90.3 million of state and $16.4 million of foreign NOL carryforwards. Under the Tax Act, as modified by the CARES Act, federal NOLs incurred in taxable years beginning after December 31, 2017 can be carried forward indefinitely, but the deductibility of federal NOLs in taxable years beginning after December 31, 2020, is limited. The CARES Act also provides for the ability for companies to carry back net operating losses arising in tax years beginning after 2017 and before 2021 for up to 5 years. We evaluated the provisions of the CARES Act and, as a result, we received approximately $0.2 million as of December 31, 2020, related to the carry back of our 2019 net operating loss to claim a refund for prior federal tax liabilities and, as a result, our net operating loss carryforwards will be reduced.</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Our NOL carryforwards are subject to review and possible adjustment by the U.S. and state tax authorities.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NOL carryforwards and R&amp;D credits to offset its post-change income may be limited. This could limit the amount of NOLs or R&amp;D credit carryforwards that we can utilize annually to offset future taxable income or tax liabilities. Subsequent ownership changes and changes to the U.S. tax rules in respect of the utilization of NOLs and R&amp;D credits carried forward may further affect the limitation in future years. In addition, at the state level, there may be periods during which the use of NOLs is suspended or otherwise limited, which could accelerate or permanently increase state taxes owed.</w:t>
      </w:r>
    </w:p>
    <w:p>
      <w:pPr>
        <w:spacing w:after="0" w:line="17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In February 2021, we completed a study to assess whether an ownership change has occurred or whether there have been multiple ownership changes since our formation. The results of this study indicated that we experienced ownership changes as defined by Section 382 of the Code in 2016 and 2020. These ownership changes have subjected and will continue to subject our net operating loss carryforwards to an annual limitation, which will significantly restrict our ability to use them to offset our taxable income in periods following an ownership change. Based on the results of the study, management has determined that these limitations may have a material impact on our ability to utilize our net operating losses and research and development credit carryforwards to offset future tax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2"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i w:val="1"/>
          <w:iCs w:val="1"/>
          <w:color w:val="auto"/>
        </w:rPr>
        <w:t>An active, liquid and orderly trading market may not develop for our common stock and as a result it may be difficult for you to sell your shares of our common stock.</w:t>
      </w:r>
    </w:p>
    <w:p>
      <w:pPr>
        <w:spacing w:after="0" w:line="5"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Prior to our IPO in April 2020, there was no public market for shares of our common stock. Although our common stock is currently listed on the Nasdaq Global Market, we cannot assure you that an active trading market for our shares will develop or be sustained. In the absence of an active trading market for our common stock, investors may not be able to sell their shares of common stock without depressing the market price for the common stock, or may not be able to sell the shares at all. An inactive trading market may also impair our ability to raise capital to continue to fund operations by selling shares and may impair our ability to enter into collaborations or acquire other companies or technologies using our shares as consideration.</w:t>
      </w:r>
    </w:p>
    <w:p>
      <w:pPr>
        <w:spacing w:after="0" w:line="14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We expect our operating results to be subject to quarterly fluctuations. Our net loss and other operating results will be affected by numerous factors, including:</w:t>
      </w:r>
    </w:p>
    <w:p>
      <w:pPr>
        <w:spacing w:after="0" w:line="158" w:lineRule="exact"/>
        <w:rPr>
          <w:sz w:val="20"/>
          <w:szCs w:val="20"/>
          <w:color w:val="auto"/>
        </w:rPr>
      </w:pP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variations in the level of expense related to the ongoing development of our product candidates and preclinical development programs;</w:t>
      </w:r>
    </w:p>
    <w:p>
      <w:pPr>
        <w:spacing w:after="0" w:line="5" w:lineRule="exact"/>
        <w:rPr>
          <w:rFonts w:ascii="Arial" w:cs="Arial" w:eastAsia="Arial" w:hAnsi="Arial"/>
          <w:sz w:val="17"/>
          <w:szCs w:val="17"/>
          <w:color w:val="auto"/>
        </w:rPr>
      </w:pPr>
    </w:p>
    <w:p>
      <w:pPr>
        <w:ind w:left="660" w:right="120" w:hanging="331"/>
        <w:spacing w:after="0" w:line="247" w:lineRule="auto"/>
        <w:tabs>
          <w:tab w:leader="none" w:pos="6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results of preclinical studies and future clinical trials, or the addition or termination of future clinical trials or funding support by us, or current or future collaborators or licensing partners;</w:t>
      </w:r>
    </w:p>
    <w:p>
      <w:pPr>
        <w:ind w:left="660" w:right="100" w:hanging="331"/>
        <w:spacing w:after="0" w:line="247" w:lineRule="auto"/>
        <w:tabs>
          <w:tab w:leader="none" w:pos="6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execution of any collaboration, licensing or similar arrangements, and the timing of payments we may make or receive under existing or future arrangements or the termination or modification of any such existing or future arrangements;</w:t>
      </w: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strategic decisions by us, such as acquisitions, divestitures, spin-offs, joint ventures, strategic investments or changes in business strategy;</w:t>
      </w:r>
    </w:p>
    <w:p>
      <w:pPr>
        <w:spacing w:after="0" w:line="5" w:lineRule="exact"/>
        <w:rPr>
          <w:rFonts w:ascii="Arial" w:cs="Arial" w:eastAsia="Arial" w:hAnsi="Arial"/>
          <w:sz w:val="17"/>
          <w:szCs w:val="17"/>
          <w:color w:val="auto"/>
        </w:rPr>
      </w:pPr>
    </w:p>
    <w:p>
      <w:pPr>
        <w:ind w:left="660" w:right="460" w:hanging="331"/>
        <w:spacing w:after="0" w:line="247" w:lineRule="auto"/>
        <w:tabs>
          <w:tab w:leader="none" w:pos="6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any of our product candidates receives regulatory approval, the terms of such approval and market acceptance and demand for such product candidates;</w:t>
      </w:r>
    </w:p>
    <w:p>
      <w:pPr>
        <w:ind w:left="640" w:hanging="311"/>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regulatory developments affecting our product candidates; and</w:t>
      </w:r>
    </w:p>
    <w:p>
      <w:pPr>
        <w:spacing w:after="0" w:line="5" w:lineRule="exact"/>
        <w:rPr>
          <w:rFonts w:ascii="Arial" w:cs="Arial" w:eastAsia="Arial" w:hAnsi="Arial"/>
          <w:sz w:val="17"/>
          <w:szCs w:val="17"/>
          <w:color w:val="auto"/>
        </w:rPr>
      </w:pPr>
    </w:p>
    <w:p>
      <w:pPr>
        <w:ind w:left="660" w:right="100" w:hanging="331"/>
        <w:spacing w:after="0" w:line="257" w:lineRule="auto"/>
        <w:tabs>
          <w:tab w:leader="none" w:pos="6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general economic conditions, as well as economic conditions specifically affecting the biopharmaceutical industry, including those related to the ongoing COVID-19 pandemic.</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52" w:right="379" w:bottom="1440" w:gutter="0" w:footer="0" w:header="0"/>
        </w:sectPr>
      </w:pPr>
    </w:p>
    <w:bookmarkStart w:id="88" w:name="page89"/>
    <w:bookmarkEnd w:id="88"/>
    <w:p>
      <w:pPr>
        <w:ind w:right="520"/>
        <w:spacing w:after="0" w:line="250" w:lineRule="auto"/>
        <w:rPr>
          <w:sz w:val="20"/>
          <w:szCs w:val="20"/>
          <w:color w:val="auto"/>
        </w:rPr>
      </w:pPr>
      <w:r>
        <w:rPr>
          <w:rFonts w:ascii="Arial" w:cs="Arial" w:eastAsia="Arial" w:hAnsi="Arial"/>
          <w:sz w:val="17"/>
          <w:szCs w:val="17"/>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has been and is likely to continue to be volatile and fluctuate substantially.</w:t>
      </w:r>
    </w:p>
    <w:p>
      <w:pPr>
        <w:spacing w:after="0" w:line="6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market price of our common stock has been and is likely to continue to be highly volatile and may fluctuate substantially as a result of a variety of factors, some of which are related in complex ways. The market price for our common stock may fluctuate significantly in response to numerous factors, many of which are beyond our control, including the factors listed below and other factors described in this “Risk Factors” section:</w:t>
      </w:r>
    </w:p>
    <w:p>
      <w:pPr>
        <w:spacing w:after="0" w:line="163" w:lineRule="exact"/>
        <w:rPr>
          <w:sz w:val="20"/>
          <w:szCs w:val="20"/>
          <w:color w:val="auto"/>
        </w:rPr>
      </w:pPr>
    </w:p>
    <w:p>
      <w:pPr>
        <w:ind w:left="660" w:right="100" w:hanging="331"/>
        <w:spacing w:after="0" w:line="247" w:lineRule="auto"/>
        <w:tabs>
          <w:tab w:leader="none" w:pos="653"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results of preclinical studies and clinical trials of KER-050, KER-047, KER-012 and any other product candidate we may develop or those of our competitors;</w:t>
      </w: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commencement or termination of collaboration, licensing or similar arrangements for our development programs;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announcements by our competitors of significant acquisitions, strategic partnerships, joint ventures, collaborations or capital commitments;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failure or discontinuation of any of our development programs;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results of clinical trials of product candidates of our competitors;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level of expenses related to the development of KER-050, KER-047, KER-012 and any other product candidate we may develop;</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announcements or expectations of additional financing efforts by us;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sales of our common stock by us, our insiders or other stockholders;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recommendations and changes in estimates or recommendations by securities analysts, if any, that cover our stock;</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general economic, political, and market conditions and overall fluctuations in the financial markets in the United States and abroad;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investors’ general perception of us and our business.</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stock market in general, and the markets for pharmaceutical, biopharmaceutical and biotechnology stocks in particular, have experienced extreme price and volume fluctuations that have been often unrelated or disproportionate to the operating performance of the issuer. In addition, the trading prices for common stock of other pharmaceutical, biopharmaceutical and biotechnology companies have been highly volatile as a result of the COVID-19 pandemic. The COVID-19 outbreak continues to rapidly evolve. The extent to which the outbreak may impact our business, preclinical studies and clinical trials will depend on future developments, which are highly uncertain and cannot be predicted with confidence.</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These and other market and industry factors may cause the market price and demand for our common stock to fluctuate substantially, regardless of our actual operating performance, which may negatively affect the liquidity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securities class action litigation.</w:t>
      </w:r>
    </w:p>
    <w:p>
      <w:pPr>
        <w:spacing w:after="0" w:line="5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the past, securities class action litigation has often been brought against public companies following declines in the market prices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 operating results, financial condition and cash flows.</w:t>
      </w:r>
    </w:p>
    <w:p>
      <w:pPr>
        <w:spacing w:after="0" w:line="145" w:lineRule="exact"/>
        <w:rPr>
          <w:sz w:val="20"/>
          <w:szCs w:val="20"/>
          <w:color w:val="auto"/>
        </w:rPr>
      </w:pPr>
    </w:p>
    <w:p>
      <w:pPr>
        <w:ind w:right="200"/>
        <w:spacing w:after="0" w:line="281" w:lineRule="auto"/>
        <w:rPr>
          <w:sz w:val="20"/>
          <w:szCs w:val="20"/>
          <w:color w:val="auto"/>
        </w:rPr>
      </w:pPr>
      <w:r>
        <w:rPr>
          <w:rFonts w:ascii="Arial" w:cs="Arial" w:eastAsia="Arial" w:hAnsi="Arial"/>
          <w:sz w:val="17"/>
          <w:szCs w:val="17"/>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Pursuant to our 2020 Equity Incentive Plan, or 2020 Plan, our management is authorized to grant stock options and other equity-based awards to our employees, directors and consultants. The number of shares of our common stock reserved for</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89" w:name="page90"/>
    <w:bookmarkEnd w:id="89"/>
    <w:p>
      <w:pPr>
        <w:ind w:right="20"/>
        <w:spacing w:after="0" w:line="271" w:lineRule="auto"/>
        <w:rPr>
          <w:sz w:val="20"/>
          <w:szCs w:val="20"/>
          <w:color w:val="auto"/>
        </w:rPr>
      </w:pPr>
      <w:r>
        <w:rPr>
          <w:rFonts w:ascii="Arial" w:cs="Arial" w:eastAsia="Arial" w:hAnsi="Arial"/>
          <w:sz w:val="16"/>
          <w:szCs w:val="16"/>
          <w:color w:val="auto"/>
        </w:rPr>
        <w:t>issuance under our 2020 Plan will automatically increase on January 1 of each year, for a period of ten years, from January 1, 2021 continuing through January 1, 2030, by 4.0% of the total number of shares of our common stock outstanding on December 31 of the preceding calendar year, or a lesser number of shares as may be determined by our board of directors. If our board of directors elects to increase the number of shares available for future grant by the maximum amount each year, our stockholders may experience additional dilution, which could cause our stock price to fall.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66" w:lineRule="exact"/>
        <w:rPr>
          <w:sz w:val="20"/>
          <w:szCs w:val="20"/>
          <w:color w:val="auto"/>
        </w:rPr>
      </w:pPr>
    </w:p>
    <w:p>
      <w:pPr>
        <w:jc w:val="both"/>
        <w:ind w:right="120"/>
        <w:spacing w:after="0" w:line="250" w:lineRule="auto"/>
        <w:rPr>
          <w:sz w:val="20"/>
          <w:szCs w:val="20"/>
          <w:color w:val="auto"/>
        </w:rPr>
      </w:pPr>
      <w:r>
        <w:rPr>
          <w:rFonts w:ascii="Arial" w:cs="Arial" w:eastAsia="Arial" w:hAnsi="Arial"/>
          <w:sz w:val="17"/>
          <w:szCs w:val="17"/>
          <w:color w:val="auto"/>
        </w:rPr>
        <w:t>You should not rely on an investment in our common stock to provide dividend income.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which may never occur, as the only way to realize any return on their investment.</w:t>
      </w:r>
    </w:p>
    <w:p>
      <w:pPr>
        <w:spacing w:after="0" w:line="145"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i w:val="1"/>
          <w:iCs w:val="1"/>
          <w:color w:val="auto"/>
        </w:rPr>
        <w:t>Our executive officers, directors, and stockholders and their affiliates who beneficially own more than 5% of our common stock have the ability to exercise significant influence over our company, which will limit your ability to influence corporate matters and could delay or prevent a change in corporate control.</w:t>
      </w:r>
    </w:p>
    <w:p>
      <w:pPr>
        <w:spacing w:after="0" w:line="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As of December 31, 2021, our executive officers, directors and stockholders and their affiliates who beneficially own more than 5% of our common stock beneficially held a significant percentage of our outstanding common stock. As a result, these stockholders, if they act together, will be able to exercise significant influence over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167" w:lineRule="exact"/>
        <w:rPr>
          <w:sz w:val="20"/>
          <w:szCs w:val="20"/>
          <w:color w:val="auto"/>
        </w:rPr>
      </w:pPr>
    </w:p>
    <w:p>
      <w:pPr>
        <w:ind w:left="640" w:hanging="31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our company;</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our company; or</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discouraging a potential acquirer from making a tender offer or otherwise attempting to obtain control of our company.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of interest may arise because some members of our board of directors are representatives of our principal stockholders.</w:t>
      </w:r>
    </w:p>
    <w:p>
      <w:pPr>
        <w:spacing w:after="0" w:line="5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Certain of our principal stockholders or their affiliates are venture capital funds or other investment vehicles that could invest in entities that directly or indirectly compete with us. As a result of these relationships, conflicts may arise between the interests of the principal stockholders or their affiliates and the interests of other stockholders, and members of our board of directors that are representatives of such principal stockholders may not be disinterested in such conflicts. Neither the principal stockholders nor the representatives of the principal stockholders on our board of directors, by the terms of our amended and restated certificate of incorporation, are required to offer us any transaction opportunity of which they become aware and could take any such opportunity for themselves or offer it their other affiliates, unless such opportunity is expressly offered to them solely in their capacity as members of our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6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If our existing stockholders sell, or indicate an intention to sell, substantial amounts of our common stock in the public market, the market price of our common stock could decline. We are unable to predict the effect that such sales, particularly by our directors, executive officers and significant stockholders, may have on the prevailing market price of our common stock.</w:t>
      </w:r>
    </w:p>
    <w:p>
      <w:pPr>
        <w:spacing w:after="0" w:line="149"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In May 2021, we filed a registration statement on Form S-3, which was automatically effective upon filing. Pursuant to this registration statement, we may issue up to $150.0 million in common stock in sales deemed to be an “at the market offering,” as defined by the Securities Act, and, so long as we qualify as a “well-known seasoned issuer” as defined in Rule 405 of the Securities Act, an unspecified amount of shares of our common stock, preferred stock, debt securities and warrants.</w:t>
      </w:r>
    </w:p>
    <w:p>
      <w:pPr>
        <w:spacing w:after="0" w:line="16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addition, we have filed registration statements on Form S-8 registering the issuance of shares of common stock subject to options or other equity awards issued or reserved for future issuance under our equity incentive plans. Shares registered under these registration statements on Form S-8 are available for sale in the public market subject to vesting arrangements and exercise of options and the restrictions of Rule 144 under the Securities Act in the case of our affiliates. In addition, certain holders of shares of our common stock have rights, subject to some conditions, to require us to file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5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b w:val="1"/>
          <w:bCs w:val="1"/>
          <w:i w:val="1"/>
          <w:iCs w:val="1"/>
          <w:color w:val="auto"/>
        </w:rPr>
        <w:t>If securities or industry analysts publish inaccurate or unfavorable research about our business, our stock price and trading volume could decline.</w:t>
      </w:r>
    </w:p>
    <w:p>
      <w:pPr>
        <w:spacing w:after="0" w:line="2"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or our business. We do not have any control over these analysts. If one or more of the analysts covering our business downgrade their evaluations of our stock or publish inaccurate or unfavorable research about our business, the</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2" w:right="359" w:bottom="1440" w:gutter="0" w:footer="0" w:header="0"/>
        </w:sectPr>
      </w:pPr>
    </w:p>
    <w:bookmarkStart w:id="90" w:name="page91"/>
    <w:bookmarkEnd w:id="90"/>
    <w:p>
      <w:pPr>
        <w:ind w:right="360"/>
        <w:spacing w:after="0" w:line="257" w:lineRule="auto"/>
        <w:rPr>
          <w:sz w:val="20"/>
          <w:szCs w:val="20"/>
          <w:color w:val="auto"/>
        </w:rPr>
      </w:pPr>
      <w:r>
        <w:rPr>
          <w:rFonts w:ascii="Arial" w:cs="Arial" w:eastAsia="Arial" w:hAnsi="Arial"/>
          <w:sz w:val="17"/>
          <w:szCs w:val="17"/>
          <w:color w:val="auto"/>
        </w:rPr>
        <w:t>price of our stock would likely decline. If one or more of these analysts cease to cover our stock or fail to publish reports on us regularly, we could lose visibility in the market for our stock, which, in turn, could cause our stock price and trading volume to decline.</w:t>
      </w:r>
    </w:p>
    <w:p>
      <w:pPr>
        <w:spacing w:after="0" w:line="125" w:lineRule="exact"/>
        <w:rPr>
          <w:sz w:val="20"/>
          <w:szCs w:val="20"/>
          <w:color w:val="auto"/>
        </w:rPr>
      </w:pPr>
    </w:p>
    <w:p>
      <w:pPr>
        <w:ind w:right="300"/>
        <w:spacing w:after="0" w:line="281" w:lineRule="auto"/>
        <w:rPr>
          <w:sz w:val="20"/>
          <w:szCs w:val="20"/>
          <w:color w:val="auto"/>
        </w:rPr>
      </w:pPr>
      <w:r>
        <w:rPr>
          <w:rFonts w:ascii="Arial" w:cs="Arial" w:eastAsia="Arial" w:hAnsi="Arial"/>
          <w:sz w:val="17"/>
          <w:szCs w:val="17"/>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as amended, or the Sarbanes-Oxley Act,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are evaluating these rules and regulations, and cannot predict or estimate the amount or timing of additional costs we may incur or the timing of such costs.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services.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5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 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w:t>
      </w:r>
    </w:p>
    <w:p>
      <w:pPr>
        <w:spacing w:after="0" w:line="167"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We cannot predict if investors will find our common stock less attractive because we may rely on the exemptions and reduced disclosure obligations applicable to emerging growth companies. If some investors find our common stock less attractive as a result, there may be a less active trading market for our common stock and our share price may be more volatile.</w:t>
      </w:r>
    </w:p>
    <w:p>
      <w:pPr>
        <w:spacing w:after="0" w:line="12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Securities Exchange Act of 1934, as amended, or the Exchange Act, we will need to implement additional financial and management controls, reporting systems and procedures and hire additional accounting and finance staff.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1" w:name="page92"/>
    <w:bookmarkEnd w:id="91"/>
    <w:p>
      <w:pPr>
        <w:ind w:right="20"/>
        <w:spacing w:after="0" w:line="248" w:lineRule="auto"/>
        <w:rPr>
          <w:sz w:val="20"/>
          <w:szCs w:val="20"/>
          <w:color w:val="auto"/>
        </w:rPr>
      </w:pPr>
      <w:r>
        <w:rPr>
          <w:rFonts w:ascii="Arial" w:cs="Arial" w:eastAsia="Arial" w:hAnsi="Arial"/>
          <w:sz w:val="17"/>
          <w:szCs w:val="17"/>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6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48"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2"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54" w:lineRule="exact"/>
        <w:rPr>
          <w:sz w:val="20"/>
          <w:szCs w:val="20"/>
          <w:color w:val="auto"/>
        </w:rPr>
      </w:pPr>
    </w:p>
    <w:p>
      <w:pPr>
        <w:ind w:left="640" w:hanging="31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limit the manner in which stockholders can remove directors from the board;</w:t>
      </w:r>
    </w:p>
    <w:p>
      <w:pPr>
        <w:spacing w:after="0" w:line="5" w:lineRule="exact"/>
        <w:rPr>
          <w:rFonts w:ascii="Arial" w:cs="Arial" w:eastAsia="Arial" w:hAnsi="Arial"/>
          <w:sz w:val="17"/>
          <w:szCs w:val="17"/>
          <w:color w:val="auto"/>
        </w:rPr>
      </w:pPr>
    </w:p>
    <w:p>
      <w:pPr>
        <w:ind w:left="660" w:right="60" w:hanging="331"/>
        <w:spacing w:after="0" w:line="247" w:lineRule="auto"/>
        <w:tabs>
          <w:tab w:leader="none" w:pos="653"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 advance notice requirements for stockholder proposals that can be acted on at stockholder meetings and nominations to our board of directors;</w:t>
      </w:r>
    </w:p>
    <w:p>
      <w:pPr>
        <w:ind w:left="660" w:right="380" w:hanging="331"/>
        <w:spacing w:after="0" w:line="247" w:lineRule="auto"/>
        <w:tabs>
          <w:tab w:leader="none" w:pos="653"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and prohibit actions by our stockholders by written consent;</w:t>
      </w:r>
    </w:p>
    <w:p>
      <w:pPr>
        <w:ind w:left="640" w:hanging="311"/>
        <w:spacing w:after="0"/>
        <w:tabs>
          <w:tab w:leader="none" w:pos="6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prohibit our stockholders from calling a special meeting of our stockholders;</w:t>
      </w:r>
    </w:p>
    <w:p>
      <w:pPr>
        <w:spacing w:after="0" w:line="5" w:lineRule="exact"/>
        <w:rPr>
          <w:rFonts w:ascii="Arial" w:cs="Arial" w:eastAsia="Arial" w:hAnsi="Arial"/>
          <w:sz w:val="17"/>
          <w:szCs w:val="17"/>
          <w:color w:val="auto"/>
        </w:rPr>
      </w:pPr>
    </w:p>
    <w:p>
      <w:pPr>
        <w:ind w:left="660" w:right="80" w:hanging="331"/>
        <w:spacing w:after="0" w:line="247" w:lineRule="auto"/>
        <w:tabs>
          <w:tab w:leader="none" w:pos="653" w:val="left"/>
        </w:tabs>
        <w:numPr>
          <w:ilvl w:val="0"/>
          <w:numId w:val="60"/>
        </w:numPr>
        <w:rPr>
          <w:rFonts w:ascii="Arial" w:cs="Arial" w:eastAsia="Arial" w:hAnsi="Arial"/>
          <w:sz w:val="17"/>
          <w:szCs w:val="17"/>
          <w:color w:val="auto"/>
        </w:rPr>
      </w:pPr>
      <w:r>
        <w:rPr>
          <w:rFonts w:ascii="Arial" w:cs="Arial" w:eastAsia="Arial" w:hAnsi="Arial"/>
          <w:sz w:val="17"/>
          <w:szCs w:val="17"/>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ind w:left="660" w:right="440" w:hanging="331"/>
        <w:spacing w:after="0" w:line="257" w:lineRule="auto"/>
        <w:tabs>
          <w:tab w:leader="none" w:pos="653"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require the approval of the holders of at least 66 2/3% of the votes that all our stockholders would be entitled to cast to amend or repeal certain provisions of our charter or bylaws.</w:t>
      </w:r>
    </w:p>
    <w:p>
      <w:pPr>
        <w:spacing w:after="0" w:line="15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exclusive forum for substantially all disputes between us and our stockholders, which could limit our stockholders’ ability to obtain a favorable judicial forum for disputes with us or our directors, officers or employees.</w:t>
      </w:r>
    </w:p>
    <w:p>
      <w:pPr>
        <w:spacing w:after="0" w:line="19"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(or, if and only if the Court of Chancery of the State of Delaware lacks subject matter jurisdiction, any state court located within the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2" w:name="page93"/>
    <w:bookmarkEnd w:id="92"/>
    <w:p>
      <w:pPr>
        <w:ind w:right="60"/>
        <w:spacing w:after="0" w:line="257" w:lineRule="auto"/>
        <w:rPr>
          <w:sz w:val="20"/>
          <w:szCs w:val="20"/>
          <w:color w:val="auto"/>
        </w:rPr>
      </w:pPr>
      <w:r>
        <w:rPr>
          <w:rFonts w:ascii="Arial" w:cs="Arial" w:eastAsia="Arial" w:hAnsi="Arial"/>
          <w:sz w:val="17"/>
          <w:szCs w:val="17"/>
          <w:color w:val="auto"/>
        </w:rPr>
        <w:t>State of Delaware or, if and only if all such state courts lack subject matter jurisdiction, the federal district court for the District of Delaware) will be the exclusive forum for the following types of actions or proceedings under Delaware statutory or common law:</w:t>
      </w:r>
    </w:p>
    <w:p>
      <w:pPr>
        <w:spacing w:after="0" w:line="145" w:lineRule="exact"/>
        <w:rPr>
          <w:sz w:val="20"/>
          <w:szCs w:val="20"/>
          <w:color w:val="auto"/>
        </w:rPr>
      </w:pPr>
    </w:p>
    <w:p>
      <w:pPr>
        <w:ind w:left="640" w:hanging="31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5" w:lineRule="exact"/>
        <w:rPr>
          <w:rFonts w:ascii="Arial" w:cs="Arial" w:eastAsia="Arial" w:hAnsi="Arial"/>
          <w:sz w:val="17"/>
          <w:szCs w:val="17"/>
          <w:color w:val="auto"/>
        </w:rPr>
      </w:pPr>
    </w:p>
    <w:p>
      <w:pPr>
        <w:ind w:left="660" w:right="520" w:hanging="331"/>
        <w:spacing w:after="0" w:line="247" w:lineRule="auto"/>
        <w:tabs>
          <w:tab w:leader="none" w:pos="653"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action or proceeding asserting a claim of breach of a fiduciary duty owed by any of our current or former directors, officers or other employees to us or our stockholders;</w:t>
      </w:r>
    </w:p>
    <w:p>
      <w:pPr>
        <w:ind w:left="660" w:right="180" w:hanging="331"/>
        <w:spacing w:after="0" w:line="247" w:lineRule="auto"/>
        <w:tabs>
          <w:tab w:leader="none" w:pos="653"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action or proceeding asserting a claim against us or any of our current or former directors, officers or other employees, arising out of or pursuant to any provision of the Delaware General Corporation Law, our certificate of incorporation or our bylaws;</w:t>
      </w:r>
    </w:p>
    <w:p>
      <w:pPr>
        <w:ind w:left="640" w:hanging="31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action or proceeding to interpret, apply, enforce or determine the validity of our certificate of incorporation or our bylaws;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officers or other employees governed by the internal affairs doctrine.</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This provision would not apply to suits brought to enforce a duty or liability created by the Exchange Act or any other claim for which the U.S. federal courts have exclusive jurisdiction.</w:t>
      </w:r>
    </w:p>
    <w:p>
      <w:pPr>
        <w:spacing w:after="0" w:line="158" w:lineRule="exact"/>
        <w:rPr>
          <w:sz w:val="20"/>
          <w:szCs w:val="20"/>
          <w:color w:val="auto"/>
        </w:rPr>
      </w:pPr>
    </w:p>
    <w:p>
      <w:pPr>
        <w:jc w:val="both"/>
        <w:ind w:right="360"/>
        <w:spacing w:after="0" w:line="252" w:lineRule="auto"/>
        <w:rPr>
          <w:sz w:val="20"/>
          <w:szCs w:val="20"/>
          <w:color w:val="auto"/>
        </w:rPr>
      </w:pPr>
      <w:r>
        <w:rPr>
          <w:rFonts w:ascii="Arial" w:cs="Arial" w:eastAsia="Arial" w:hAnsi="Arial"/>
          <w:sz w:val="17"/>
          <w:szCs w:val="17"/>
          <w:color w:val="auto"/>
        </w:rPr>
        <w:t>In addition, our amended and restated certificate of incorporation provides that the federal district courts of the United States will be the exclusive forum for resolving any complaint asserting a cause of action arising under the Securities Act, unless we consent in writing to the selection of an alternative forum.</w:t>
      </w:r>
    </w:p>
    <w:p>
      <w:pPr>
        <w:spacing w:after="0" w:line="149"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For example, the Court of Chancery of the State of Delaware recently determined that a provision stating that U.S. federal district courts are the exclusive forum for resolving any complaint asserting a cause of action arising under the Securities Act is not enforceable. However, on March 18, 2020, this decision was ultimately overturned by the Delaware Supreme Court.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Our principal office is located at 99 Hayden Avenue, Suite 120, Building E, Lexington, Massachusetts 02421, where we lease approximately 15,622 square feet of office and laboratory space under a lease that terminates in March 2023. We previously amended our lease to expand our square footage as we continued to grow.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September 2021, we entered into an indenture of lease, or Lease, with Revolution Labs Owner, LLC, a Delaware limited liability company, or the Landlord, pursuant to which we will lease approximately 35,662 square feet of office and laboratory space located at 1050 Waltham Street, Lexington, Massachusetts, or the Premises, for our new principal executive office. The term of the Lease will commence on the date the Landlord delivers the Premises to us after the substantial completion of agreed upon improvements to be performed by the Landlord, or the Commencement Date, which we expect to be on or prior to October 21, 2022. Our obligation for the payment of base rent for the Premises begins four months after the Commencement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2"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From time to time, we may become subject to arbitration, litigation or claims arising in the ordinary course of business. We are not currently a party to any material arbitration or legal proceedings. The results of any future claims or proceedings cannot be predicted with certainty, and regardless of the outcome, litigation can have an adverse impact on us because of defense and litigation costs, diversion of management resources, and other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69" w:lineRule="exact"/>
        <w:rPr>
          <w:sz w:val="20"/>
          <w:szCs w:val="20"/>
          <w:color w:val="auto"/>
        </w:rPr>
      </w:pPr>
    </w:p>
    <w:p>
      <w:pPr>
        <w:ind w:right="480"/>
        <w:spacing w:after="0" w:line="28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Our common stock commenced trading on the Nasdaq Global Market on April 8, 2020 and trades under the symbol “KROS.” Prior to April 8, 2020, there was no public market for our common stock.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2"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As of March 2, 2022, there were 43 stockholders of record of our common stock, one of which is Cede &amp; Co., a nominee for Depository Trust Company, or DTC. All of the shares of common stock held by brokerage firms, banks and other financial institutions as nominees for beneficial owners are deposited into participant accounts at DTC, and are considered to be held of record by Cede &amp; Co. as one stockholder.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have never declared or paid any dividends on our capital stock. We currently intend to retain all available funds and any future earnings for the operation and expansion of our business and, therefore, we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any limitations on payment of dividends present in any future debt agreements and other factors that our board of directors may deem relevant.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7"/>
          <w:szCs w:val="17"/>
          <w:i w:val="1"/>
          <w:iCs w:val="1"/>
          <w:color w:val="auto"/>
        </w:rPr>
        <w:t>This performance graph below shall not be deemed "soliciting material" or to be "filed" with the SEC for purposes of Section 18 of the Exchange Act, or otherwise subject to the liabilities under that Section, and shall not be deemed to be incorporated by reference into this Annual Report on Form 10-K or any other filing of Keros Therapeutics, Inc. under the Exchange Act or the Securities Act, whether made before or after the date hereof and irrespective of any general incorporation language in any such filing, except to the extent that we specifically incorporate this information by reference therein.</w:t>
      </w:r>
    </w:p>
    <w:p>
      <w:pPr>
        <w:spacing w:after="0" w:line="161"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The graph set forth below compares the cumulative total stockholder return on our common stock between April 8, 2020 (the date our common stock commenced trading on the Nasdaq Global Market) and December 31, 2021, with the cumulative total return of (a) the Nasdaq Composite Index and</w:t>
      </w:r>
    </w:p>
    <w:p>
      <w:pPr>
        <w:ind w:right="140" w:firstLine="7"/>
        <w:spacing w:after="0" w:line="250" w:lineRule="auto"/>
        <w:tabs>
          <w:tab w:leader="none" w:pos="255"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Nasdaq Biotechnology Index, over the same period. This graph assumes the investment of $100 on April 8, 2020 in our common stock, the Nasdaq Composite Index, and the Nasdaq Biotechnology Index and assumes the reinvestment of dividends, if any. The graph assumes our closing sales price on April 8, 2020 of $20.08 per share as the initial value of our common stock and not the initial offering price to the public of $16.00 per share.</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95885</wp:posOffset>
            </wp:positionV>
            <wp:extent cx="5615940" cy="2769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15940" cy="2769870"/>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Initial Public Offering</w:t>
      </w:r>
    </w:p>
    <w:p>
      <w:pPr>
        <w:spacing w:after="0" w:line="198"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On April 13, 2020, we closed our initial public offering, or IPO, in which we issued and sold an aggregate of 6,900,000 shares of common stock at a public offering price of $16.00 per share. All of the shares of common stock issued and sold in our IPO were registered under the Securities Act pursuant to a registration statement on Form S-1 (Registration No. 333-237212), which was declared effective by the SEC on April 7, 2020. The offering commenced on April 7, 2020, and, following the sale of the shares upon the closing of the IPO, the offer terminated.</w:t>
      </w:r>
    </w:p>
    <w:p>
      <w:pPr>
        <w:spacing w:after="0" w:line="152"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aggregate net proceeds to us from the public offering were approximately $100.1 million, after deducting underwriting discounts and commissions and offering expenses payable by us of approximately $2.5 million. No offering expenses were paid directly or indirectly to any of our directors or officers (or their associates) or persons owning 10% or more of any class of our equity securities or to any other affiliates.</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There has been no material change in the use of proceeds from our IPO from those disclosed in the Annual Report on Form 10-K for the year ended December 31, 2020, filed with the SEC on March 25, 2021.</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November 2020 Public Offering of Common Stock</w:t>
      </w:r>
    </w:p>
    <w:p>
      <w:pPr>
        <w:spacing w:after="0" w:line="18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On November 17, 2020, we closed a public offering in which we issued and sold an aggregate of 2,990,000 shares of common stock at a public offering price of $50.00 per share. All of the shares of common stock issued and sold in this public offering were registered under the Securities Act pursuant to a registration statement on Form S-1 (Registration No. 333-250010), which was declared effective by the SEC on November 12, 2020. Jefferies LLC, SVB Leerink LLC and Piper Sandler &amp; Co. acted as joint book-running managers for the offering. H.C. Wainwright &amp; Co., LLC acted as co-manager for the offering. The offering commenced on November 12, 2020, and, following the sale of the shares upon the closing of the offering, the offer terminated.</w:t>
      </w:r>
    </w:p>
    <w:p>
      <w:pPr>
        <w:spacing w:after="0" w:line="166"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aggregate net proceeds to us from the public offering were approximately $140.1 million, after deducting underwriting discounts and commissions and offering expenses payable by us of approximately $9.4 million. No offering expenses were paid directly or indirectly to any of our directors or officers (or their associates) or persons owning 10% or more of any class of our equity securities or to any other affiliates.</w:t>
      </w:r>
    </w:p>
    <w:p>
      <w:pPr>
        <w:spacing w:after="0" w:line="16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There has been no material change in the use of proceeds from our public offering from those disclosed in the final prospectus for our public offering dated November 12, 2020 and filed with the SEC pursuant to Rule 424(b)(4) of the Securities Act on November 13,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 by the Issuer and Affiliated Purchasers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7" w:lineRule="exact"/>
        <w:rPr>
          <w:sz w:val="20"/>
          <w:szCs w:val="20"/>
          <w:color w:val="auto"/>
        </w:rPr>
      </w:pPr>
    </w:p>
    <w:p>
      <w:pPr>
        <w:spacing w:after="0" w:line="25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hematological and musculoskeletal disorders with high unmet medical need. We are a leader in understanding the role of the transforming growth factor-beta, or TGF-ß, family of proteins, which are master regulators of red blood cell and platelet production as well as of the growth, repair and maintenance of muscle and bone. We have leveraged this understanding and developed a discovery approach to generate large and small molecules to address diseases of these tissues. Targeting TGF-ß signaling pathways has been clinically proven to elicit robust changes in blood cells, muscle and bone, which we believe provides a precedent and strong rationale for our strategy. Our lead protein</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95" w:name="page96"/>
    <w:bookmarkEnd w:id="95"/>
    <w:p>
      <w:pPr>
        <w:spacing w:after="0" w:line="248" w:lineRule="auto"/>
        <w:rPr>
          <w:sz w:val="20"/>
          <w:szCs w:val="20"/>
          <w:color w:val="auto"/>
        </w:rPr>
      </w:pPr>
      <w:r>
        <w:rPr>
          <w:rFonts w:ascii="Arial" w:cs="Arial" w:eastAsia="Arial" w:hAnsi="Arial"/>
          <w:sz w:val="17"/>
          <w:szCs w:val="17"/>
          <w:color w:val="auto"/>
        </w:rPr>
        <w:t>therapeutic product candidate, KER-050, is being developed for the treatment of low blood cell counts, or cytopenias, including anemia and thrombocytopenia, in patients with myelodysplastic syndromes, or MDS, and in patients with myelofibrosis. We have initiated a Phase 2 clinical trial in patients with MDS and reported preliminary data from Part 1 of this trial most recently in December 2021. We expect to report additional data from this ongoing trial in mid-2022. We have also commenced a Phase 2 clinical trial in patients with myelofibrosis and expect to report initial data from this trial by the end of 2022. Our lead small molecule product candidate, KER-047, is being developed for the treatment of anemia resulting from iron imbalance. We have completed our Phase 1 clinical trial of KER-047 and expect to commence two open-label Phase 2 clinical trials in the first half of 2022, one in patients with iron deficiency anemia and one in patients with iron-refractory iron deficiency anemia. Our third product candidate, KER-012, is being developed for the treatment of pulmonary arterial hypertension and for the treatment of disorders associated with bone loss, such as osteoporosis and osteogenesis imperfecta. We have commenced a Phase 1 clinical trial of KER-012 in healthy volunteers and expect to report initial data from Part 1 of this trial in the second quarter of 2022. We believe KER-047 and KER-012 offer substantial opportunities for us to continue to apply our understanding of TGF-ß signaling pathways and expand our development programs in related hematological and musculoskeletal disorders with high unmet medical need.</w:t>
      </w:r>
    </w:p>
    <w:p>
      <w:pPr>
        <w:spacing w:after="0" w:line="15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Since our inception in 2015, we have devoted the majority of our efforts into business planning, research and development of our product candidates, including by conducting clinical trials and preclinical studies, raising capital and recruiting management and technical staff to support these operations. To date, we have not generated any revenue from product sales as none of our product candidates have been approved for commercialization. We have historically financed our operations primarily through the sale of convertible preferred stock and cash received from licensing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61"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On April 13, 2020, we completed an initial public offering, or IPO, of our common stock, in which we issued and sold 6,900,000 shares of common stock, which includes 900,000 shares issued and sold pursuant to the full exercise of the underwriters’ option to purchase additional shares, at a public offering price of $16.00 per share. The aggregate net proceeds to us from the IPO were approximately $100.1 million after deducting underwriting discounts and commissions and offering expenses. The shares began trading on the Nasdaq Global Market on April 8, 2020. Upon completion of the IPO, all of our outstanding shares of convertible preferred stock converted into 10,725,129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2020 Public Offering of Common Stock</w:t>
      </w:r>
    </w:p>
    <w:p>
      <w:pPr>
        <w:spacing w:after="0" w:line="61" w:lineRule="exact"/>
        <w:rPr>
          <w:sz w:val="20"/>
          <w:szCs w:val="20"/>
          <w:color w:val="auto"/>
        </w:rPr>
      </w:pPr>
    </w:p>
    <w:p>
      <w:pPr>
        <w:ind w:right="420"/>
        <w:spacing w:after="0" w:line="250" w:lineRule="auto"/>
        <w:rPr>
          <w:sz w:val="20"/>
          <w:szCs w:val="20"/>
          <w:color w:val="auto"/>
        </w:rPr>
      </w:pPr>
      <w:r>
        <w:rPr>
          <w:rFonts w:ascii="Arial" w:cs="Arial" w:eastAsia="Arial" w:hAnsi="Arial"/>
          <w:sz w:val="17"/>
          <w:szCs w:val="17"/>
          <w:color w:val="auto"/>
        </w:rPr>
        <w:t>On November 17, 2020, we closed a public offering in which we issued and sold 2,990,000 shares of common stock at a public offering price of $50.00 per share, which included 390,000 shares of common stock issued pursuant to the exercise in full of the underwriters’ option to purchase additional shares. The aggregate net proceeds to us from the public offering were approximately $140.1 million, after deducting underwriting discounts and commissions and offering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ATM Sales Agreement</w:t>
      </w:r>
    </w:p>
    <w:p>
      <w:pPr>
        <w:spacing w:after="0" w:line="4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In May 2021, we entered into a Sales Agreement with SVB Leerink LLC, or SVB Leerink, as sales agent, which we refer to as the ATM Sale Agreement, under which we may offer and sell, from time to time, shares of our common stock having an aggregate offering price of up to $150.0 million, or the ATM Shares, through SVB Leerink, which we refer to as the ATM Offering. Under the ATM Sales Agreement, SVB Leerink may sell the ATM Shares by methods deemed to be an “at the market offering” as defined in Rule 415(a)(4) promulgated under the Securities Exchange Act of 1934, as amended. We may sell the ATM Shares in amounts and at times to be determined by us from time to time subject to the terms and conditions of the ATM Sales Agreement, but we have no obligation to sell any of the ATM Shares in the ATM Offering.</w:t>
      </w:r>
    </w:p>
    <w:p>
      <w:pPr>
        <w:spacing w:after="0" w:line="166"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For the year ended December 31, 2021, we raised gross proceeds of $28.6 million pursuant to the ATM Offering through the sale of 520,000 shares of common stock at a weighted average price of $55.00 per share. The net proceeds from the ATM Offering were approximately $28.1 million after deducting sales agent commissions of $0.4 million and offering expenses of $0.1 million. As of December 31, 2021, we may offer and sell ATM shares at an aggregate offering price of up to the remaining $121.4 million available under the ATM Offering.</w:t>
      </w:r>
    </w:p>
    <w:p>
      <w:pPr>
        <w:spacing w:after="0" w:line="165"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We have incurred recurring operating losses since inception in 2015. Our ability to generate product revenue sufficient to achieve profitability will depend on the successful development and commercialization of one or more of our product candidates. Our net loss was $58.7 million and $45.4 million for the years ended December 31, 2021 and 2020, respectively. As of December 31, 2021, we had an accumulated deficit of $123.8 million. We expect to continue to generate operating losses and negative operating cash flows for the foreseeable future in connection with our ongoing activities.</w:t>
      </w:r>
    </w:p>
    <w:p>
      <w:pPr>
        <w:spacing w:after="0" w:line="154"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We will not generate any revenue from product sales unless and until we successfully complete clinical development and obtain regulatory approval for one or more of our product candidates. If we obtain regulatory approval for any of our product candidates, we expect to incur significant expenses related to developing our internal commercialization capability to support product sales, marketing and distribution.</w:t>
      </w:r>
    </w:p>
    <w:p>
      <w:pPr>
        <w:spacing w:after="0" w:line="163"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As a result, we will need substantial additional funding to support our operating activities as we advance our product candidates through clinical development, seek regulatory approval and prepare for and, if any of our product candidates are approved, proceed to commercialization. Until such time as we can generate significant revenue from product sales, if ever,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6" w:name="page97"/>
    <w:bookmarkEnd w:id="96"/>
    <w:p>
      <w:pPr>
        <w:ind w:right="140"/>
        <w:spacing w:after="0" w:line="257" w:lineRule="auto"/>
        <w:rPr>
          <w:sz w:val="20"/>
          <w:szCs w:val="20"/>
          <w:color w:val="auto"/>
        </w:rPr>
      </w:pPr>
      <w:r>
        <w:rPr>
          <w:rFonts w:ascii="Arial" w:cs="Arial" w:eastAsia="Arial" w:hAnsi="Arial"/>
          <w:sz w:val="17"/>
          <w:szCs w:val="17"/>
          <w:color w:val="auto"/>
        </w:rPr>
        <w:t>we expect to finance our operating activities through a combination of equity offerings, debt financings, and license and development agreements in connection with any future collaborations. Adequate funding may not be available to us on acceptable terms, or at all.</w:t>
      </w:r>
    </w:p>
    <w:p>
      <w:pPr>
        <w:spacing w:after="0" w:line="145"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If we are unable to obtain funding, we will be forced to delay, reduce or eliminate some or all of our research and development programs, product portfolio expansion or commercialization efforts, which could adversely affect our business prospects, or we may be unable to continue operations. Although we continue to pursue these plans, there is no assurance that we will be successful in obtaining sufficient funding on terms acceptable to us to fund continuing operations, if at all.</w:t>
      </w:r>
    </w:p>
    <w:p>
      <w:pPr>
        <w:spacing w:after="0" w:line="165"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As of December 31, 2021, we had cash and cash equivalents of $230.0 million. We expect that our existing cash and cash equivalents as of December 31, 2021, along with the net $18.0 million upfront payment pursuant to our license agreement with Hansoh (Shanghai) Healthtech Co., Ltd., which we received in January 2022, will enable us to fund our operating expenses and capital expenditure requirements into the first quarter of 2024. See “—Liquidity and Capital Resources.”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Business Update</w:t>
      </w:r>
    </w:p>
    <w:p>
      <w:pPr>
        <w:spacing w:after="0" w:line="92"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As a result of the continuing global COVID-19 pandemic, we have implemented business continuity plans designed to address and mitigate the impact of the COVID-19 pandemic on our employees, and our business operations, including our preclinical studies and clinical trials, supply chains and third-party providers. We are closely monitoring the COVID-19 situation as we evolve our business, continuity plans and response strategy. On March 23, 2020, the governor of Massachusetts ordered the closure of all non-essential businesses effective March 24, 2020, through April 7, 2020, which was subsequently extended through May 18, 2020. On May 18, 2020, the governor of Massachusetts issued a new order implementing a phased re-opening of workplaces, effective May 18, 2020. On May 29, 2021, the Commonwealth of Massachusetts permitted all industries to fully re-open and on June 15, 2021, the governor of Massachusetts signed an executive order that terminated the Commonwealth's State of Emergency. Because of the nature of our operations, we were considered to be an essential business so our operations were only partially affected by these orders. The outbreak and government measures taken in response have also had a significant impact, both direct and indirect, on third-party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closed our principal executive office in March 2020, with our administrative employees continuing their work outside of our office, and limited the number of staff in any given research laboratory. In July 2021, we implemented a plan to reopen our office to allow employees to return to the office, which is based on a phased approach that is principles-based and local in design, with a focus on continuity of preclinical studies and clinical trial activities, employee safety and optimal work environment. While we are experiencing limited financial impacts at this time, given the global economic slowdown, the overall disruption of global healthcare systems and the other risks and uncertainties associated with the pandemic, particularly in light of variant strains of the COVID-19 virus, our business, financial condition, results of operations and growth prospects could be materially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Developments</w:t>
      </w:r>
    </w:p>
    <w:p>
      <w:pPr>
        <w:spacing w:after="0" w:line="51"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With respect to preclinical and clinical development, we have taken measures to implement remote and virtual approaches, including remote participant monitoring where possible, to maintain participant safety and trial continuity and to preserve study integrity. For several of our clinical development programs, we are experiencing, and expect to continue to experience, a disruption or delay in our ability to initiate trial sites and enroll and assess participants. As the COVID-19 pandemic continues, we have experienced and expect to continue to experience an impact on our ability to enroll participants in our clinical trials. We have experienced and expect to continue to experience an impact on the ability to supply study drug, report trial results or interact with clinicians, investigators, regulators, ethics committees or other important agencies due to limitations in regulatory authority employee resources or otherwise. In addition, we rely on contract research organizations, or CROs, or other third parties to assist us with clinical trials, and we cannot guarantee that they will continue to perform their contractual duties in a timely and satisfactory manner as a result of the COVID-19 pandemic. If the COVID-19 pandemic continues and persists for an extended period of time, we could experience significant disruptions to our preclinical and clinical development timelines, which would adversely affect our business, financial condition, results of operations and growth prospects.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Chain</w:t>
      </w:r>
    </w:p>
    <w:p>
      <w:pPr>
        <w:spacing w:after="0" w:line="6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As for our third-party manufacturers, distributors, and other partners, we are working closely with them to manage our supply chain activities and mitigate potential disruptions to our clinical supply as a result of the COVID-19 pandemic. We expect to have adequate supply for the development of our product candidates. However, if the COVID-19 pandemic continues to persist and impact essential distribution systems such as FedEx and postal delivery, we could experience disruptions to our supply chain and operations, and associated delays in the manufacturing and supply of our product candidates, which would adversely impact our ability to carry out our clinical trials.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Financial Impact</w:t>
      </w:r>
    </w:p>
    <w:p>
      <w:pPr>
        <w:spacing w:after="0" w:line="5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COVID-19 pandemic continues to rapidly evolve and has already resulted in a significant disruption of global financial markets. If the disruption persists and deepens, we could experience an inability to access additional capital, which could in the future negatively affect our operations. While we expect the COVID-19 pandemic to adversely affect our business operations, our clinical development and regulatory efforts, our corporate development objectives and the value of and market for our common stock will depend on future developments that are highly uncertain and cannot be predicted with confidence at this time, as a result of uncertainty regarding ultimate duration of the pandemic, particularly in light of variant strains of the COVID-19 virus, travel restrictions, quarantines, social distancing and business closure requirements in the United States, Australia and New Zealand and the effectiveness of actions taken globally to contain and treat the disease.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Exclusive Patent License Agreement with The General Hospital Corporation</w:t>
      </w:r>
    </w:p>
    <w:p>
      <w:pPr>
        <w:spacing w:after="0" w:line="65"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In April 2016, we entered into an exclusive patent license agreement with The General Hospital Corporation, or MGH, which was subsequently amended in May 2017 and February 2018. Under the license agreement with MGH, or the MGH Agreement, we obtained an exclusive, worldwide license, with the right to sublicense, under certain patents and technical information of MGH, to make, have made, use, have used, sell, have sold, lease, have leased, import, have imported or otherwise transfer licensed products and processes for use in the treatment, diagnosis, palliation and prevention of diseases and disorders in humans and animals. We are required to use commercially reasonable efforts to develop and commercialize licensed products and processes, and must achieve certain required diligence milestones.</w:t>
      </w:r>
    </w:p>
    <w:p>
      <w:pPr>
        <w:spacing w:after="0" w:line="166"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Under the terms of the MGH Agreement, we made an initial license payment of $0.1 million in 2016 and reimbursed MGH approximately $0.3 million of prior patent prosecution expenses related to the licensed patents in 2017. We also issued MGH an aggregate of 358,674 shares of our common stock. Additionally, we are required to pay a nominal annual maintenance fee prior to the first commercial sale of our first product or process, a mid-five digit annual maintenance fee after the first commercial sale of our first product or process that is creditable against royalties, certain clinical and regulatory milestone payments for the first three products or indications to achieve such milestones, which milestone payments are $8.6 million in the aggregate, and certain commercial milestone payments for the first three products or indications to achieve such milestones, which milestone payments are $18.0 million in the aggregate. We made payments of $50,000 and $300,000 in 2020 and 2021, respectively, for the achievement of the clinical and regulatory milestones of (i) filing of an IND in the first country and (ii) the completion of a Phase 1 clinical trial, respectively. We are also obligated to pay tiered royalties on net sales of licensed products ranging in the low-single digits to mid-single digits. The royalty rates are subject to up to a maximum 50% reduction for lack of a valid claim, in the event that it is necessary for us to obtain a license to any third-party intellectual property related to the licensed products, and generic competition. The obligation to pay royalties under the MGH Agreement expires on a licensed product-by-licensed product and country-by-country basis upon the later of expiry of the last valid claim of the licensed patents that cover such licensed product in such country and ten years from the first commercial sale of such product in such country. We are also obligated to pay a percentage of non-royalty-related payments received by us from sublicensees ranging in the sub-teen double digits and a change of control fee equal to a low-single digit percentage of the payments received as part of any completed transaction up to a low-seven digit amount.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Neurona Therapeutics Inc., License Agreement</w:t>
      </w:r>
    </w:p>
    <w:p>
      <w:pPr>
        <w:spacing w:after="0" w:line="65"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On June 22, 2021, we entered into a license agreement, or the Neurona Agreement, with Neurona Therapeutics, Inc., or Neurona. Under the Neurona Agreement, we granted Neurona a non-exclusive license to use LDN-193189, an early-stage research compound, which we license from a third party, solely as a reagent in connection with the manufacturing of diagnostic and/or therapeutic products to make, have made, use, import, offer for sale and sell products and services arising therefrom, and to make, have made, acquire, transfer, import and export the compound for such use. The license excludes Neurona from any rights to use, sell or distribute the compound for any therapeutic or diagnostic purpose. Unless terminated by either party for breach of contract or insolvency, the Neurona Agreement will continue in perpetuity until the last patent expires. Under the Neurona Agreement, we received a one-time, upfront license fee of $0.1 million from Neurona in July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License Agreement with Hansoh (Shanghai) Healthtech Co., Ltd.</w:t>
      </w:r>
    </w:p>
    <w:p>
      <w:pPr>
        <w:spacing w:after="0" w:line="51"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In December 2021, we entered into a license agreement with Hansoh (Shanghai) Healthtech Co., Ltd., or Hansoh. Under the terms of the license agreement with Hansoh, or the Hansoh Agreement, we granted to Hansoh the exclusive right to develop, manufacture and commercialize KER-050 and licensed products containing KER-050 within the territories of mainland China, Hong Kong and Macau, which we refer to collectively as the Territory.</w:t>
      </w:r>
    </w:p>
    <w:p>
      <w:pPr>
        <w:spacing w:after="0" w:line="165"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In connection with the Hansoh Agreement, Hansoh will purchase clinical trial supply of KER-050 from us, and the parties will also negotiate in good faith to enter into an agreement for commercial supply prior to any anticipated commercialization in the Territory. In addition, Hansoh will use commercially reasonable efforts to develop, obtain regulatory approval for, and commercialize licensed products in any region in the Territory.</w:t>
      </w:r>
    </w:p>
    <w:p>
      <w:pPr>
        <w:spacing w:after="0" w:line="163" w:lineRule="exact"/>
        <w:rPr>
          <w:sz w:val="20"/>
          <w:szCs w:val="20"/>
          <w:color w:val="auto"/>
        </w:rPr>
      </w:pPr>
    </w:p>
    <w:p>
      <w:pPr>
        <w:ind w:right="740"/>
        <w:spacing w:after="0" w:line="257" w:lineRule="auto"/>
        <w:rPr>
          <w:sz w:val="20"/>
          <w:szCs w:val="20"/>
          <w:color w:val="auto"/>
        </w:rPr>
      </w:pPr>
      <w:r>
        <w:rPr>
          <w:rFonts w:ascii="Arial" w:cs="Arial" w:eastAsia="Arial" w:hAnsi="Arial"/>
          <w:sz w:val="17"/>
          <w:szCs w:val="17"/>
          <w:color w:val="auto"/>
        </w:rPr>
        <w:t>Pursuant to the terms of the Hansoh Agreement, we received a net $18.0 million upfront payment in January 2022. In addition to the upfront payment, we are entitled to receive up to an aggregate of (i) $26.5 million upon the achievement of</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98" w:name="page99"/>
    <w:bookmarkEnd w:id="98"/>
    <w:p>
      <w:pPr>
        <w:ind w:right="140"/>
        <w:spacing w:after="0" w:line="250" w:lineRule="auto"/>
        <w:rPr>
          <w:sz w:val="20"/>
          <w:szCs w:val="20"/>
          <w:color w:val="auto"/>
        </w:rPr>
      </w:pPr>
      <w:r>
        <w:rPr>
          <w:rFonts w:ascii="Arial" w:cs="Arial" w:eastAsia="Arial" w:hAnsi="Arial"/>
          <w:sz w:val="17"/>
          <w:szCs w:val="17"/>
          <w:color w:val="auto"/>
        </w:rPr>
        <w:t>specified development milestones and (ii) $144.0 million upon the achievement of specified net sales thresholds for all licensed products in the Territory. If a licensed product is approved for marketing in the Territory, we will be entitled to receive royalty payments based on a tiered percentage of annual net sales in each region within the Territory, with such percentage ranging from the low double digit to high teens, subject to specified potential royalty reductions.</w:t>
      </w:r>
    </w:p>
    <w:p>
      <w:pPr>
        <w:spacing w:after="0" w:line="15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Hansoh’s obligation to pay royalties for a given licensed product in a given region in the Territory will begin on the date of the first commercial sale for such licensed product in such region and continue until the latest of (i) ten years from the date of the first commercial sale for such licensed product in such region, (ii) the expiration of the last valid claim of certain licensed patents or joint patents, and (iii) expiration of regulatory exclusivity in such region. During the royalty term, neither party will directly or indirectly commercialize a competing product in the Territory.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65"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To date, we have not generated any revenue, and do not expect to generate any revenue in the foreseeable future, from product sales. We have generated revenue solely from research collaborations or licensing of intellectual property. We may in the future generate revenue from other strategic collaborations.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Research and development expenses consist primarily of costs incurred for our research activities, including our discovery efforts and the preclinical and clinical development of our current and potential future product candidates, and include:</w:t>
      </w:r>
    </w:p>
    <w:p>
      <w:pPr>
        <w:spacing w:after="0" w:line="145" w:lineRule="exact"/>
        <w:rPr>
          <w:sz w:val="20"/>
          <w:szCs w:val="20"/>
          <w:color w:val="auto"/>
        </w:rPr>
      </w:pPr>
    </w:p>
    <w:p>
      <w:pPr>
        <w:ind w:left="660" w:right="1020" w:hanging="331"/>
        <w:spacing w:after="0" w:line="247" w:lineRule="auto"/>
        <w:tabs>
          <w:tab w:leader="none" w:pos="653" w:val="left"/>
        </w:tabs>
        <w:numPr>
          <w:ilvl w:val="0"/>
          <w:numId w:val="63"/>
        </w:numPr>
        <w:rPr>
          <w:rFonts w:ascii="Arial" w:cs="Arial" w:eastAsia="Arial" w:hAnsi="Arial"/>
          <w:sz w:val="17"/>
          <w:szCs w:val="17"/>
          <w:color w:val="auto"/>
        </w:rPr>
      </w:pPr>
      <w:r>
        <w:rPr>
          <w:rFonts w:ascii="Arial" w:cs="Arial" w:eastAsia="Arial" w:hAnsi="Arial"/>
          <w:sz w:val="17"/>
          <w:szCs w:val="17"/>
          <w:color w:val="auto"/>
        </w:rPr>
        <w:t>salaries, benefits and other related costs, including stock-based compensation expense, for personnel engaged in research and development functions;</w:t>
      </w:r>
    </w:p>
    <w:p>
      <w:pPr>
        <w:ind w:left="660" w:right="20" w:hanging="331"/>
        <w:spacing w:after="0" w:line="262" w:lineRule="auto"/>
        <w:tabs>
          <w:tab w:leader="none" w:pos="653"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expenses incurred under agreements with third parties, including CROs that conduct research, preclinical and clinical activities on our behalf, as well as contract manufacturing organizations, or CMOs, that manufacture drug product for use in our preclinical studies and clinical trials;</w:t>
      </w: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license fees incurred in connection with license agreements;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research and development supplies and services expenses;</w:t>
      </w:r>
    </w:p>
    <w:p>
      <w:pPr>
        <w:spacing w:after="0" w:line="5" w:lineRule="exact"/>
        <w:rPr>
          <w:rFonts w:ascii="Arial" w:cs="Arial" w:eastAsia="Arial" w:hAnsi="Arial"/>
          <w:sz w:val="17"/>
          <w:szCs w:val="17"/>
          <w:color w:val="auto"/>
        </w:rPr>
      </w:pPr>
    </w:p>
    <w:p>
      <w:pPr>
        <w:ind w:left="660" w:right="400" w:hanging="331"/>
        <w:spacing w:after="0" w:line="247" w:lineRule="auto"/>
        <w:tabs>
          <w:tab w:leader="none" w:pos="653" w:val="left"/>
        </w:tabs>
        <w:numPr>
          <w:ilvl w:val="0"/>
          <w:numId w:val="63"/>
        </w:numPr>
        <w:rPr>
          <w:rFonts w:ascii="Arial" w:cs="Arial" w:eastAsia="Arial" w:hAnsi="Arial"/>
          <w:sz w:val="17"/>
          <w:szCs w:val="17"/>
          <w:color w:val="auto"/>
        </w:rPr>
      </w:pPr>
      <w:r>
        <w:rPr>
          <w:rFonts w:ascii="Arial" w:cs="Arial" w:eastAsia="Arial" w:hAnsi="Arial"/>
          <w:sz w:val="17"/>
          <w:szCs w:val="17"/>
          <w:color w:val="auto"/>
        </w:rPr>
        <w:t>facility-related expenses, which include direct depreciation costs and allocated expenses for rent and maintenance of facilities and other operating costs;</w:t>
      </w: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 of outside consultants, including their fees and related travel expenses, engaged in research and development functions;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expenses related to regulatory affairs; and</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fees related to our scientific advisory board.</w:t>
      </w:r>
    </w:p>
    <w:p>
      <w:pPr>
        <w:spacing w:after="0" w:line="180"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research and development expenses. Nonrefundable advance payments for goods or services to be received in the future for use in research and development activities are recorded as prepaid expenses and expensed as the related goods are delivered or the services are performed.</w:t>
      </w:r>
    </w:p>
    <w:p>
      <w:pPr>
        <w:spacing w:after="0" w:line="16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for the foreseeable future as we continue ongoing and initiate new clinical trials for our product candidates and continue to discover and develop additional product candidates. We expect research and development expenses to fluctuate from quarter to quarter depending on the timing of clinical trial activities, clinical manufacturing and other development activities. If any of our product candidates enter into later stages of clinical development, they will generally have higher development costs than those in earlier stages of clinical development, primarily due to the increased size and duration of later-stage clinical trials. There are numerous factors associated with the successful commercialization of any product candidates we may develop in the future,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 and plans.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information technology, auditing, tax and consulting services, and travel expenses and facility-related expenses, which include direct depreciation costs and allocated expenses for rent and maintenance of facilities and other operating costs.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9" w:name="page100"/>
    <w:bookmarkEnd w:id="99"/>
    <w:p>
      <w:pPr>
        <w:ind w:right="20"/>
        <w:spacing w:after="0" w:line="250" w:lineRule="auto"/>
        <w:rPr>
          <w:sz w:val="20"/>
          <w:szCs w:val="20"/>
          <w:color w:val="auto"/>
        </w:rPr>
      </w:pPr>
      <w:r>
        <w:rPr>
          <w:rFonts w:ascii="Arial" w:cs="Arial" w:eastAsia="Arial" w:hAnsi="Arial"/>
          <w:sz w:val="17"/>
          <w:szCs w:val="17"/>
          <w:color w:val="auto"/>
        </w:rPr>
        <w:t>We expect that our general and administrative expenses will increase in the future as we increase our headcount to support our continued research and development and potential commercialization of our product candidates. As a result of our IPO, we have incurred and expect to continue to incur increased expenses associated with being a public company, including costs of accounting, audit, legal, regulatory and tax compliance services, director and officer insurance costs, and investor and public relations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47"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Interest expense, net primarily consists of interest earned on money market accounts and interest expense related to leasehold improvement debt amortization. Our interest expense, net has not been significant to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Incentive Income</w:t>
      </w:r>
    </w:p>
    <w:p>
      <w:pPr>
        <w:spacing w:after="0" w:line="61"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Research and development incentive income includes payments under the Research and Development Incentive Program, or the R&amp;D Incentive, from the Australian government. The R&amp;D Incentive is one of the key elements of the Australian government’s support for Australia’s innovation system and was developed to assist businesses recover some of the costs of undertaking research and development. The R&amp;D Incentive provides tax offsets to eligible companies that engage in research and development activities and has two core components:</w:t>
      </w:r>
    </w:p>
    <w:p>
      <w:pPr>
        <w:spacing w:after="0" w:line="152" w:lineRule="exact"/>
        <w:rPr>
          <w:sz w:val="20"/>
          <w:szCs w:val="20"/>
          <w:color w:val="auto"/>
        </w:rPr>
      </w:pPr>
    </w:p>
    <w:p>
      <w:pPr>
        <w:ind w:left="660" w:right="80" w:hanging="331"/>
        <w:spacing w:after="0" w:line="247" w:lineRule="auto"/>
        <w:tabs>
          <w:tab w:leader="none" w:pos="653" w:val="left"/>
        </w:tabs>
        <w:numPr>
          <w:ilvl w:val="0"/>
          <w:numId w:val="64"/>
        </w:numPr>
        <w:rPr>
          <w:rFonts w:ascii="Arial" w:cs="Arial" w:eastAsia="Arial" w:hAnsi="Arial"/>
          <w:sz w:val="17"/>
          <w:szCs w:val="17"/>
          <w:color w:val="auto"/>
        </w:rPr>
      </w:pPr>
      <w:r>
        <w:rPr>
          <w:rFonts w:ascii="Arial" w:cs="Arial" w:eastAsia="Arial" w:hAnsi="Arial"/>
          <w:sz w:val="17"/>
          <w:szCs w:val="17"/>
          <w:color w:val="auto"/>
        </w:rPr>
        <w:t>43.5% refundable tax offset for certain eligible research and development entities with an aggregated turnover of less than $20.0 million per annum; and</w:t>
      </w:r>
    </w:p>
    <w:p>
      <w:pPr>
        <w:ind w:left="660" w:right="220" w:hanging="331"/>
        <w:spacing w:after="0" w:line="257" w:lineRule="auto"/>
        <w:tabs>
          <w:tab w:leader="none" w:pos="653" w:val="left"/>
        </w:tabs>
        <w:numPr>
          <w:ilvl w:val="0"/>
          <w:numId w:val="64"/>
        </w:numPr>
        <w:rPr>
          <w:rFonts w:ascii="Arial" w:cs="Arial" w:eastAsia="Arial" w:hAnsi="Arial"/>
          <w:sz w:val="17"/>
          <w:szCs w:val="17"/>
          <w:color w:val="auto"/>
        </w:rPr>
      </w:pPr>
      <w:r>
        <w:rPr>
          <w:rFonts w:ascii="Arial" w:cs="Arial" w:eastAsia="Arial" w:hAnsi="Arial"/>
          <w:sz w:val="17"/>
          <w:szCs w:val="17"/>
          <w:color w:val="auto"/>
        </w:rPr>
        <w:t>38.5% non-refundable tax offset for all other eligible research and development entities. Unused offset amounts may be able to be carried forward for use in future income years.</w:t>
      </w:r>
    </w:p>
    <w:p>
      <w:pPr>
        <w:spacing w:after="0" w:line="158" w:lineRule="exact"/>
        <w:rPr>
          <w:sz w:val="20"/>
          <w:szCs w:val="20"/>
          <w:color w:val="auto"/>
        </w:rPr>
      </w:pPr>
    </w:p>
    <w:p>
      <w:pPr>
        <w:jc w:val="both"/>
        <w:ind w:right="80"/>
        <w:spacing w:after="0" w:line="250" w:lineRule="auto"/>
        <w:rPr>
          <w:sz w:val="20"/>
          <w:szCs w:val="20"/>
          <w:color w:val="auto"/>
        </w:rPr>
      </w:pPr>
      <w:r>
        <w:rPr>
          <w:rFonts w:ascii="Arial" w:cs="Arial" w:eastAsia="Arial" w:hAnsi="Arial"/>
          <w:sz w:val="17"/>
          <w:szCs w:val="17"/>
          <w:color w:val="auto"/>
        </w:rPr>
        <w:t>We have assessed our research and development activities and expenditures to determine which activities and expenditures are likely to be eligible under the R&amp;D Incentive. We recognize the amount we expect to be reimbursed for qualified expenses as income at each period end. We estimate the refundable tax offset available to us based on available information at the time. This estimate is also reviewed by our external tax advisors on an annual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 primarily consists of unrealized gains on foreign currency and dividend income earned on money market fund accounts.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Preferred Stock Tranche Obligation</w:t>
      </w:r>
    </w:p>
    <w:p>
      <w:pPr>
        <w:spacing w:after="0" w:line="61"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The change in fair value of our preferred stock tranche obligation fluctuated based on remeasurement at each reporting period. Our preferred stock tranche obligation stemmed from our obligation to issue additional shares to investors upon the closing of additional tranches of preferred stock. Upon the waiver of the Series B-2 preferred stock milestone by our board of directors in March 2020, this liability was fully settled. Until settlement, fluctuations in the fair value of our preferred stock tranche obligation were based on the remeasurement at each reporting period.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47"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our consolidated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We determine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We account for interest and penalties related to uncertain tax positions as part of its provision for income taxes.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for the years ended December 31, 2021 and 2020</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years ended December 31,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8262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7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195"/>
        </w:trPr>
        <w:tc>
          <w:tcPr>
            <w:tcW w:w="784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REVENUE:</w:t>
            </w: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Research collaboration revenue</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20,100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8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revenue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7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(33,860)</w:t>
            </w:r>
          </w:p>
        </w:tc>
      </w:tr>
      <w:tr>
        <w:trPr>
          <w:trHeight w:val="213"/>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(21,330)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(12,797)</w:t>
            </w:r>
          </w:p>
        </w:tc>
      </w:tr>
      <w:tr>
        <w:trPr>
          <w:trHeight w:val="210"/>
        </w:trPr>
        <w:tc>
          <w:tcPr>
            <w:tcW w:w="78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(76,473)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(46,657)</w:t>
            </w:r>
          </w:p>
        </w:tc>
      </w:tr>
      <w:tr>
        <w:trPr>
          <w:trHeight w:val="206"/>
        </w:trPr>
        <w:tc>
          <w:tcPr>
            <w:tcW w:w="784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(56,373)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(46,657)</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7840" w:type="dxa"/>
            <w:vAlign w:val="bottom"/>
          </w:tcPr>
          <w:p>
            <w:pPr>
              <w:ind w:left="24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7"/>
        </w:trPr>
        <w:tc>
          <w:tcPr>
            <w:tcW w:w="7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 incentive income</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w:t>
            </w:r>
          </w:p>
        </w:tc>
      </w:tr>
      <w:tr>
        <w:trPr>
          <w:trHeight w:val="213"/>
        </w:trPr>
        <w:tc>
          <w:tcPr>
            <w:tcW w:w="7840" w:type="dxa"/>
            <w:vAlign w:val="bottom"/>
          </w:tcPr>
          <w:p>
            <w:pPr>
              <w:ind w:left="240"/>
              <w:spacing w:after="0"/>
              <w:rPr>
                <w:sz w:val="20"/>
                <w:szCs w:val="20"/>
                <w:color w:val="auto"/>
              </w:rPr>
            </w:pPr>
            <w:r>
              <w:rPr>
                <w:rFonts w:ascii="Arial" w:cs="Arial" w:eastAsia="Arial" w:hAnsi="Arial"/>
                <w:sz w:val="17"/>
                <w:szCs w:val="17"/>
                <w:color w:val="auto"/>
              </w:rPr>
              <w:t>Change in fair value of preferred stock tranche obligation</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(1,490)</w:t>
            </w:r>
          </w:p>
        </w:tc>
      </w:tr>
      <w:tr>
        <w:trPr>
          <w:trHeight w:val="217"/>
        </w:trPr>
        <w:tc>
          <w:tcPr>
            <w:tcW w:w="78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06"/>
        </w:trPr>
        <w:tc>
          <w:tcPr>
            <w:tcW w:w="784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other income (expense), net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1,124</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(56,733)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(45,533)</w:t>
            </w:r>
          </w:p>
        </w:tc>
      </w:tr>
      <w:tr>
        <w:trPr>
          <w:trHeight w:val="213"/>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Income tax (provision) benefit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(58,744)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(45,361)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61"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Our revenue for the year ended December 31, 2021 consisted of (i) a one-time license fee of $0.1 million under the Neurona Agreement and (ii) upfront fee of $20.0 million under the Hansoh Agreement, whereby we granted Hansoh the exclusive right to develop, manufacture and commercialize KER-050 and licensed products containing KER-050 within the Territory. We satisfied the performance obligation under the Hansoh Agreement upon delivery of the licenses and initial know-how transfers and consequently, we recognized the upfront payment of $20.0 million in revenue for the year ended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8262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2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39"/>
        </w:trPr>
        <w:tc>
          <w:tcPr>
            <w:tcW w:w="6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8"/>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KER-050</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3,054</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7"/>
                <w:szCs w:val="17"/>
                <w:color w:val="auto"/>
              </w:rPr>
              <w:t>KER-047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6,703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(3,568)</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KER-012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10,118</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7"/>
                <w:szCs w:val="17"/>
                <w:color w:val="auto"/>
              </w:rPr>
              <w:t>Preclinical and development fees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5,360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2,168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3,192</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Personnel expenses (including stock-based compensation)</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7,339</w:t>
            </w:r>
          </w:p>
        </w:tc>
        <w:tc>
          <w:tcPr>
            <w:tcW w:w="0" w:type="dxa"/>
            <w:vAlign w:val="bottom"/>
          </w:tcPr>
          <w:p>
            <w:pPr>
              <w:spacing w:after="0"/>
              <w:rPr>
                <w:sz w:val="1"/>
                <w:szCs w:val="1"/>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7"/>
                <w:szCs w:val="17"/>
                <w:color w:val="auto"/>
              </w:rPr>
              <w:t>Professional fees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Facilities and supplies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1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33"/>
        </w:trPr>
        <w:tc>
          <w:tcPr>
            <w:tcW w:w="6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55,143</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21,283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Research and development expenses were $55.1 million for the year ended December 31, 2021, compared to $33.9 million for the year ended December 31, 2020. The increase of $21.3 million was primarily due to an increase in program-related costs including (i) a net increase of $3.1 million of KER-050-related expenses, primarily driven by a $4.8 million increase in clinical and preclinical program activities due to the progression of our Phase 2 clinical trial of KER-050 in MDS, partially offset by a decrease of $1.7 million in manufacturing activities; (ii) a net decrease of $3.6 million of KER-047-related expenses, primarily driven by a $1.5 million decrease in clinical expenses due to the completion of our Phase 1 clinical trial and a $2.0 million decrease in manufacturing and preclinical expenses; (iii) a net increase of $10.1 million of KER-012-related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01" w:name="page102"/>
    <w:bookmarkEnd w:id="101"/>
    <w:p>
      <w:pPr>
        <w:ind w:right="60"/>
        <w:spacing w:after="0" w:line="248" w:lineRule="auto"/>
        <w:rPr>
          <w:sz w:val="20"/>
          <w:szCs w:val="20"/>
          <w:color w:val="auto"/>
        </w:rPr>
      </w:pPr>
      <w:r>
        <w:rPr>
          <w:rFonts w:ascii="Arial" w:cs="Arial" w:eastAsia="Arial" w:hAnsi="Arial"/>
          <w:sz w:val="17"/>
          <w:szCs w:val="17"/>
          <w:color w:val="auto"/>
        </w:rPr>
        <w:t>expenses, which was driven by a $6.0 million increase in manufacturing costs, a $1.8 million increase in preclinical activities and a $2.3 million increase in clinical activities due to the commencement of our Phase 1 clinical trial of KER-012; (iv) a $3.2 million increase in preclinical pipeline and development activities; (v) a $7.3 million increase in personnel costs, including additional stock-based compensation costs driven by the increase in headcount to support the advancement of our pipeline; (vi) a $0.7 million increase in professional fees to support our organizational growth and the continued advancements in our pipeline; and (vii) a $0.4 million increase in facilities and other expense due to the growth of our organization. We expect research and development expenses to fluctuate from quarter to quarter depending on the timing of clinical trial activities, clinical manufacturing and other development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General and administrative expenses were $21.3 million for the year ended December 31, 2021, compared to $12.8 million for the year ended December 31, 2020. The increase of $8.5 million was primarily due to (i) a $6.3 million increase in personnel expenses, which includes additional stock-based compensation costs, to support our organizational growth and achievement of our corporate goals; (ii) a $1.0 million increase in director and officer insurance premiums; (iii) a $0.7 million increase in professional fees primarily attributable to legal expenses related to data privacy law compliance and the maintenance and expansion of our intellectual property portfolio; and (iv) a $0.5 million increase in facilities and other office expense due to growth of our organization.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4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Other income (expense), net was $(0.4) million for the year ended December 31, 2021, compared to $1.1 million for the year ended December 31, 2020. The decrease of $1.5 million is related to (i) a decrease of $2.5 million in R&amp;D Incentive income in Australia in 2020, and (ii) a decrease of $0.5 million primarily related to foreign currency unrealized gains and losses and dividend income, which was partially offset by an increase of $1.5 million related to the change in fair value of the preferred stock tranche obligation upon remeasurement in March 2020, prior to settlement.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 Benefit</w:t>
      </w:r>
    </w:p>
    <w:p>
      <w:pPr>
        <w:spacing w:after="0" w:line="47"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Income tax provision was $2.0 million for the year ended December 31, 2021, compared to $0.2 million tax benefit for the year ended December 31, 2020. The increase in income tax provision consists primarily of withholding taxes related to the taxable income generated from the Hansoh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2"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Since our inception, we have incurred significant operating losses. Our net losses were $58.7 million and $45.4 million for the years ended December 31, 2021 and 2020, respectively. As of December 31, 2021 and December 31, 2020, we had an accumulated deficit of $123.8 million and $65.0 million, respectively. To date, we have devoted the majority of our efforts into business planning, research and development of our product candidates, including conducting clinical trials and preclinical studies, raising capital and recruiting management and technical staff to support these operations. Our primary uses of cash are to fund operating expenses, primarily research and development expenditures. We expect our expenses to increase substantially in connection with our ongoing activities, particularly as we advance the preclinical activities and clinical trials of our product candidates. Furthermore, we expect to incur additional costs associated with operating as a public company, including significant legal, accounting, investor relations, director and officer insurance premiums and other expenses that we did not incur as a private company.</w:t>
      </w:r>
    </w:p>
    <w:p>
      <w:pPr>
        <w:spacing w:after="0" w:line="169"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do not have any products approved for sale. We do not expect to generate any revenue from product sales unless and until we successfully complete development and obtain regulatory approval for one or more of our product candidates, which we expect will take a number of years. Since our inception, we have funded our operations primarily through equity financings and through research collaborations or licensing of intellectual property. In March 2020, we sold 4,169,822 shares of Series C Preferred Stock for aggregate net proceeds of approximately $55.8 million. In April 2020, we completed our IPO whereby we sold an aggregate of 6,900,000 shares of our common stock for aggregate net proceeds of approximately $100.1 million after deducting underwriting discounts and commissions and offering expenses. In November 2020, we completed a public offering of our common stock, whereby we sold an aggregate of 2,990,000 shares of our common stock for aggregate net proceeds of approximately $140.1 million after deducting underwriting discounts and commissions and offering expenses.</w:t>
      </w:r>
    </w:p>
    <w:p>
      <w:pPr>
        <w:spacing w:after="0" w:line="16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On May 3, 2021, we filed a shelf registration statement on Form S-3, or Shelf, with the Securities and Exchange Commission, or SEC, which was automatically effective upon filing. The Shelf permits us to offer, from time to time, an unspecified amount of common stock, preferred stock, debt securities and warrants. We simultaneously entered into a sales agreement with SVB Leerink, as agent, to provide for the issuance and sale by us of the ATM Shares from time to time in “at the market” offerings under the Shelf. As of December 31, 2021, we sold a total of 520,000 shares of our common stock pursuant to the ATM Offering for aggregate net proceeds of approximately $28.1 million after deducting sales agent commissions and estimated offering expenses.</w:t>
      </w:r>
    </w:p>
    <w:p>
      <w:pPr>
        <w:spacing w:after="0" w:line="15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 of December 31, 2021, we had cash and cash equivalents of $230.0 million. We expect that our existing cash and cash equivalents as of December 31, 2021, along with the net $18.0 million upfront payment pursuant to our license agreement with Hansoh (Shanghai) Healthtech Co., Ltd., or Hansoh, which we received in January 2022, will enable us to fund our operating expenses and capital expenditure requirements into the first quarter of 2024. We have based this estimate on</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102" w:name="page103"/>
    <w:bookmarkEnd w:id="102"/>
    <w:p>
      <w:pPr>
        <w:ind w:right="280"/>
        <w:spacing w:after="0" w:line="249" w:lineRule="auto"/>
        <w:rPr>
          <w:sz w:val="20"/>
          <w:szCs w:val="20"/>
          <w:color w:val="auto"/>
        </w:rPr>
      </w:pPr>
      <w:r>
        <w:rPr>
          <w:rFonts w:ascii="Arial" w:cs="Arial" w:eastAsia="Arial" w:hAnsi="Arial"/>
          <w:sz w:val="17"/>
          <w:szCs w:val="17"/>
          <w:color w:val="auto"/>
        </w:rPr>
        <w:t>assumptions that may prove to be wrong, and we could use our capital resources sooner than we currently expect. Due to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Our future funding requirements, both near and long-term, will depend on many factors, including:</w:t>
      </w:r>
    </w:p>
    <w:p>
      <w:pPr>
        <w:spacing w:after="0" w:line="154" w:lineRule="exact"/>
        <w:rPr>
          <w:sz w:val="20"/>
          <w:szCs w:val="20"/>
          <w:color w:val="auto"/>
        </w:rPr>
      </w:pPr>
    </w:p>
    <w:p>
      <w:pPr>
        <w:jc w:val="both"/>
        <w:ind w:left="660" w:right="32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the COVID-19 pandemic or other causes;</w:t>
      </w:r>
    </w:p>
    <w:p>
      <w:pPr>
        <w:ind w:left="660" w:right="26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timing and amount of milestone and royalty payments we are required to make or are eligible to receive under our license agreements with each of The General Hospital Corporation and Hansoh;</w:t>
      </w:r>
    </w:p>
    <w:p>
      <w:pPr>
        <w:ind w:left="640" w:hanging="311"/>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number of potential new product candidates we identify and decide to develop;</w:t>
      </w:r>
    </w:p>
    <w:p>
      <w:pPr>
        <w:spacing w:after="0" w:line="5" w:lineRule="exact"/>
        <w:rPr>
          <w:rFonts w:ascii="Arial" w:cs="Arial" w:eastAsia="Arial" w:hAnsi="Arial"/>
          <w:sz w:val="17"/>
          <w:szCs w:val="17"/>
          <w:color w:val="auto"/>
        </w:rPr>
      </w:pPr>
    </w:p>
    <w:p>
      <w:pPr>
        <w:ind w:left="660" w:right="4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need for additional or expanded preclinical studies and clinical trials beyond those that we plan to conduct with respect to our current and future product candidates;</w:t>
      </w:r>
    </w:p>
    <w:p>
      <w:pPr>
        <w:ind w:left="660" w:right="18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costs involved in growing our organization to the size needed to allow for the research, development and potential commercialization of our current or any future product candidates;</w:t>
      </w:r>
    </w:p>
    <w:p>
      <w:pPr>
        <w:ind w:left="660" w:right="10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costs involved in filing patent applications, maintaining and enforcing patents or defending against infringement or other claims raised by third parties;</w:t>
      </w:r>
    </w:p>
    <w:p>
      <w:pPr>
        <w:ind w:left="640" w:hanging="311"/>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maintenance of our existing license and collaboration agreements and the entry into new license and collaboration agreements;</w:t>
      </w:r>
    </w:p>
    <w:p>
      <w:pPr>
        <w:spacing w:after="0" w:line="5" w:lineRule="exact"/>
        <w:rPr>
          <w:rFonts w:ascii="Arial" w:cs="Arial" w:eastAsia="Arial" w:hAnsi="Arial"/>
          <w:sz w:val="17"/>
          <w:szCs w:val="17"/>
          <w:color w:val="auto"/>
        </w:rPr>
      </w:pPr>
    </w:p>
    <w:p>
      <w:pPr>
        <w:ind w:left="660" w:right="46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time and costs involved in obtaining regulatory approval for our product candidates and any delays we may encounter as a result of evolving regulatory requirements or adverse results with respect to any of our product candidates;</w:t>
      </w:r>
    </w:p>
    <w:p>
      <w:pPr>
        <w:ind w:left="640" w:hanging="311"/>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costs of operating as a public company;</w:t>
      </w:r>
    </w:p>
    <w:p>
      <w:pPr>
        <w:spacing w:after="0" w:line="5" w:lineRule="exact"/>
        <w:rPr>
          <w:rFonts w:ascii="Arial" w:cs="Arial" w:eastAsia="Arial" w:hAnsi="Arial"/>
          <w:sz w:val="17"/>
          <w:szCs w:val="17"/>
          <w:color w:val="auto"/>
        </w:rPr>
      </w:pPr>
    </w:p>
    <w:p>
      <w:pPr>
        <w:ind w:left="660" w:right="6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cost of manufacturing KER-050, KER-047, KER-012 and future product candidates for clinical trials in preparation for marketing approval and in preparation for commercialization;</w:t>
      </w:r>
    </w:p>
    <w:p>
      <w:pPr>
        <w:ind w:left="660" w:right="70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cost of establishing sales, marketing and distribution capabilities for any product candidates for which we may receive regulatory approval in regions where we choose to commercialize our products on our own;</w:t>
      </w:r>
    </w:p>
    <w:p>
      <w:pPr>
        <w:ind w:left="660" w:right="60" w:hanging="331"/>
        <w:spacing w:after="0" w:line="247" w:lineRule="auto"/>
        <w:tabs>
          <w:tab w:leader="none" w:pos="653"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amount of revenues, if any, we may derive either directly or in the form of royalty payments from future sales of our product candidates, if approved; and</w:t>
      </w:r>
    </w:p>
    <w:p>
      <w:pPr>
        <w:ind w:left="640" w:hanging="311"/>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market acceptance of any approved product candidates.</w:t>
      </w:r>
    </w:p>
    <w:p>
      <w:pPr>
        <w:spacing w:after="0" w:line="18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addition, the COVID-19 pandemic continues to rapidly evolve and has already resulted in a significant disruption of global financial markets. If the disruption persists and deepens, we could experience an inability to access additional capital when and if needed. If we are unable to obtain funding, we could be forced to delay, reduce or eliminate some or all of our research and development programs and clinical development efforts, which would adversely affect our business prospects, or we may be unable to continue operations. 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Adequate additional funding may not be available to us on acceptable terms, or at all. Any failure to raise capital as and when needed could have a negative impact on our financial condition and on our ability to pursue our business plans and strategies.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each of the periods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7665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66560" cy="8255"/>
                    </a:xfrm>
                    <a:prstGeom prst="rect">
                      <a:avLst/>
                    </a:prstGeom>
                    <a:noFill/>
                  </pic:spPr>
                </pic:pic>
              </a:graphicData>
            </a:graphic>
          </wp:anchor>
        </w:drawing>
      </w:r>
    </w:p>
    <w:p>
      <w:pPr>
        <w:spacing w:after="0" w:line="238"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YEAR ENDED</w:t>
      </w:r>
    </w:p>
    <w:p>
      <w:pPr>
        <w:jc w:val="center"/>
        <w:ind w:left="7160"/>
        <w:spacing w:after="0"/>
        <w:rPr>
          <w:sz w:val="20"/>
          <w:szCs w:val="20"/>
          <w:color w:val="auto"/>
        </w:rPr>
      </w:pPr>
      <w:r>
        <w:rPr>
          <w:rFonts w:ascii="Arial" w:cs="Arial" w:eastAsia="Arial" w:hAnsi="Arial"/>
          <w:sz w:val="14"/>
          <w:szCs w:val="14"/>
          <w:b w:val="1"/>
          <w:bCs w:val="1"/>
          <w:color w:val="auto"/>
        </w:rPr>
        <w:t>DECEMBER 31,</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r>
      <w:tr>
        <w:trPr>
          <w:trHeight w:val="235"/>
        </w:trPr>
        <w:tc>
          <w:tcPr>
            <w:tcW w:w="7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(36,894)</w:t>
            </w:r>
          </w:p>
        </w:tc>
      </w:tr>
      <w:tr>
        <w:trPr>
          <w:trHeight w:val="213"/>
        </w:trPr>
        <w:tc>
          <w:tcPr>
            <w:tcW w:w="776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(294)</w:t>
            </w:r>
          </w:p>
        </w:tc>
      </w:tr>
      <w:tr>
        <w:trPr>
          <w:trHeight w:val="215"/>
        </w:trPr>
        <w:tc>
          <w:tcPr>
            <w:tcW w:w="7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28,550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296,044</w:t>
            </w:r>
          </w:p>
        </w:tc>
      </w:tr>
      <w:tr>
        <w:trPr>
          <w:trHeight w:val="210"/>
        </w:trPr>
        <w:tc>
          <w:tcPr>
            <w:tcW w:w="7760" w:type="dxa"/>
            <w:vAlign w:val="bottom"/>
          </w:tcPr>
          <w:p>
            <w:pPr>
              <w:ind w:left="20"/>
              <w:spacing w:after="0"/>
              <w:rPr>
                <w:sz w:val="20"/>
                <w:szCs w:val="20"/>
                <w:color w:val="auto"/>
              </w:rPr>
            </w:pPr>
            <w:r>
              <w:rPr>
                <w:rFonts w:ascii="Arial" w:cs="Arial" w:eastAsia="Arial" w:hAnsi="Arial"/>
                <w:sz w:val="17"/>
                <w:szCs w:val="17"/>
                <w:color w:val="auto"/>
              </w:rPr>
              <w:t>Net (decrease) increase in cash and cash equivalents, and restricted cash</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(34,622)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258,856</w:t>
            </w:r>
          </w:p>
        </w:tc>
      </w:tr>
      <w:tr>
        <w:trPr>
          <w:trHeight w:val="20"/>
        </w:trPr>
        <w:tc>
          <w:tcPr>
            <w:tcW w:w="7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operating activities was $62.1 million for the year ended December 31, 2021, which was driven by a net loss of $58.7 million and</w:t>
      </w:r>
    </w:p>
    <w:p>
      <w:pPr>
        <w:spacing w:after="0" w:line="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$16.1 million in cash used in operating assets and liabilities, partially offset by non-cash charges, including $11.7 million of stock-based compensation expense and $0.4 million in depreciation. The $16.1 million of cash used in operating assets and liabilities was primarily comprised of (i) an $18.0 million increase in accounts receivable from the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3" w:name="page104"/>
    <w:bookmarkEnd w:id="103"/>
    <w:p>
      <w:pPr>
        <w:ind w:right="140"/>
        <w:spacing w:after="0" w:line="252" w:lineRule="auto"/>
        <w:rPr>
          <w:sz w:val="20"/>
          <w:szCs w:val="20"/>
          <w:color w:val="auto"/>
        </w:rPr>
      </w:pPr>
      <w:r>
        <w:rPr>
          <w:rFonts w:ascii="Arial" w:cs="Arial" w:eastAsia="Arial" w:hAnsi="Arial"/>
          <w:sz w:val="17"/>
          <w:szCs w:val="17"/>
          <w:color w:val="auto"/>
        </w:rPr>
        <w:t>$20.0 million upfront payment pursuant to the Hansoh Agreement, net of $2.0 million in withholding tax; and (ii) a $1.5 million increase in prepaid expenses and other assets due to timing of expense recognition for our research and development costs, which was partially offset by a $4.1 million increase in accounts payable and accrued expenses to support the advancement of our programs.</w:t>
      </w:r>
    </w:p>
    <w:p>
      <w:pPr>
        <w:spacing w:after="0" w:line="149"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During the year ended December 31, 2020, net cash used in operating activities was $36.9 million, which was driven by a net loss of $45.4 million, offset by non-cash charges, including $4.1 million of stock-based compensation expense and $1.5 million related to the change in the fair value of our preferred stock tranche liability prior to settlement. Cash used in operating activities was partially offset by $2.3 million in changes in operating assets and liabilities, including (i) an increase in accrued expenses of $2.6 million to support the advancement of our programs, (ii) a $0.9 million decrease in our R&amp;D Incentive receivable and (iii) a $0.6 million decrease in deferred IPO costs in connection with the recognition of these IPO costs, partially offset by a $1.5 million increase in prepaid expenses and other assets due to the timing of expense recognition for our research and development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6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Net cash used in investing activities was $1.0 million and $0.3 million for the years ended December 31, 2021 and 2020, respectively. The cash used in investing activities in both periods was due to purchases of property and equipment.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6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Net cash provided by financing activities was $28.6 million for the year ended December 31, 2021, which was primarily related to (i) net proceeds of $28.2 million received from sales of our common stock under the ATM Sales Agreement, after deducting sales agent commissions and before deducting offering expenses; and (ii) proceeds of $0.4 million related to exercises of options to purchase common stock.</w:t>
      </w:r>
    </w:p>
    <w:p>
      <w:pPr>
        <w:spacing w:after="0" w:line="163"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Net cash provided by financing activities was $296.0 million for the year ended December 31, 2020, which was primarily related to (i) the net proceeds of $55.8 million from our March 2020 issuance and sale of Series C Preferred Stock; (ii) the net proceeds of $100.1 million from our April 2020 IPO, net of underwriters’ discounts and commissions and offering expenses payable by us; and (iii) the net proceeds of $140.1 million from our November 2020 public offering, net of underwriters’ discounts and commissions and offering expenses payable by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following table summarizes our contractual obligations as of December 31, 2021 and the effects of such obligations are expected to have on our liquidity and cash flow in future periods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8262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6"/>
          </w:tcPr>
          <w:p>
            <w:pPr>
              <w:jc w:val="center"/>
              <w:ind w:left="722"/>
              <w:spacing w:after="0"/>
              <w:rPr>
                <w:sz w:val="20"/>
                <w:szCs w:val="20"/>
                <w:color w:val="auto"/>
              </w:rPr>
            </w:pPr>
            <w:r>
              <w:rPr>
                <w:rFonts w:ascii="Arial" w:cs="Arial" w:eastAsia="Arial" w:hAnsi="Arial"/>
                <w:sz w:val="14"/>
                <w:szCs w:val="14"/>
                <w:b w:val="1"/>
                <w:bCs w:val="1"/>
                <w:color w:val="auto"/>
              </w:rPr>
              <w:t>PAYMENTS DUE BY PERIOD</w:t>
            </w: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ind w:right="338"/>
              <w:spacing w:after="0"/>
              <w:rPr>
                <w:sz w:val="20"/>
                <w:szCs w:val="20"/>
                <w:color w:val="auto"/>
              </w:rPr>
            </w:pPr>
            <w:r>
              <w:rPr>
                <w:rFonts w:ascii="Arial" w:cs="Arial" w:eastAsia="Arial" w:hAnsi="Arial"/>
                <w:sz w:val="14"/>
                <w:szCs w:val="14"/>
                <w:b w:val="1"/>
                <w:bCs w:val="1"/>
                <w:color w:val="auto"/>
              </w:rPr>
              <w:t>TOTAL</w:t>
            </w:r>
          </w:p>
        </w:tc>
        <w:tc>
          <w:tcPr>
            <w:tcW w:w="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60"/>
              <w:spacing w:after="0" w:line="141" w:lineRule="exact"/>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2"/>
                <w:szCs w:val="12"/>
                <w:color w:val="auto"/>
              </w:rPr>
            </w:pPr>
          </w:p>
        </w:tc>
        <w:tc>
          <w:tcPr>
            <w:tcW w:w="11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1 TO 3</w:t>
            </w:r>
          </w:p>
        </w:tc>
        <w:tc>
          <w:tcPr>
            <w:tcW w:w="340" w:type="dxa"/>
            <w:vAlign w:val="bottom"/>
          </w:tcPr>
          <w:p>
            <w:pPr>
              <w:spacing w:after="0"/>
              <w:rPr>
                <w:sz w:val="12"/>
                <w:szCs w:val="12"/>
                <w:color w:val="auto"/>
              </w:rPr>
            </w:pPr>
          </w:p>
        </w:tc>
        <w:tc>
          <w:tcPr>
            <w:tcW w:w="104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98"/>
              </w:rPr>
              <w:t>4 TO 5</w:t>
            </w:r>
          </w:p>
        </w:tc>
        <w:tc>
          <w:tcPr>
            <w:tcW w:w="180" w:type="dxa"/>
            <w:vAlign w:val="bottom"/>
          </w:tcPr>
          <w:p>
            <w:pPr>
              <w:spacing w:after="0"/>
              <w:rPr>
                <w:sz w:val="12"/>
                <w:szCs w:val="12"/>
                <w:color w:val="auto"/>
              </w:rPr>
            </w:pPr>
          </w:p>
        </w:tc>
        <w:tc>
          <w:tcPr>
            <w:tcW w:w="1120" w:type="dxa"/>
            <w:vAlign w:val="bottom"/>
          </w:tcPr>
          <w:p>
            <w:pPr>
              <w:jc w:val="center"/>
              <w:ind w:right="100"/>
              <w:spacing w:after="0" w:line="141"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4"/>
        </w:trPr>
        <w:tc>
          <w:tcPr>
            <w:tcW w:w="39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commitments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Loan for leasehold improvements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March 2017, we entered into a lease agreement for our current headquarters located in Lexington, Massachusetts. In July and August 2019, we executed the first and second amendments to our lease, respectively, to expand the rental space to 10,417 square feet. In August 2021, we entered into a third amendment to our lease to extend the lease term through March 31, 2023 and to expand the rental space to 15,622 square feet. The table above includes future minimum lease payments under the non-cancelable lease arrangement.</w:t>
      </w:r>
    </w:p>
    <w:p>
      <w:pPr>
        <w:spacing w:after="0" w:line="152"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A portion of the contractual obligations and commitments is related to the loan we received from the landlord of $0.2 million for leasehold improvements. This will be repaid in full by December 2022, but principal payments became due in monthly installments beginning 18 months after the commencement of the lease, which was March 2017.</w:t>
      </w:r>
    </w:p>
    <w:p>
      <w:pPr>
        <w:spacing w:after="0" w:line="1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have entered into a new lease for rental space in Lexington, Massachusetts, which will serve as our new principal executive office and includes laboratory space, which has not yet commenced. We expect to pay $21.6 million over the lease term of eight years and four months, which we expect to begin in the fourth quarter of 2022.</w:t>
      </w:r>
    </w:p>
    <w:p>
      <w:pPr>
        <w:spacing w:after="0" w:line="16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We may incur contingent payments upon our achievement of clinical, regulatory and commercial milestones, as applicable, or royalty payments that we are required to make under the MGH Agreement pursuant to which we have in-licensed certain intellectual property. Due to the uncertainty of the achievement and timing of the events requiring payment under these agreements, the amounts to be paid by us are not fixed or determinable at this time and are excluded from the table above. Under the terms of the MGH Agreement, we are obligated to pay MGH designated amounts when any licensed product achieves certain developmental milestones. Following the commencement of commercial sales of the licensed products, we will pay designated amounts when certain milestone events occur. The development milestones and commercial milestones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4" w:name="page105"/>
    <w:bookmarkEnd w:id="104"/>
    <w:p>
      <w:pPr>
        <w:ind w:right="200"/>
        <w:spacing w:after="0" w:line="249" w:lineRule="auto"/>
        <w:rPr>
          <w:sz w:val="20"/>
          <w:szCs w:val="20"/>
          <w:color w:val="auto"/>
        </w:rPr>
      </w:pPr>
      <w:r>
        <w:rPr>
          <w:rFonts w:ascii="Arial" w:cs="Arial" w:eastAsia="Arial" w:hAnsi="Arial"/>
          <w:sz w:val="17"/>
          <w:szCs w:val="17"/>
          <w:color w:val="auto"/>
        </w:rPr>
        <w:t>range from $50,000 to $10.0 million depending upon the significance of the particular milestone. We are also required to pay MGH royalties on all sales of licensed products, with such royalties ranging from the low-single digits to mid-single digits of sales, as well as royalties ranging in the low-double digits of sublicense income depending on the stage of development of the relevant product or process when the sublicense is granted. In conjunction with the execution of the MGH Agreement, we issued MGH five percent of our outstanding fully diluted capital on April 15, 2016, or 358,674 shares of common stock, for proceeds of less than $0.1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and Estimates</w:t>
      </w:r>
    </w:p>
    <w:p>
      <w:pPr>
        <w:spacing w:after="0" w:line="105"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5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While our significant accounting policies are described in greater detail in Note 2 to our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6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To date, our revenues have consisted solely of payments received related to research collaborations or licensing of intellectual property. We apply the revenue recognition guidance in accordance with Financial Accounting Standards Board, Accounting Standards Codification, or ASC, Subtopic 606, Revenue from Contracts with Customers, or ASC 606, which was adopted January 1, 2018 using the full retrospective method. Under ASC 606, we recognize revenue when our customers obtain control of promised goods or services, in an amount that reflects the consideration which we expect to receive in exchange for those goods or services.</w:t>
      </w:r>
    </w:p>
    <w:p>
      <w:pPr>
        <w:spacing w:after="0" w:line="154"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consideration we are entitled to in exchange for the goods or services we transfer to our customer. All variable consideration, including milestones and royalties, is constrained until the cumulative revenue related to the consideration is no longer probable of reversal.</w:t>
      </w:r>
    </w:p>
    <w:p>
      <w:pPr>
        <w:spacing w:after="0" w:line="170"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The consideration allocated to each performance obligation is recognized as revenue when control is transferred for the related goods or services. For performance obligations which consist of licenses and other promises, we utilize judgment to assess the nature of the combined performance obligation to determine whether the combined performance obligation is satisfied over time or at a point in time and, if over time, the appropriate method of measuring progress. We evaluate the measure of progress each reporting period and, if necessary, adjust the measure of performance and related revenue recognition. We currently measure progress according to the expenditure of research and development efforts, based on costs incurred, as this is the best indicator of performance.</w:t>
      </w:r>
    </w:p>
    <w:p>
      <w:pPr>
        <w:spacing w:after="0" w:line="16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We receive payments from our customers based on billing schedules established in each contract. Upfront payments and fees are recorded as deferred revenue upon receipt or when due until we satisfy our obligations under these arrangements. Amounts are recorded as accounts receivable when our right to consideration is unconditional.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We make estimates of our accrued expenses as of each balance sheet date in the consolidated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i w:val="1"/>
          <w:iCs w:val="1"/>
          <w:color w:val="auto"/>
        </w:rPr>
        <w:t>Stock-Based Compensation</w:t>
      </w:r>
    </w:p>
    <w:p>
      <w:pPr>
        <w:spacing w:after="0" w:line="4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We account for all stock-based compensation awards granted to employees and non-employees as stock-based compensation expense at fair value. Our stock-based payments include stock options and grants of common stock, including common stock subject to vesting. The measurement date for awards is the date of grant, and stock-based compensation costs are recognized as expense over the requisite service period, which is generally the vesting period, on a straight-line basis. Our Black-Scholes option-pricing model requires the input of subjective assumptions, including the expected volatility of the price of our common stock and the expected term of the award. These estimates involve inherent uncertainties and the application of management’s judgment. If factors change and these assumptions either increase or decrease, our stock-based compensation expense could materially differ in the future. Stock-based compensation expense is classified in the accompanying statements of operations based on the function to which the related services are provided. We recognize stock-based compensation expense for the portion of awards that have vested. Forfeitures are recorded as they occur. The fair value of each stock option grant is estimated on the date of grant using the Black-Scholes option-pricing model.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2 to our consolidated financial statements appearing elsewhere in this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April 2012, the Jumpstart Our Business Startups Act of 2012, or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w:t>
      </w:r>
    </w:p>
    <w:p>
      <w:pPr>
        <w:spacing w:after="0" w:line="166"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In addition, as an emerging growth company, we may take advantage of specified reduced disclosure and other requirements that are otherwise applicable generally to public companies. These provisions include:</w:t>
      </w:r>
    </w:p>
    <w:p>
      <w:pPr>
        <w:spacing w:after="0" w:line="158" w:lineRule="exact"/>
        <w:rPr>
          <w:sz w:val="20"/>
          <w:szCs w:val="20"/>
          <w:color w:val="auto"/>
        </w:rPr>
      </w:pPr>
    </w:p>
    <w:p>
      <w:pPr>
        <w:ind w:left="640" w:hanging="311"/>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reduced disclosure about the compensation paid to our executive officers;</w:t>
      </w:r>
    </w:p>
    <w:p>
      <w:pPr>
        <w:spacing w:after="0" w:line="5" w:lineRule="exact"/>
        <w:rPr>
          <w:rFonts w:ascii="Arial" w:cs="Arial" w:eastAsia="Arial" w:hAnsi="Arial"/>
          <w:sz w:val="17"/>
          <w:szCs w:val="17"/>
          <w:color w:val="auto"/>
        </w:rPr>
      </w:pPr>
    </w:p>
    <w:p>
      <w:pPr>
        <w:ind w:left="640" w:hanging="311"/>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not being required to submit to our stockholders’ advisory votes on executive compensation or golden parachute arrangements;</w:t>
      </w:r>
    </w:p>
    <w:p>
      <w:pPr>
        <w:spacing w:after="0" w:line="5" w:lineRule="exact"/>
        <w:rPr>
          <w:rFonts w:ascii="Arial" w:cs="Arial" w:eastAsia="Arial" w:hAnsi="Arial"/>
          <w:sz w:val="17"/>
          <w:szCs w:val="17"/>
          <w:color w:val="auto"/>
        </w:rPr>
      </w:pPr>
    </w:p>
    <w:p>
      <w:pPr>
        <w:ind w:left="660" w:right="540" w:hanging="331"/>
        <w:spacing w:after="0" w:line="247" w:lineRule="auto"/>
        <w:tabs>
          <w:tab w:leader="none" w:pos="6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exemption from the auditor attestation requirement in the assessment of our internal control over financial reporting pursuant to the Sarbanes-Oxley Act of 2002; and</w:t>
      </w:r>
    </w:p>
    <w:p>
      <w:pPr>
        <w:ind w:left="660" w:right="120" w:hanging="331"/>
        <w:spacing w:after="0" w:line="257" w:lineRule="auto"/>
        <w:tabs>
          <w:tab w:leader="none" w:pos="6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5"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may take advantage of these exemptions until December 31, 2025 or such earlier time that we are no longer an emerging growth company. We would cease to be an emerging growth company on the date that is the earliest of (1) the last day of the fiscal year in which we have total annual gross revenues of $1.07 billion or more; (2) December 31, 2025; (3) the date on which we have issued more than $1.0 billion in nonconvertible debt during the previous three years; or (4) the date on which we are deemed to be a large accelerated filer under the rules of the Securities and Exchange Commission. We may choose to take advantage of some but not all of these exemptions.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interest rate sensitivities.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92"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As of December 31, 2021 and December 31, 2020, we had cash and cash equivalents of $230.0 million and $265.9 million, respectively. Our exposure to interest rate sensitivity is impacted by changes in the underlying U.S. bank interest rates. Our surplus cash has been invested in money market fund accounts as well as interest-bearing savings accounts from time to time.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fair market value of our portfolio, and therefore we do not expect our operating results or cash flows to be significantly affected by changes in market interest rates.</w:t>
      </w:r>
    </w:p>
    <w:p>
      <w:pPr>
        <w:spacing w:after="0" w:line="154"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As of December 31, 2021 and 2020, we had no debt outstanding that is subject to interest rate variability, as our only debt is related to our lease incentive allowance. Therefore, we are not subject to interest rate risk related to debt.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2"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The information required by this Item 8 is contained on pages F-1 through F-25 of this Annual Report on Form 10-K and is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2"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66"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evaluated the effectiveness of our disclosure controls and procedures as of December 31, 2021. Based on the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7" w:lineRule="exact"/>
        <w:rPr>
          <w:sz w:val="20"/>
          <w:szCs w:val="20"/>
          <w:color w:val="auto"/>
        </w:rPr>
      </w:pPr>
    </w:p>
    <w:p>
      <w:pPr>
        <w:ind w:left="660" w:right="140" w:hanging="331"/>
        <w:spacing w:after="0" w:line="247" w:lineRule="auto"/>
        <w:tabs>
          <w:tab w:leader="none" w:pos="6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w:t>
      </w:r>
    </w:p>
    <w:p>
      <w:pPr>
        <w:ind w:left="660" w:right="140" w:hanging="331"/>
        <w:spacing w:after="0" w:line="247" w:lineRule="auto"/>
        <w:tabs>
          <w:tab w:leader="none" w:pos="6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ind w:left="660" w:right="460" w:hanging="331"/>
        <w:spacing w:after="0" w:line="257" w:lineRule="auto"/>
        <w:tabs>
          <w:tab w:leader="none" w:pos="652"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December 31, 2021. In making this assessment, management used the criteria set forth by the Committee of Sponsoring Organizations of the Treadway Commission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framework) (COSO). Based on its assessment, management concludes that, as of December 31, 2021, our internal control over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reporting is effective based on those criteria.</w:t>
      </w:r>
    </w:p>
    <w:p>
      <w:pPr>
        <w:spacing w:after="0" w:line="16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accounting firm regarding internal control over financial reporting due to a transition period established by rules of the SEC for an "emerging growth company" as defined in the Jumpstart Our Business Startups Act of 2012.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There were no changes in our internal control over financial reporting, as defined in Rules 13a-15(f) and 15d-15(f) under the Exchange Act, that occurred during the fiscal quarter ended December 31, 2021 that has materially affected, or is reasonably likely to materially affect, our internal control over financial reporting. We have not experienced any material impact to our internal controls over financial reporting despite the fact that certain of our employees are continuing their work outside of our office due to the COVID-19 pandemic. We are continually monitoring and assessing the impact of the COVID-19 pandemic on our internal controls to minimize any potential impact on the design and operating effectiveness of such controls.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86"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We will file a definitive Proxy Statement for our 2022 Annual Meeting of Stockholders, or our 2022 Proxy Statement, with the SEC, pursuant to Regulation 14A, not later than 120 days after the end of our fiscal year. Accordingly, certain information required by Part III has been omitted under General Instruction G(3) to Form 10-K. Only those sections of the 2022 Proxy Statement that specifically address the items set forth herein are incorporated by reference.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10 will be included in our 2022 Proxy Statement and is incorporated herein by reference.</w:t>
      </w:r>
    </w:p>
    <w:p>
      <w:pPr>
        <w:spacing w:after="0" w:line="167"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We have adopted a written Code of Business Conduct and Ethics, or the Code of Conduct, applicable to all of our employees, executive officers and directors, including our principal executive officer, principal financial officer and principal accounting officer. A current copy of the Code of Conduct is available on the Investors section of our website, www.kerostx.com, under "Corporate Governance." We intend to disclose on our website any amendments to, or waivers from, our Code of Conduct that are required to be disclosed pursuant to SEC rules.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11 will be included in our 2022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RELATED STOCKHOLDER MATTERS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12 will be included in our 2022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13 will be included in our 2022 Proxy Statement and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14 will be included in our 2022 Proxy Statement and is incorporated herein by reference.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08" w:name="page109"/>
    <w:bookmarkEnd w:id="108"/>
    <w:p>
      <w:pPr>
        <w:jc w:val="center"/>
        <w:ind w:right="100"/>
        <w:spacing w:after="0"/>
        <w:rPr>
          <w:sz w:val="20"/>
          <w:szCs w:val="20"/>
          <w:color w:val="auto"/>
        </w:rPr>
      </w:pPr>
      <w:r>
        <w:rPr>
          <w:rFonts w:ascii="Arial" w:cs="Arial" w:eastAsia="Arial" w:hAnsi="Arial"/>
          <w:sz w:val="18"/>
          <w:szCs w:val="18"/>
          <w:b w:val="1"/>
          <w:bCs w:val="1"/>
          <w:color w:val="auto"/>
        </w:rPr>
        <w:t>PART IV</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72" w:lineRule="exact"/>
        <w:rPr>
          <w:sz w:val="20"/>
          <w:szCs w:val="20"/>
          <w:color w:val="auto"/>
        </w:rPr>
      </w:pPr>
    </w:p>
    <w:p>
      <w:pPr>
        <w:ind w:left="260" w:hanging="253"/>
        <w:spacing w:after="0"/>
        <w:tabs>
          <w:tab w:leader="none" w:pos="26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The following documents are filed as part of this Annual Report on Form 10-K:</w:t>
      </w:r>
    </w:p>
    <w:p>
      <w:pPr>
        <w:spacing w:after="0" w:line="200" w:lineRule="exact"/>
        <w:rPr>
          <w:rFonts w:ascii="Arial" w:cs="Arial" w:eastAsia="Arial" w:hAnsi="Arial"/>
          <w:sz w:val="17"/>
          <w:szCs w:val="17"/>
          <w:b w:val="1"/>
          <w:bCs w:val="1"/>
          <w:color w:val="auto"/>
        </w:rPr>
      </w:pPr>
    </w:p>
    <w:p>
      <w:pPr>
        <w:ind w:left="900" w:hanging="248"/>
        <w:spacing w:after="0"/>
        <w:tabs>
          <w:tab w:leader="none" w:pos="9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Consolidated Financial Statements required to be filed by Item 8 of this Annual Report on Form 10-K, and filed in this Item 15, are as</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follows:</w:t>
      </w:r>
    </w:p>
    <w:p>
      <w:pPr>
        <w:spacing w:after="0" w:line="200" w:lineRule="exact"/>
        <w:rPr>
          <w:sz w:val="20"/>
          <w:szCs w:val="20"/>
          <w:color w:val="auto"/>
        </w:rPr>
      </w:pPr>
    </w:p>
    <w:tbl>
      <w:tblPr>
        <w:tblLayout w:type="fixed"/>
        <w:tblInd w:w="1320" w:type="dxa"/>
        <w:tblCellMar>
          <w:top w:w="0" w:type="dxa"/>
          <w:left w:w="0" w:type="dxa"/>
          <w:bottom w:w="0" w:type="dxa"/>
          <w:right w:w="0" w:type="dxa"/>
        </w:tblCellMar>
      </w:tblPr>
      <w:tr>
        <w:trPr>
          <w:trHeight w:val="188"/>
        </w:trPr>
        <w:tc>
          <w:tcPr>
            <w:tcW w:w="8980" w:type="dxa"/>
            <w:vAlign w:val="bottom"/>
          </w:tcPr>
          <w:p>
            <w:pPr>
              <w:spacing w:after="0"/>
              <w:rPr>
                <w:sz w:val="16"/>
                <w:szCs w:val="16"/>
                <w:color w:val="auto"/>
              </w:rPr>
            </w:pPr>
          </w:p>
        </w:tc>
        <w:tc>
          <w:tcPr>
            <w:tcW w:w="1040" w:type="dxa"/>
            <w:vAlign w:val="bottom"/>
            <w:tcBorders>
              <w:bottom w:val="single" w:sz="8" w:color="auto"/>
            </w:tcBorders>
          </w:tcPr>
          <w:p>
            <w:pPr>
              <w:jc w:val="center"/>
              <w:ind w:left="577"/>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4"/>
        </w:trPr>
        <w:tc>
          <w:tcPr>
            <w:tcW w:w="8980" w:type="dxa"/>
            <w:vAlign w:val="bottom"/>
          </w:tcPr>
          <w:p>
            <w:pPr>
              <w:spacing w:after="0"/>
              <w:rPr>
                <w:rFonts w:ascii="Arial" w:cs="Arial" w:eastAsia="Arial" w:hAnsi="Arial"/>
                <w:sz w:val="17"/>
                <w:szCs w:val="17"/>
                <w:color w:val="auto"/>
              </w:rPr>
            </w:pPr>
            <w:hyperlink w:anchor="page113">
              <w:r>
                <w:rPr>
                  <w:rFonts w:ascii="Arial" w:cs="Arial" w:eastAsia="Arial" w:hAnsi="Arial"/>
                  <w:sz w:val="17"/>
                  <w:szCs w:val="17"/>
                  <w:color w:val="auto"/>
                </w:rPr>
                <w:t xml:space="preserve">Report of Independent Registered Public Accounting Firm </w:t>
              </w:r>
            </w:hyperlink>
            <w:r>
              <w:rPr>
                <w:rFonts w:ascii="Arial" w:cs="Arial" w:eastAsia="Arial" w:hAnsi="Arial"/>
                <w:sz w:val="17"/>
                <w:szCs w:val="17"/>
                <w:color w:val="auto"/>
              </w:rPr>
              <w:t>(PCAOB ID 34)</w:t>
            </w:r>
          </w:p>
        </w:tc>
        <w:tc>
          <w:tcPr>
            <w:tcW w:w="1040" w:type="dxa"/>
            <w:vAlign w:val="bottom"/>
          </w:tcPr>
          <w:p>
            <w:pPr>
              <w:jc w:val="center"/>
              <w:ind w:left="617"/>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15"/>
        </w:trPr>
        <w:tc>
          <w:tcPr>
            <w:tcW w:w="8980" w:type="dxa"/>
            <w:vAlign w:val="bottom"/>
          </w:tcPr>
          <w:p>
            <w:pPr>
              <w:spacing w:after="0"/>
              <w:rPr>
                <w:rFonts w:ascii="Arial" w:cs="Arial" w:eastAsia="Arial" w:hAnsi="Arial"/>
                <w:sz w:val="17"/>
                <w:szCs w:val="17"/>
                <w:color w:val="auto"/>
              </w:rPr>
            </w:pPr>
            <w:hyperlink w:anchor="page114">
              <w:r>
                <w:rPr>
                  <w:rFonts w:ascii="Arial" w:cs="Arial" w:eastAsia="Arial" w:hAnsi="Arial"/>
                  <w:sz w:val="17"/>
                  <w:szCs w:val="17"/>
                  <w:color w:val="auto"/>
                </w:rPr>
                <w:t>Consolidated Balance Sheets</w:t>
              </w:r>
            </w:hyperlink>
          </w:p>
        </w:tc>
        <w:tc>
          <w:tcPr>
            <w:tcW w:w="1040" w:type="dxa"/>
            <w:vAlign w:val="bottom"/>
          </w:tcPr>
          <w:p>
            <w:pPr>
              <w:jc w:val="center"/>
              <w:ind w:left="617"/>
              <w:spacing w:after="0"/>
              <w:rPr>
                <w:rFonts w:ascii="Arial" w:cs="Arial" w:eastAsia="Arial" w:hAnsi="Arial"/>
                <w:sz w:val="17"/>
                <w:szCs w:val="17"/>
                <w:color w:val="auto"/>
              </w:rPr>
            </w:pPr>
            <w:r>
              <w:rPr>
                <w:rFonts w:ascii="Arial" w:cs="Arial" w:eastAsia="Arial" w:hAnsi="Arial"/>
                <w:sz w:val="17"/>
                <w:szCs w:val="17"/>
                <w:color w:val="auto"/>
              </w:rPr>
              <w:t>F-</w:t>
            </w:r>
            <w:hyperlink w:anchor="page114">
              <w:r>
                <w:rPr>
                  <w:rFonts w:ascii="Arial" w:cs="Arial" w:eastAsia="Arial" w:hAnsi="Arial"/>
                  <w:sz w:val="17"/>
                  <w:szCs w:val="17"/>
                  <w:color w:val="auto"/>
                </w:rPr>
                <w:t>2</w:t>
              </w:r>
            </w:hyperlink>
          </w:p>
        </w:tc>
        <w:tc>
          <w:tcPr>
            <w:tcW w:w="0" w:type="dxa"/>
            <w:vAlign w:val="bottom"/>
          </w:tcPr>
          <w:p>
            <w:pPr>
              <w:spacing w:after="0"/>
              <w:rPr>
                <w:sz w:val="1"/>
                <w:szCs w:val="1"/>
                <w:color w:val="auto"/>
              </w:rPr>
            </w:pPr>
          </w:p>
        </w:tc>
      </w:tr>
      <w:tr>
        <w:trPr>
          <w:trHeight w:val="215"/>
        </w:trPr>
        <w:tc>
          <w:tcPr>
            <w:tcW w:w="8980" w:type="dxa"/>
            <w:vAlign w:val="bottom"/>
          </w:tcPr>
          <w:p>
            <w:pPr>
              <w:spacing w:after="0"/>
              <w:rPr>
                <w:rFonts w:ascii="Arial" w:cs="Arial" w:eastAsia="Arial" w:hAnsi="Arial"/>
                <w:sz w:val="17"/>
                <w:szCs w:val="17"/>
                <w:color w:val="auto"/>
              </w:rPr>
            </w:pPr>
            <w:hyperlink w:anchor="page115">
              <w:r>
                <w:rPr>
                  <w:rFonts w:ascii="Arial" w:cs="Arial" w:eastAsia="Arial" w:hAnsi="Arial"/>
                  <w:sz w:val="17"/>
                  <w:szCs w:val="17"/>
                  <w:color w:val="auto"/>
                </w:rPr>
                <w:t>Consolidated Statements of Operations</w:t>
              </w:r>
            </w:hyperlink>
          </w:p>
        </w:tc>
        <w:tc>
          <w:tcPr>
            <w:tcW w:w="1040" w:type="dxa"/>
            <w:vAlign w:val="bottom"/>
          </w:tcPr>
          <w:p>
            <w:pPr>
              <w:jc w:val="center"/>
              <w:ind w:left="617"/>
              <w:spacing w:after="0"/>
              <w:rPr>
                <w:rFonts w:ascii="Arial" w:cs="Arial" w:eastAsia="Arial" w:hAnsi="Arial"/>
                <w:sz w:val="17"/>
                <w:szCs w:val="17"/>
                <w:color w:val="auto"/>
              </w:rPr>
            </w:pPr>
            <w:r>
              <w:rPr>
                <w:rFonts w:ascii="Arial" w:cs="Arial" w:eastAsia="Arial" w:hAnsi="Arial"/>
                <w:sz w:val="17"/>
                <w:szCs w:val="17"/>
                <w:color w:val="auto"/>
              </w:rPr>
              <w:t>F-</w:t>
            </w:r>
            <w:hyperlink w:anchor="page115">
              <w:r>
                <w:rPr>
                  <w:rFonts w:ascii="Arial" w:cs="Arial" w:eastAsia="Arial" w:hAnsi="Arial"/>
                  <w:sz w:val="17"/>
                  <w:szCs w:val="17"/>
                  <w:color w:val="auto"/>
                </w:rPr>
                <w:t>3</w:t>
              </w:r>
            </w:hyperlink>
          </w:p>
        </w:tc>
        <w:tc>
          <w:tcPr>
            <w:tcW w:w="0" w:type="dxa"/>
            <w:vAlign w:val="bottom"/>
          </w:tcPr>
          <w:p>
            <w:pPr>
              <w:spacing w:after="0"/>
              <w:rPr>
                <w:sz w:val="1"/>
                <w:szCs w:val="1"/>
                <w:color w:val="auto"/>
              </w:rPr>
            </w:pPr>
          </w:p>
        </w:tc>
      </w:tr>
      <w:tr>
        <w:trPr>
          <w:trHeight w:val="228"/>
        </w:trPr>
        <w:tc>
          <w:tcPr>
            <w:tcW w:w="8980" w:type="dxa"/>
            <w:vAlign w:val="bottom"/>
          </w:tcPr>
          <w:p>
            <w:pPr>
              <w:spacing w:after="0"/>
              <w:rPr>
                <w:rFonts w:ascii="Arial" w:cs="Arial" w:eastAsia="Arial" w:hAnsi="Arial"/>
                <w:sz w:val="17"/>
                <w:szCs w:val="17"/>
                <w:color w:val="auto"/>
              </w:rPr>
            </w:pPr>
            <w:hyperlink w:anchor="page116">
              <w:r>
                <w:rPr>
                  <w:rFonts w:ascii="Arial" w:cs="Arial" w:eastAsia="Arial" w:hAnsi="Arial"/>
                  <w:sz w:val="17"/>
                  <w:szCs w:val="17"/>
                  <w:color w:val="auto"/>
                </w:rPr>
                <w:t xml:space="preserve">Consolidated Statements of Convertible Preferred Stock </w:t>
              </w:r>
            </w:hyperlink>
            <w:r>
              <w:rPr>
                <w:rFonts w:ascii="Arial" w:cs="Arial" w:eastAsia="Arial" w:hAnsi="Arial"/>
                <w:sz w:val="17"/>
                <w:szCs w:val="17"/>
                <w:color w:val="auto"/>
              </w:rPr>
              <w:t>and Stockholders’ Equity (Deficit)</w:t>
            </w:r>
          </w:p>
        </w:tc>
        <w:tc>
          <w:tcPr>
            <w:tcW w:w="1040" w:type="dxa"/>
            <w:vAlign w:val="bottom"/>
            <w:vMerge w:val="restart"/>
          </w:tcPr>
          <w:p>
            <w:pPr>
              <w:jc w:val="center"/>
              <w:ind w:left="617"/>
              <w:spacing w:after="0"/>
              <w:rPr>
                <w:rFonts w:ascii="Arial" w:cs="Arial" w:eastAsia="Arial" w:hAnsi="Arial"/>
                <w:sz w:val="17"/>
                <w:szCs w:val="17"/>
                <w:color w:val="auto"/>
              </w:rPr>
            </w:pPr>
            <w:r>
              <w:rPr>
                <w:rFonts w:ascii="Arial" w:cs="Arial" w:eastAsia="Arial" w:hAnsi="Arial"/>
                <w:sz w:val="17"/>
                <w:szCs w:val="17"/>
                <w:color w:val="auto"/>
              </w:rPr>
              <w:t>F-</w:t>
            </w:r>
            <w:hyperlink w:anchor="page116">
              <w:r>
                <w:rPr>
                  <w:rFonts w:ascii="Arial" w:cs="Arial" w:eastAsia="Arial" w:hAnsi="Arial"/>
                  <w:sz w:val="17"/>
                  <w:szCs w:val="17"/>
                  <w:color w:val="auto"/>
                </w:rPr>
                <w:t>4</w:t>
              </w:r>
            </w:hyperlink>
          </w:p>
        </w:tc>
        <w:tc>
          <w:tcPr>
            <w:tcW w:w="0" w:type="dxa"/>
            <w:vAlign w:val="bottom"/>
          </w:tcPr>
          <w:p>
            <w:pPr>
              <w:spacing w:after="0"/>
              <w:rPr>
                <w:sz w:val="1"/>
                <w:szCs w:val="1"/>
                <w:color w:val="auto"/>
              </w:rPr>
            </w:pPr>
          </w:p>
        </w:tc>
      </w:tr>
      <w:tr>
        <w:trPr>
          <w:trHeight w:val="201"/>
        </w:trPr>
        <w:tc>
          <w:tcPr>
            <w:tcW w:w="89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980" w:type="dxa"/>
            <w:vAlign w:val="bottom"/>
          </w:tcPr>
          <w:p>
            <w:pPr>
              <w:spacing w:after="0"/>
              <w:rPr>
                <w:rFonts w:ascii="Arial" w:cs="Arial" w:eastAsia="Arial" w:hAnsi="Arial"/>
                <w:sz w:val="17"/>
                <w:szCs w:val="17"/>
                <w:color w:val="auto"/>
              </w:rPr>
            </w:pPr>
            <w:hyperlink w:anchor="page117">
              <w:r>
                <w:rPr>
                  <w:rFonts w:ascii="Arial" w:cs="Arial" w:eastAsia="Arial" w:hAnsi="Arial"/>
                  <w:sz w:val="17"/>
                  <w:szCs w:val="17"/>
                  <w:color w:val="auto"/>
                </w:rPr>
                <w:t>Consolidated Statements of Cash Flows</w:t>
              </w:r>
            </w:hyperlink>
          </w:p>
        </w:tc>
        <w:tc>
          <w:tcPr>
            <w:tcW w:w="1040" w:type="dxa"/>
            <w:vAlign w:val="bottom"/>
          </w:tcPr>
          <w:p>
            <w:pPr>
              <w:jc w:val="center"/>
              <w:ind w:left="617"/>
              <w:spacing w:after="0"/>
              <w:rPr>
                <w:rFonts w:ascii="Arial" w:cs="Arial" w:eastAsia="Arial" w:hAnsi="Arial"/>
                <w:sz w:val="17"/>
                <w:szCs w:val="17"/>
                <w:color w:val="auto"/>
              </w:rPr>
            </w:pPr>
            <w:r>
              <w:rPr>
                <w:rFonts w:ascii="Arial" w:cs="Arial" w:eastAsia="Arial" w:hAnsi="Arial"/>
                <w:sz w:val="17"/>
                <w:szCs w:val="17"/>
                <w:color w:val="auto"/>
              </w:rPr>
              <w:t>F-</w:t>
            </w:r>
            <w:hyperlink w:anchor="page117">
              <w:r>
                <w:rPr>
                  <w:rFonts w:ascii="Arial" w:cs="Arial" w:eastAsia="Arial" w:hAnsi="Arial"/>
                  <w:sz w:val="17"/>
                  <w:szCs w:val="17"/>
                  <w:color w:val="auto"/>
                </w:rPr>
                <w:t>5</w:t>
              </w:r>
            </w:hyperlink>
          </w:p>
        </w:tc>
        <w:tc>
          <w:tcPr>
            <w:tcW w:w="0" w:type="dxa"/>
            <w:vAlign w:val="bottom"/>
          </w:tcPr>
          <w:p>
            <w:pPr>
              <w:spacing w:after="0"/>
              <w:rPr>
                <w:sz w:val="1"/>
                <w:szCs w:val="1"/>
                <w:color w:val="auto"/>
              </w:rPr>
            </w:pPr>
          </w:p>
        </w:tc>
      </w:tr>
      <w:tr>
        <w:trPr>
          <w:trHeight w:val="215"/>
        </w:trPr>
        <w:tc>
          <w:tcPr>
            <w:tcW w:w="8980" w:type="dxa"/>
            <w:vAlign w:val="bottom"/>
          </w:tcPr>
          <w:p>
            <w:pPr>
              <w:spacing w:after="0"/>
              <w:rPr>
                <w:rFonts w:ascii="Arial" w:cs="Arial" w:eastAsia="Arial" w:hAnsi="Arial"/>
                <w:sz w:val="17"/>
                <w:szCs w:val="17"/>
                <w:color w:val="auto"/>
              </w:rPr>
            </w:pPr>
            <w:hyperlink w:anchor="page119">
              <w:r>
                <w:rPr>
                  <w:rFonts w:ascii="Arial" w:cs="Arial" w:eastAsia="Arial" w:hAnsi="Arial"/>
                  <w:sz w:val="17"/>
                  <w:szCs w:val="17"/>
                  <w:color w:val="auto"/>
                </w:rPr>
                <w:t>Notes to Consolidated Financial Statements</w:t>
              </w:r>
            </w:hyperlink>
          </w:p>
        </w:tc>
        <w:tc>
          <w:tcPr>
            <w:tcW w:w="1040" w:type="dxa"/>
            <w:vAlign w:val="bottom"/>
          </w:tcPr>
          <w:p>
            <w:pPr>
              <w:jc w:val="center"/>
              <w:ind w:left="617"/>
              <w:spacing w:after="0"/>
              <w:rPr>
                <w:rFonts w:ascii="Arial" w:cs="Arial" w:eastAsia="Arial" w:hAnsi="Arial"/>
                <w:sz w:val="17"/>
                <w:szCs w:val="17"/>
                <w:color w:val="auto"/>
              </w:rPr>
            </w:pPr>
            <w:r>
              <w:rPr>
                <w:rFonts w:ascii="Arial" w:cs="Arial" w:eastAsia="Arial" w:hAnsi="Arial"/>
                <w:sz w:val="17"/>
                <w:szCs w:val="17"/>
                <w:color w:val="auto"/>
              </w:rPr>
              <w:t>F-</w:t>
            </w:r>
            <w:hyperlink w:anchor="page119">
              <w:r>
                <w:rPr>
                  <w:rFonts w:ascii="Arial" w:cs="Arial" w:eastAsia="Arial" w:hAnsi="Arial"/>
                  <w:sz w:val="17"/>
                  <w:szCs w:val="17"/>
                  <w:color w:val="auto"/>
                </w:rPr>
                <w:t>7</w:t>
              </w:r>
            </w:hyperlink>
          </w:p>
        </w:tc>
        <w:tc>
          <w:tcPr>
            <w:tcW w:w="0" w:type="dxa"/>
            <w:vAlign w:val="bottom"/>
          </w:tcPr>
          <w:p>
            <w:pPr>
              <w:spacing w:after="0"/>
              <w:rPr>
                <w:sz w:val="1"/>
                <w:szCs w:val="1"/>
                <w:color w:val="auto"/>
              </w:rPr>
            </w:pPr>
          </w:p>
        </w:tc>
      </w:tr>
    </w:tbl>
    <w:p>
      <w:pPr>
        <w:spacing w:after="0" w:line="266" w:lineRule="exact"/>
        <w:rPr>
          <w:sz w:val="20"/>
          <w:szCs w:val="20"/>
          <w:color w:val="auto"/>
        </w:rPr>
      </w:pPr>
    </w:p>
    <w:p>
      <w:pPr>
        <w:ind w:right="220" w:firstLine="652"/>
        <w:spacing w:after="0" w:line="257" w:lineRule="auto"/>
        <w:tabs>
          <w:tab w:leader="none" w:pos="899"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Consolidated Financial Statement Schedule have been omitted because they are either not applicable or the required information is included in the Consolidated Financial Statements or notes thereto listed in (a)(1) above.</w:t>
      </w:r>
    </w:p>
    <w:p>
      <w:pPr>
        <w:spacing w:after="0" w:line="145" w:lineRule="exact"/>
        <w:rPr>
          <w:rFonts w:ascii="Arial" w:cs="Arial" w:eastAsia="Arial" w:hAnsi="Arial"/>
          <w:sz w:val="17"/>
          <w:szCs w:val="17"/>
          <w:color w:val="auto"/>
        </w:rPr>
      </w:pPr>
    </w:p>
    <w:p>
      <w:pPr>
        <w:ind w:left="900" w:hanging="248"/>
        <w:spacing w:after="0"/>
        <w:tabs>
          <w:tab w:leader="none" w:pos="9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Exhibits are incorporated herein by reference or are filed with this Annual Report on Form 10-K as indicated below</w:t>
      </w:r>
    </w:p>
    <w:p>
      <w:pPr>
        <w:spacing w:after="0" w:line="160" w:lineRule="exact"/>
        <w:rPr>
          <w:rFonts w:ascii="Arial" w:cs="Arial" w:eastAsia="Arial" w:hAnsi="Arial"/>
          <w:sz w:val="17"/>
          <w:szCs w:val="17"/>
          <w:color w:val="auto"/>
        </w:rPr>
      </w:pPr>
    </w:p>
    <w:p>
      <w:pPr>
        <w:ind w:left="280" w:hanging="273"/>
        <w:spacing w:after="0"/>
        <w:tabs>
          <w:tab w:leader="none" w:pos="28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68262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19"/>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80" w:type="dxa"/>
            <w:vAlign w:val="bottom"/>
            <w:vMerge w:val="restart"/>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3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FILING DATE</w:t>
            </w:r>
          </w:p>
        </w:tc>
        <w:tc>
          <w:tcPr>
            <w:tcW w:w="4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9"/>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040" w:type="dxa"/>
            <w:vAlign w:val="bottom"/>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20" w:type="dxa"/>
            <w:vAlign w:val="bottom"/>
            <w:gridSpan w:val="24"/>
          </w:tcPr>
          <w:p>
            <w:pPr>
              <w:spacing w:after="0"/>
              <w:rPr>
                <w:rFonts w:ascii="Arial" w:cs="Arial" w:eastAsia="Arial" w:hAnsi="Arial"/>
                <w:sz w:val="17"/>
                <w:szCs w:val="17"/>
                <w:color w:val="0000FF"/>
              </w:rPr>
            </w:pPr>
            <w:hyperlink r:id="rId161">
              <w:r>
                <w:rPr>
                  <w:rFonts w:ascii="Arial" w:cs="Arial" w:eastAsia="Arial" w:hAnsi="Arial"/>
                  <w:sz w:val="17"/>
                  <w:szCs w:val="17"/>
                  <w:color w:val="0000FF"/>
                </w:rPr>
                <w:t>Amended and Restated Certificate of Incorporation of the</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8-K</w:t>
            </w:r>
          </w:p>
        </w:tc>
        <w:tc>
          <w:tcPr>
            <w:tcW w:w="1380" w:type="dxa"/>
            <w:vAlign w:val="bottom"/>
          </w:tcPr>
          <w:p>
            <w:pPr>
              <w:jc w:val="center"/>
              <w:spacing w:after="0"/>
              <w:rPr>
                <w:sz w:val="20"/>
                <w:szCs w:val="20"/>
                <w:color w:val="auto"/>
              </w:rPr>
            </w:pPr>
            <w:r>
              <w:rPr>
                <w:rFonts w:ascii="Arial" w:cs="Arial" w:eastAsia="Arial" w:hAnsi="Arial"/>
                <w:sz w:val="17"/>
                <w:szCs w:val="17"/>
                <w:color w:val="auto"/>
              </w:rPr>
              <w:t>001-39264</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8"/>
                <w:szCs w:val="18"/>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7"/>
                <w:szCs w:val="17"/>
                <w:color w:val="auto"/>
                <w:w w:val="99"/>
              </w:rPr>
              <w:t>April 13, 2020</w:t>
            </w: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0000FF"/>
              <w:bottom w:val="single" w:sz="8" w:color="0000FF"/>
            </w:tcBorders>
          </w:tcPr>
          <w:p>
            <w:pPr>
              <w:spacing w:after="0" w:line="141" w:lineRule="exact"/>
              <w:rPr>
                <w:rFonts w:ascii="Arial" w:cs="Arial" w:eastAsia="Arial" w:hAnsi="Arial"/>
                <w:sz w:val="16"/>
                <w:szCs w:val="16"/>
                <w:color w:val="0000FF"/>
              </w:rPr>
            </w:pPr>
            <w:hyperlink r:id="rId161">
              <w:r>
                <w:rPr>
                  <w:rFonts w:ascii="Arial" w:cs="Arial" w:eastAsia="Arial" w:hAnsi="Arial"/>
                  <w:sz w:val="16"/>
                  <w:szCs w:val="16"/>
                  <w:color w:val="0000FF"/>
                </w:rPr>
                <w:t>Registrant.</w:t>
              </w:r>
            </w:hyperlink>
          </w:p>
        </w:tc>
        <w:tc>
          <w:tcPr>
            <w:tcW w:w="3460" w:type="dxa"/>
            <w:vAlign w:val="bottom"/>
            <w:tcBorders>
              <w:top w:val="single" w:sz="8" w:color="0000FF"/>
            </w:tcBorders>
            <w:gridSpan w:val="14"/>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24"/>
          </w:tcPr>
          <w:p>
            <w:pPr>
              <w:spacing w:after="0"/>
              <w:rPr>
                <w:rFonts w:ascii="Arial" w:cs="Arial" w:eastAsia="Arial" w:hAnsi="Arial"/>
                <w:sz w:val="17"/>
                <w:szCs w:val="17"/>
                <w:color w:val="0000FF"/>
              </w:rPr>
            </w:pPr>
            <w:hyperlink r:id="rId162">
              <w:r>
                <w:rPr>
                  <w:rFonts w:ascii="Arial" w:cs="Arial" w:eastAsia="Arial" w:hAnsi="Arial"/>
                  <w:sz w:val="17"/>
                  <w:szCs w:val="17"/>
                  <w:color w:val="0000FF"/>
                </w:rPr>
                <w:t>Amended and Restated Bylaws of the Registrant.</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8-K</w:t>
            </w:r>
          </w:p>
        </w:tc>
        <w:tc>
          <w:tcPr>
            <w:tcW w:w="1380" w:type="dxa"/>
            <w:vAlign w:val="bottom"/>
          </w:tcPr>
          <w:p>
            <w:pPr>
              <w:jc w:val="center"/>
              <w:spacing w:after="0"/>
              <w:rPr>
                <w:sz w:val="20"/>
                <w:szCs w:val="20"/>
                <w:color w:val="auto"/>
              </w:rPr>
            </w:pPr>
            <w:r>
              <w:rPr>
                <w:rFonts w:ascii="Arial" w:cs="Arial" w:eastAsia="Arial" w:hAnsi="Arial"/>
                <w:sz w:val="17"/>
                <w:szCs w:val="17"/>
                <w:color w:val="auto"/>
              </w:rPr>
              <w:t>001-39264</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21"/>
                <w:szCs w:val="21"/>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7"/>
                <w:szCs w:val="17"/>
                <w:color w:val="auto"/>
                <w:w w:val="99"/>
              </w:rPr>
              <w:t>April 13, 2020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40" w:type="dxa"/>
            <w:vAlign w:val="bottom"/>
            <w:tcBorders>
              <w:bottom w:val="single" w:sz="8" w:color="0000FF"/>
            </w:tcBorders>
            <w:gridSpan w:val="20"/>
          </w:tcPr>
          <w:p>
            <w:pPr>
              <w:spacing w:after="0"/>
              <w:rPr>
                <w:rFonts w:ascii="Arial" w:cs="Arial" w:eastAsia="Arial" w:hAnsi="Arial"/>
                <w:sz w:val="17"/>
                <w:szCs w:val="17"/>
                <w:color w:val="0000FF"/>
                <w:w w:val="99"/>
              </w:rPr>
            </w:pPr>
            <w:hyperlink r:id="rId163">
              <w:r>
                <w:rPr>
                  <w:rFonts w:ascii="Arial" w:cs="Arial" w:eastAsia="Arial" w:hAnsi="Arial"/>
                  <w:sz w:val="17"/>
                  <w:szCs w:val="17"/>
                  <w:color w:val="0000FF"/>
                  <w:w w:val="99"/>
                </w:rPr>
                <w:t>Amended and Restated Investors’ Rights Agreement by and</w:t>
              </w:r>
            </w:hyperlink>
          </w:p>
        </w:tc>
        <w:tc>
          <w:tcPr>
            <w:tcW w:w="180" w:type="dxa"/>
            <w:vAlign w:val="bottom"/>
            <w:gridSpan w:val="4"/>
          </w:tcPr>
          <w:p>
            <w:pPr>
              <w:spacing w:after="0"/>
              <w:rPr>
                <w:sz w:val="21"/>
                <w:szCs w:val="2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21"/>
                <w:szCs w:val="21"/>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7"/>
                <w:szCs w:val="17"/>
                <w:color w:val="auto"/>
                <w:w w:val="99"/>
              </w:rPr>
              <w:t>March 16, 2020</w:t>
            </w: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gridSpan w:val="24"/>
          </w:tcPr>
          <w:p>
            <w:pPr>
              <w:spacing w:after="0" w:line="141" w:lineRule="exact"/>
              <w:rPr>
                <w:rFonts w:ascii="Arial" w:cs="Arial" w:eastAsia="Arial" w:hAnsi="Arial"/>
                <w:sz w:val="16"/>
                <w:szCs w:val="16"/>
                <w:color w:val="0000FF"/>
              </w:rPr>
            </w:pPr>
            <w:hyperlink r:id="rId163">
              <w:r>
                <w:rPr>
                  <w:rFonts w:ascii="Arial" w:cs="Arial" w:eastAsia="Arial" w:hAnsi="Arial"/>
                  <w:sz w:val="16"/>
                  <w:szCs w:val="16"/>
                  <w:color w:val="0000FF"/>
                </w:rPr>
                <w:t>among the registrant and certain of its stockholders, dated as</w:t>
              </w:r>
            </w:hyperlink>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3"/>
          </w:tcPr>
          <w:p>
            <w:pPr>
              <w:spacing w:after="0" w:line="141" w:lineRule="exact"/>
              <w:rPr>
                <w:rFonts w:ascii="Arial" w:cs="Arial" w:eastAsia="Arial" w:hAnsi="Arial"/>
                <w:sz w:val="16"/>
                <w:szCs w:val="16"/>
                <w:color w:val="0000FF"/>
              </w:rPr>
            </w:pPr>
            <w:hyperlink r:id="rId163">
              <w:r>
                <w:rPr>
                  <w:rFonts w:ascii="Arial" w:cs="Arial" w:eastAsia="Arial" w:hAnsi="Arial"/>
                  <w:sz w:val="16"/>
                  <w:szCs w:val="16"/>
                  <w:color w:val="0000FF"/>
                </w:rPr>
                <w:t>of March 2, 2020.</w:t>
              </w:r>
            </w:hyperlink>
          </w:p>
        </w:tc>
        <w:tc>
          <w:tcPr>
            <w:tcW w:w="328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24"/>
          </w:tcPr>
          <w:p>
            <w:pPr>
              <w:spacing w:after="0"/>
              <w:rPr>
                <w:rFonts w:ascii="Arial" w:cs="Arial" w:eastAsia="Arial" w:hAnsi="Arial"/>
                <w:sz w:val="17"/>
                <w:szCs w:val="17"/>
                <w:color w:val="0000FF"/>
              </w:rPr>
            </w:pPr>
            <w:hyperlink r:id="rId164">
              <w:r>
                <w:rPr>
                  <w:rFonts w:ascii="Arial" w:cs="Arial" w:eastAsia="Arial" w:hAnsi="Arial"/>
                  <w:sz w:val="17"/>
                  <w:szCs w:val="17"/>
                  <w:color w:val="0000FF"/>
                </w:rPr>
                <w:t>Form of Common Stock Certificate.</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S-1/A</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21"/>
                <w:szCs w:val="21"/>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7"/>
                <w:szCs w:val="17"/>
                <w:color w:val="auto"/>
              </w:rPr>
              <w:t>April 1, 2020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00" w:type="dxa"/>
            <w:vAlign w:val="bottom"/>
            <w:tcBorders>
              <w:bottom w:val="single" w:sz="8" w:color="0000FF"/>
            </w:tcBorders>
            <w:gridSpan w:val="10"/>
          </w:tcPr>
          <w:p>
            <w:pPr>
              <w:spacing w:after="0"/>
              <w:rPr>
                <w:rFonts w:ascii="Arial" w:cs="Arial" w:eastAsia="Arial" w:hAnsi="Arial"/>
                <w:sz w:val="17"/>
                <w:szCs w:val="17"/>
                <w:color w:val="0000FF"/>
                <w:w w:val="99"/>
              </w:rPr>
            </w:pPr>
            <w:hyperlink w:anchor="page139">
              <w:r>
                <w:rPr>
                  <w:rFonts w:ascii="Arial" w:cs="Arial" w:eastAsia="Arial" w:hAnsi="Arial"/>
                  <w:sz w:val="17"/>
                  <w:szCs w:val="17"/>
                  <w:color w:val="0000FF"/>
                  <w:w w:val="99"/>
                </w:rPr>
                <w:t>Description of the Registrant’s Securities.</w:t>
              </w:r>
            </w:hyperlink>
          </w:p>
        </w:tc>
        <w:tc>
          <w:tcPr>
            <w:tcW w:w="1620" w:type="dxa"/>
            <w:vAlign w:val="bottom"/>
            <w:gridSpan w:val="14"/>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24"/>
          </w:tcPr>
          <w:p>
            <w:pPr>
              <w:spacing w:after="0"/>
              <w:rPr>
                <w:rFonts w:ascii="Arial" w:cs="Arial" w:eastAsia="Arial" w:hAnsi="Arial"/>
                <w:sz w:val="17"/>
                <w:szCs w:val="17"/>
                <w:color w:val="0000FF"/>
              </w:rPr>
            </w:pPr>
            <w:hyperlink r:id="rId165">
              <w:r>
                <w:rPr>
                  <w:rFonts w:ascii="Arial" w:cs="Arial" w:eastAsia="Arial" w:hAnsi="Arial"/>
                  <w:sz w:val="17"/>
                  <w:szCs w:val="17"/>
                  <w:color w:val="0000FF"/>
                </w:rPr>
                <w:t>Form of Indemnity Agreement between the registrant and its</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S-1/A</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1"/>
                <w:szCs w:val="21"/>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7"/>
                <w:szCs w:val="17"/>
                <w:color w:val="auto"/>
              </w:rPr>
              <w:t>April 1, 2020</w:t>
            </w: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4"/>
          </w:tcPr>
          <w:p>
            <w:pPr>
              <w:spacing w:after="0" w:line="141" w:lineRule="exact"/>
              <w:rPr>
                <w:rFonts w:ascii="Arial" w:cs="Arial" w:eastAsia="Arial" w:hAnsi="Arial"/>
                <w:sz w:val="16"/>
                <w:szCs w:val="16"/>
                <w:color w:val="0000FF"/>
              </w:rPr>
            </w:pPr>
            <w:hyperlink r:id="rId165">
              <w:r>
                <w:rPr>
                  <w:rFonts w:ascii="Arial" w:cs="Arial" w:eastAsia="Arial" w:hAnsi="Arial"/>
                  <w:sz w:val="16"/>
                  <w:szCs w:val="16"/>
                  <w:color w:val="0000FF"/>
                </w:rPr>
                <w:t>directors and officers.</w:t>
              </w:r>
            </w:hyperlink>
          </w:p>
        </w:tc>
        <w:tc>
          <w:tcPr>
            <w:tcW w:w="2900" w:type="dxa"/>
            <w:vAlign w:val="bottom"/>
            <w:tcBorders>
              <w:top w:val="single" w:sz="8" w:color="0000FF"/>
            </w:tcBorders>
            <w:gridSpan w:val="15"/>
          </w:tcPr>
          <w:p>
            <w:pPr>
              <w:spacing w:after="0"/>
              <w:rPr>
                <w:sz w:val="12"/>
                <w:szCs w:val="12"/>
                <w:color w:val="auto"/>
              </w:rPr>
            </w:pPr>
          </w:p>
        </w:tc>
        <w:tc>
          <w:tcPr>
            <w:tcW w:w="10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40" w:type="dxa"/>
            <w:vAlign w:val="bottom"/>
            <w:tcBorders>
              <w:bottom w:val="single" w:sz="8" w:color="0000FF"/>
            </w:tcBorders>
            <w:gridSpan w:val="9"/>
          </w:tcPr>
          <w:p>
            <w:pPr>
              <w:spacing w:after="0"/>
              <w:rPr>
                <w:rFonts w:ascii="Arial" w:cs="Arial" w:eastAsia="Arial" w:hAnsi="Arial"/>
                <w:sz w:val="17"/>
                <w:szCs w:val="17"/>
                <w:color w:val="0000FF"/>
                <w:w w:val="99"/>
              </w:rPr>
            </w:pPr>
            <w:hyperlink r:id="rId166">
              <w:r>
                <w:rPr>
                  <w:rFonts w:ascii="Arial" w:cs="Arial" w:eastAsia="Arial" w:hAnsi="Arial"/>
                  <w:sz w:val="17"/>
                  <w:szCs w:val="17"/>
                  <w:color w:val="0000FF"/>
                  <w:w w:val="99"/>
                </w:rPr>
                <w:t>2017 Stock Incentive Plan, as amended.</w:t>
              </w:r>
            </w:hyperlink>
          </w:p>
        </w:tc>
        <w:tc>
          <w:tcPr>
            <w:tcW w:w="1680" w:type="dxa"/>
            <w:vAlign w:val="bottom"/>
            <w:gridSpan w:val="15"/>
          </w:tcPr>
          <w:p>
            <w:pPr>
              <w:spacing w:after="0"/>
              <w:rPr>
                <w:sz w:val="21"/>
                <w:szCs w:val="2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1"/>
                <w:szCs w:val="21"/>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7"/>
                <w:szCs w:val="17"/>
                <w:color w:val="auto"/>
                <w:w w:val="99"/>
              </w:rPr>
              <w:t>March 16, 2020</w:t>
            </w: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24"/>
          </w:tcPr>
          <w:p>
            <w:pPr>
              <w:spacing w:after="0"/>
              <w:rPr>
                <w:rFonts w:ascii="Arial" w:cs="Arial" w:eastAsia="Arial" w:hAnsi="Arial"/>
                <w:sz w:val="17"/>
                <w:szCs w:val="17"/>
                <w:color w:val="0000FF"/>
              </w:rPr>
            </w:pPr>
            <w:hyperlink r:id="rId167">
              <w:r>
                <w:rPr>
                  <w:rFonts w:ascii="Arial" w:cs="Arial" w:eastAsia="Arial" w:hAnsi="Arial"/>
                  <w:sz w:val="17"/>
                  <w:szCs w:val="17"/>
                  <w:color w:val="0000FF"/>
                </w:rPr>
                <w:t>Form of Stock Option Grant Notice and Option Agreement for</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1"/>
                <w:szCs w:val="21"/>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7"/>
                <w:szCs w:val="17"/>
                <w:color w:val="auto"/>
                <w:w w:val="99"/>
              </w:rPr>
              <w:t>March 16, 2020</w:t>
            </w: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11"/>
          </w:tcPr>
          <w:p>
            <w:pPr>
              <w:spacing w:after="0" w:line="141" w:lineRule="exact"/>
              <w:rPr>
                <w:rFonts w:ascii="Arial" w:cs="Arial" w:eastAsia="Arial" w:hAnsi="Arial"/>
                <w:sz w:val="16"/>
                <w:szCs w:val="16"/>
                <w:color w:val="0000FF"/>
              </w:rPr>
            </w:pPr>
            <w:hyperlink r:id="rId167">
              <w:r>
                <w:rPr>
                  <w:rFonts w:ascii="Arial" w:cs="Arial" w:eastAsia="Arial" w:hAnsi="Arial"/>
                  <w:sz w:val="16"/>
                  <w:szCs w:val="16"/>
                  <w:color w:val="0000FF"/>
                </w:rPr>
                <w:t>the 2017 Stock Incentive Plan, as amended.</w:t>
              </w:r>
            </w:hyperlink>
          </w:p>
        </w:tc>
        <w:tc>
          <w:tcPr>
            <w:tcW w:w="1300" w:type="dxa"/>
            <w:vAlign w:val="bottom"/>
            <w:tcBorders>
              <w:top w:val="single" w:sz="8" w:color="0000FF"/>
            </w:tcBorders>
            <w:gridSpan w:val="11"/>
          </w:tcPr>
          <w:p>
            <w:pPr>
              <w:spacing w:after="0"/>
              <w:rPr>
                <w:sz w:val="12"/>
                <w:szCs w:val="12"/>
                <w:color w:val="auto"/>
              </w:rPr>
            </w:pPr>
          </w:p>
        </w:tc>
        <w:tc>
          <w:tcPr>
            <w:tcW w:w="100" w:type="dxa"/>
            <w:vAlign w:val="bottom"/>
            <w:gridSpan w:val="2"/>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60" w:type="dxa"/>
            <w:vAlign w:val="bottom"/>
            <w:tcBorders>
              <w:bottom w:val="single" w:sz="8" w:color="0000FF"/>
            </w:tcBorders>
            <w:gridSpan w:val="5"/>
          </w:tcPr>
          <w:p>
            <w:pPr>
              <w:spacing w:after="0"/>
              <w:rPr>
                <w:rFonts w:ascii="Arial" w:cs="Arial" w:eastAsia="Arial" w:hAnsi="Arial"/>
                <w:sz w:val="17"/>
                <w:szCs w:val="17"/>
                <w:color w:val="0000FF"/>
                <w:w w:val="99"/>
              </w:rPr>
            </w:pPr>
            <w:hyperlink r:id="rId168">
              <w:r>
                <w:rPr>
                  <w:rFonts w:ascii="Arial" w:cs="Arial" w:eastAsia="Arial" w:hAnsi="Arial"/>
                  <w:sz w:val="17"/>
                  <w:szCs w:val="17"/>
                  <w:color w:val="0000FF"/>
                  <w:w w:val="99"/>
                </w:rPr>
                <w:t>2020 Equity Incentive Plan.</w:t>
              </w:r>
            </w:hyperlink>
          </w:p>
        </w:tc>
        <w:tc>
          <w:tcPr>
            <w:tcW w:w="2660" w:type="dxa"/>
            <w:vAlign w:val="bottom"/>
            <w:gridSpan w:val="19"/>
          </w:tcPr>
          <w:p>
            <w:pPr>
              <w:spacing w:after="0"/>
              <w:rPr>
                <w:sz w:val="21"/>
                <w:szCs w:val="2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S-1/A</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1"/>
                <w:szCs w:val="21"/>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7"/>
                <w:szCs w:val="17"/>
                <w:color w:val="auto"/>
              </w:rPr>
              <w:t>April 1, 2020</w:t>
            </w:r>
          </w:p>
        </w:tc>
        <w:tc>
          <w:tcPr>
            <w:tcW w:w="0" w:type="dxa"/>
            <w:vAlign w:val="bottom"/>
          </w:tcPr>
          <w:p>
            <w:pPr>
              <w:spacing w:after="0"/>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24"/>
          </w:tcPr>
          <w:p>
            <w:pPr>
              <w:spacing w:after="0"/>
              <w:rPr>
                <w:rFonts w:ascii="Arial" w:cs="Arial" w:eastAsia="Arial" w:hAnsi="Arial"/>
                <w:sz w:val="17"/>
                <w:szCs w:val="17"/>
                <w:color w:val="0000FF"/>
              </w:rPr>
            </w:pPr>
            <w:hyperlink r:id="rId169">
              <w:r>
                <w:rPr>
                  <w:rFonts w:ascii="Arial" w:cs="Arial" w:eastAsia="Arial" w:hAnsi="Arial"/>
                  <w:sz w:val="17"/>
                  <w:szCs w:val="17"/>
                  <w:color w:val="0000FF"/>
                </w:rPr>
                <w:t>Forms of Stock Option Grant Notice, Option Agreement,</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S-1/A</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1"/>
                <w:szCs w:val="21"/>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7"/>
                <w:szCs w:val="17"/>
                <w:color w:val="auto"/>
              </w:rPr>
              <w:t>April 1, 2020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gridSpan w:val="24"/>
          </w:tcPr>
          <w:p>
            <w:pPr>
              <w:spacing w:after="0" w:line="141" w:lineRule="exact"/>
              <w:rPr>
                <w:rFonts w:ascii="Arial" w:cs="Arial" w:eastAsia="Arial" w:hAnsi="Arial"/>
                <w:sz w:val="16"/>
                <w:szCs w:val="16"/>
                <w:color w:val="0000FF"/>
              </w:rPr>
            </w:pPr>
            <w:hyperlink r:id="rId169">
              <w:r>
                <w:rPr>
                  <w:rFonts w:ascii="Arial" w:cs="Arial" w:eastAsia="Arial" w:hAnsi="Arial"/>
                  <w:sz w:val="16"/>
                  <w:szCs w:val="16"/>
                  <w:color w:val="0000FF"/>
                </w:rPr>
                <w:t>Notice of Exercise, Restricted Stock Unit Grant Notice and</w:t>
              </w:r>
            </w:hyperlink>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Borders>
              <w:top w:val="single" w:sz="8" w:color="0000FF"/>
              <w:bottom w:val="single" w:sz="8" w:color="0000FF"/>
            </w:tcBorders>
            <w:gridSpan w:val="17"/>
          </w:tcPr>
          <w:p>
            <w:pPr>
              <w:spacing w:after="0" w:line="141" w:lineRule="exact"/>
              <w:rPr>
                <w:rFonts w:ascii="Arial" w:cs="Arial" w:eastAsia="Arial" w:hAnsi="Arial"/>
                <w:sz w:val="16"/>
                <w:szCs w:val="16"/>
                <w:color w:val="0000FF"/>
              </w:rPr>
            </w:pPr>
            <w:hyperlink r:id="rId169">
              <w:r>
                <w:rPr>
                  <w:rFonts w:ascii="Arial" w:cs="Arial" w:eastAsia="Arial" w:hAnsi="Arial"/>
                  <w:sz w:val="16"/>
                  <w:szCs w:val="16"/>
                  <w:color w:val="0000FF"/>
                </w:rPr>
                <w:t>Restricted Stock Unit Award Agreement for the 2020 Equity</w:t>
              </w:r>
            </w:hyperlink>
          </w:p>
        </w:tc>
        <w:tc>
          <w:tcPr>
            <w:tcW w:w="80" w:type="dxa"/>
            <w:vAlign w:val="bottom"/>
            <w:tcBorders>
              <w:bottom w:val="single" w:sz="8" w:color="0000FF"/>
            </w:tcBorders>
          </w:tcPr>
          <w:p>
            <w:pPr>
              <w:spacing w:after="0"/>
              <w:rPr>
                <w:sz w:val="12"/>
                <w:szCs w:val="12"/>
                <w:color w:val="auto"/>
              </w:rPr>
            </w:pPr>
          </w:p>
        </w:tc>
        <w:tc>
          <w:tcPr>
            <w:tcW w:w="26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gridSpan w:val="18"/>
          </w:tcPr>
          <w:p>
            <w:pPr>
              <w:spacing w:after="0" w:line="141" w:lineRule="exact"/>
              <w:rPr>
                <w:rFonts w:ascii="Arial" w:cs="Arial" w:eastAsia="Arial" w:hAnsi="Arial"/>
                <w:sz w:val="16"/>
                <w:szCs w:val="16"/>
                <w:color w:val="0000FF"/>
              </w:rPr>
            </w:pPr>
            <w:hyperlink r:id="rId169">
              <w:r>
                <w:rPr>
                  <w:rFonts w:ascii="Arial" w:cs="Arial" w:eastAsia="Arial" w:hAnsi="Arial"/>
                  <w:sz w:val="16"/>
                  <w:szCs w:val="16"/>
                  <w:color w:val="0000FF"/>
                </w:rPr>
                <w:t>Incentive Plan.</w:t>
              </w:r>
            </w:hyperlink>
          </w:p>
        </w:tc>
        <w:tc>
          <w:tcPr>
            <w:tcW w:w="26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24"/>
          </w:tcPr>
          <w:p>
            <w:pPr>
              <w:spacing w:after="0"/>
              <w:rPr>
                <w:rFonts w:ascii="Arial" w:cs="Arial" w:eastAsia="Arial" w:hAnsi="Arial"/>
                <w:sz w:val="17"/>
                <w:szCs w:val="17"/>
                <w:color w:val="0000FF"/>
              </w:rPr>
            </w:pPr>
            <w:hyperlink r:id="rId170">
              <w:r>
                <w:rPr>
                  <w:rFonts w:ascii="Arial" w:cs="Arial" w:eastAsia="Arial" w:hAnsi="Arial"/>
                  <w:sz w:val="17"/>
                  <w:szCs w:val="17"/>
                  <w:color w:val="0000FF"/>
                </w:rPr>
                <w:t>2020 Employee Stock Purchase Plan.</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S-1/A</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1"/>
                <w:szCs w:val="21"/>
                <w:color w:val="auto"/>
              </w:rPr>
            </w:pPr>
          </w:p>
        </w:tc>
        <w:tc>
          <w:tcPr>
            <w:tcW w:w="2060" w:type="dxa"/>
            <w:vAlign w:val="bottom"/>
            <w:gridSpan w:val="2"/>
          </w:tcPr>
          <w:p>
            <w:pPr>
              <w:jc w:val="center"/>
              <w:ind w:right="500"/>
              <w:spacing w:after="0"/>
              <w:rPr>
                <w:sz w:val="20"/>
                <w:szCs w:val="20"/>
                <w:color w:val="auto"/>
              </w:rPr>
            </w:pPr>
            <w:r>
              <w:rPr>
                <w:rFonts w:ascii="Arial" w:cs="Arial" w:eastAsia="Arial" w:hAnsi="Arial"/>
                <w:sz w:val="17"/>
                <w:szCs w:val="17"/>
                <w:color w:val="auto"/>
              </w:rPr>
              <w:t>April 1, 2020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24"/>
          </w:tcPr>
          <w:p>
            <w:pPr>
              <w:spacing w:after="0"/>
              <w:rPr>
                <w:rFonts w:ascii="Arial" w:cs="Arial" w:eastAsia="Arial" w:hAnsi="Arial"/>
                <w:sz w:val="17"/>
                <w:szCs w:val="17"/>
                <w:color w:val="0000FF"/>
              </w:rPr>
            </w:pPr>
            <w:hyperlink r:id="rId171">
              <w:r>
                <w:rPr>
                  <w:rFonts w:ascii="Arial" w:cs="Arial" w:eastAsia="Arial" w:hAnsi="Arial"/>
                  <w:sz w:val="17"/>
                  <w:szCs w:val="17"/>
                  <w:color w:val="0000FF"/>
                </w:rPr>
                <w:t>Offer Letter Agreement by and between the registrant and</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1"/>
                <w:szCs w:val="21"/>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7"/>
                <w:szCs w:val="17"/>
                <w:color w:val="auto"/>
                <w:w w:val="99"/>
              </w:rPr>
              <w:t>March 16, 2020</w:t>
            </w: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16"/>
          </w:tcPr>
          <w:p>
            <w:pPr>
              <w:spacing w:after="0" w:line="141" w:lineRule="exact"/>
              <w:rPr>
                <w:rFonts w:ascii="Arial" w:cs="Arial" w:eastAsia="Arial" w:hAnsi="Arial"/>
                <w:sz w:val="16"/>
                <w:szCs w:val="16"/>
                <w:color w:val="0000FF"/>
              </w:rPr>
            </w:pPr>
            <w:hyperlink r:id="rId171">
              <w:r>
                <w:rPr>
                  <w:rFonts w:ascii="Arial" w:cs="Arial" w:eastAsia="Arial" w:hAnsi="Arial"/>
                  <w:sz w:val="16"/>
                  <w:szCs w:val="16"/>
                  <w:color w:val="0000FF"/>
                </w:rPr>
                <w:t>Jasbir Seehra, dated as of December 14, 2015.</w:t>
              </w:r>
            </w:hyperlink>
          </w:p>
        </w:tc>
        <w:tc>
          <w:tcPr>
            <w:tcW w:w="380" w:type="dxa"/>
            <w:vAlign w:val="bottom"/>
            <w:gridSpan w:val="8"/>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8"/>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40" w:type="dxa"/>
            <w:vAlign w:val="bottom"/>
          </w:tcPr>
          <w:p>
            <w:pPr>
              <w:ind w:left="20"/>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24"/>
          </w:tcPr>
          <w:p>
            <w:pPr>
              <w:spacing w:after="0"/>
              <w:rPr>
                <w:rFonts w:ascii="Arial" w:cs="Arial" w:eastAsia="Arial" w:hAnsi="Arial"/>
                <w:sz w:val="17"/>
                <w:szCs w:val="17"/>
                <w:color w:val="0000FF"/>
              </w:rPr>
            </w:pPr>
            <w:hyperlink r:id="rId172">
              <w:r>
                <w:rPr>
                  <w:rFonts w:ascii="Arial" w:cs="Arial" w:eastAsia="Arial" w:hAnsi="Arial"/>
                  <w:sz w:val="17"/>
                  <w:szCs w:val="17"/>
                  <w:color w:val="0000FF"/>
                </w:rPr>
                <w:t>Offer Letter Agreement by and between the registrant and</w:t>
              </w:r>
            </w:hyperlink>
          </w:p>
        </w:tc>
        <w:tc>
          <w:tcPr>
            <w:tcW w:w="860" w:type="dxa"/>
            <w:vAlign w:val="bottom"/>
            <w:gridSpan w:val="2"/>
          </w:tcPr>
          <w:p>
            <w:pPr>
              <w:jc w:val="center"/>
              <w:ind w:right="80"/>
              <w:spacing w:after="0"/>
              <w:rPr>
                <w:sz w:val="20"/>
                <w:szCs w:val="20"/>
                <w:color w:val="auto"/>
              </w:rPr>
            </w:pPr>
            <w:r>
              <w:rPr>
                <w:rFonts w:ascii="Arial" w:cs="Arial" w:eastAsia="Arial" w:hAnsi="Arial"/>
                <w:sz w:val="17"/>
                <w:szCs w:val="17"/>
                <w:color w:val="auto"/>
                <w:w w:val="98"/>
              </w:rPr>
              <w:t>S-1</w:t>
            </w:r>
          </w:p>
        </w:tc>
        <w:tc>
          <w:tcPr>
            <w:tcW w:w="1380" w:type="dxa"/>
            <w:vAlign w:val="bottom"/>
          </w:tcPr>
          <w:p>
            <w:pPr>
              <w:jc w:val="center"/>
              <w:spacing w:after="0"/>
              <w:rPr>
                <w:sz w:val="20"/>
                <w:szCs w:val="20"/>
                <w:color w:val="auto"/>
              </w:rPr>
            </w:pPr>
            <w:r>
              <w:rPr>
                <w:rFonts w:ascii="Arial" w:cs="Arial" w:eastAsia="Arial" w:hAnsi="Arial"/>
                <w:sz w:val="17"/>
                <w:szCs w:val="17"/>
                <w:color w:val="auto"/>
                <w:w w:val="99"/>
              </w:rPr>
              <w:t>333-237212</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21"/>
                <w:szCs w:val="21"/>
                <w:color w:val="auto"/>
              </w:rPr>
            </w:pPr>
          </w:p>
        </w:tc>
        <w:tc>
          <w:tcPr>
            <w:tcW w:w="2060" w:type="dxa"/>
            <w:vAlign w:val="bottom"/>
            <w:gridSpan w:val="2"/>
          </w:tcPr>
          <w:p>
            <w:pPr>
              <w:jc w:val="center"/>
              <w:ind w:right="480"/>
              <w:spacing w:after="0"/>
              <w:rPr>
                <w:sz w:val="20"/>
                <w:szCs w:val="20"/>
                <w:color w:val="auto"/>
              </w:rPr>
            </w:pPr>
            <w:r>
              <w:rPr>
                <w:rFonts w:ascii="Arial" w:cs="Arial" w:eastAsia="Arial" w:hAnsi="Arial"/>
                <w:sz w:val="17"/>
                <w:szCs w:val="17"/>
                <w:color w:val="auto"/>
                <w:w w:val="99"/>
              </w:rPr>
              <w:t>March 16, 2020</w:t>
            </w: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16"/>
          </w:tcPr>
          <w:p>
            <w:pPr>
              <w:spacing w:after="0" w:line="141" w:lineRule="exact"/>
              <w:rPr>
                <w:rFonts w:ascii="Arial" w:cs="Arial" w:eastAsia="Arial" w:hAnsi="Arial"/>
                <w:sz w:val="16"/>
                <w:szCs w:val="16"/>
                <w:color w:val="0000FF"/>
              </w:rPr>
            </w:pPr>
            <w:hyperlink r:id="rId172">
              <w:r>
                <w:rPr>
                  <w:rFonts w:ascii="Arial" w:cs="Arial" w:eastAsia="Arial" w:hAnsi="Arial"/>
                  <w:sz w:val="16"/>
                  <w:szCs w:val="16"/>
                  <w:color w:val="0000FF"/>
                </w:rPr>
                <w:t>Jenn Lachey, dated as of April 20, 2016.</w:t>
              </w:r>
            </w:hyperlink>
          </w:p>
        </w:tc>
        <w:tc>
          <w:tcPr>
            <w:tcW w:w="380" w:type="dxa"/>
            <w:vAlign w:val="bottom"/>
            <w:gridSpan w:val="8"/>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53"/>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tcBorders>
              <w:top w:val="single" w:sz="8" w:color="0000FF"/>
            </w:tcBorders>
            <w:gridSpan w:val="8"/>
          </w:tcPr>
          <w:p>
            <w:pPr>
              <w:spacing w:after="0"/>
              <w:rPr>
                <w:sz w:val="24"/>
                <w:szCs w:val="24"/>
                <w:color w:val="auto"/>
              </w:rPr>
            </w:pPr>
          </w:p>
        </w:tc>
        <w:tc>
          <w:tcPr>
            <w:tcW w:w="1620" w:type="dxa"/>
            <w:vAlign w:val="bottom"/>
            <w:gridSpan w:val="15"/>
          </w:tcPr>
          <w:p>
            <w:pPr>
              <w:jc w:val="right"/>
              <w:ind w:right="4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Arial" w:cs="Arial" w:eastAsia="Arial" w:hAnsi="Arial"/>
                <w:sz w:val="17"/>
                <w:szCs w:val="17"/>
                <w:color w:val="auto"/>
              </w:rPr>
              <w:t>10.9#</w:t>
            </w:r>
          </w:p>
        </w:tc>
        <w:tc>
          <w:tcPr>
            <w:tcW w:w="4620" w:type="dxa"/>
            <w:vAlign w:val="bottom"/>
            <w:gridSpan w:val="41"/>
          </w:tcPr>
          <w:p>
            <w:pPr>
              <w:spacing w:after="0"/>
              <w:rPr>
                <w:rFonts w:ascii="Arial" w:cs="Arial" w:eastAsia="Arial" w:hAnsi="Arial"/>
                <w:sz w:val="17"/>
                <w:szCs w:val="17"/>
                <w:color w:val="0000FF"/>
              </w:rPr>
            </w:pPr>
            <w:hyperlink r:id="rId175">
              <w:r>
                <w:rPr>
                  <w:rFonts w:ascii="Arial" w:cs="Arial" w:eastAsia="Arial" w:hAnsi="Arial"/>
                  <w:sz w:val="17"/>
                  <w:szCs w:val="17"/>
                  <w:color w:val="0000FF"/>
                </w:rPr>
                <w:t>Exclusive Patent License Agreement by and between the</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300" w:type="dxa"/>
            <w:vAlign w:val="bottom"/>
            <w:tcBorders>
              <w:top w:val="single" w:sz="8" w:color="0000FF"/>
            </w:tcBorders>
            <w:gridSpan w:val="26"/>
          </w:tcPr>
          <w:p>
            <w:pPr>
              <w:spacing w:after="0" w:line="141" w:lineRule="exact"/>
              <w:rPr>
                <w:rFonts w:ascii="Arial" w:cs="Arial" w:eastAsia="Arial" w:hAnsi="Arial"/>
                <w:sz w:val="16"/>
                <w:szCs w:val="16"/>
                <w:color w:val="0000FF"/>
              </w:rPr>
            </w:pPr>
            <w:hyperlink r:id="rId175">
              <w:r>
                <w:rPr>
                  <w:rFonts w:ascii="Arial" w:cs="Arial" w:eastAsia="Arial" w:hAnsi="Arial"/>
                  <w:sz w:val="16"/>
                  <w:szCs w:val="16"/>
                  <w:color w:val="0000FF"/>
                </w:rPr>
                <w:t>registrant and The General Hospital Corporation, d/b/a</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120" w:type="dxa"/>
            <w:vAlign w:val="bottom"/>
            <w:tcBorders>
              <w:top w:val="single" w:sz="8" w:color="0000FF"/>
            </w:tcBorders>
            <w:gridSpan w:val="17"/>
          </w:tcPr>
          <w:p>
            <w:pPr>
              <w:spacing w:after="0" w:line="141" w:lineRule="exact"/>
              <w:rPr>
                <w:rFonts w:ascii="Arial" w:cs="Arial" w:eastAsia="Arial" w:hAnsi="Arial"/>
                <w:sz w:val="16"/>
                <w:szCs w:val="16"/>
                <w:color w:val="0000FF"/>
              </w:rPr>
            </w:pPr>
            <w:hyperlink r:id="rId175">
              <w:r>
                <w:rPr>
                  <w:rFonts w:ascii="Arial" w:cs="Arial" w:eastAsia="Arial" w:hAnsi="Arial"/>
                  <w:sz w:val="16"/>
                  <w:szCs w:val="16"/>
                  <w:color w:val="0000FF"/>
                </w:rPr>
                <w:t>Massachusetts General Hospital, or MGH,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060" w:type="dxa"/>
            <w:vAlign w:val="bottom"/>
            <w:tcBorders>
              <w:top w:val="single" w:sz="8" w:color="0000FF"/>
            </w:tcBorders>
            <w:gridSpan w:val="14"/>
          </w:tcPr>
          <w:p>
            <w:pPr>
              <w:spacing w:after="0" w:line="141" w:lineRule="exact"/>
              <w:rPr>
                <w:rFonts w:ascii="Arial" w:cs="Arial" w:eastAsia="Arial" w:hAnsi="Arial"/>
                <w:sz w:val="16"/>
                <w:szCs w:val="16"/>
                <w:color w:val="0000FF"/>
              </w:rPr>
            </w:pPr>
            <w:hyperlink r:id="rId175">
              <w:r>
                <w:rPr>
                  <w:rFonts w:ascii="Arial" w:cs="Arial" w:eastAsia="Arial" w:hAnsi="Arial"/>
                  <w:sz w:val="16"/>
                  <w:szCs w:val="16"/>
                  <w:color w:val="0000FF"/>
                </w:rPr>
                <w:t>April 5, 2016, as amended by Amendment #1 by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3980" w:type="dxa"/>
            <w:vAlign w:val="bottom"/>
            <w:tcBorders>
              <w:top w:val="single" w:sz="8" w:color="0000FF"/>
              <w:bottom w:val="single" w:sz="8" w:color="0000FF"/>
            </w:tcBorders>
            <w:gridSpan w:val="12"/>
          </w:tcPr>
          <w:p>
            <w:pPr>
              <w:spacing w:after="0" w:line="141" w:lineRule="exact"/>
              <w:rPr>
                <w:rFonts w:ascii="Arial" w:cs="Arial" w:eastAsia="Arial" w:hAnsi="Arial"/>
                <w:sz w:val="16"/>
                <w:szCs w:val="16"/>
                <w:color w:val="0000FF"/>
              </w:rPr>
            </w:pPr>
            <w:hyperlink r:id="rId175">
              <w:r>
                <w:rPr>
                  <w:rFonts w:ascii="Arial" w:cs="Arial" w:eastAsia="Arial" w:hAnsi="Arial"/>
                  <w:sz w:val="16"/>
                  <w:szCs w:val="16"/>
                  <w:color w:val="0000FF"/>
                </w:rPr>
                <w:t>between the registrant and The Brigham and Women’s</w:t>
              </w:r>
            </w:hyperlink>
          </w:p>
        </w:tc>
        <w:tc>
          <w:tcPr>
            <w:tcW w:w="4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480" w:type="dxa"/>
            <w:vAlign w:val="bottom"/>
            <w:gridSpan w:val="23"/>
            <w:vMerge w:val="restart"/>
          </w:tcPr>
          <w:p>
            <w:pPr>
              <w:jc w:val="right"/>
              <w:ind w:right="20"/>
              <w:spacing w:after="0"/>
              <w:rPr>
                <w:rFonts w:ascii="Arial" w:cs="Arial" w:eastAsia="Arial" w:hAnsi="Arial"/>
                <w:sz w:val="17"/>
                <w:szCs w:val="17"/>
                <w:color w:val="0000FF"/>
                <w:w w:val="86"/>
              </w:rPr>
            </w:pPr>
            <w:hyperlink r:id="rId175">
              <w:r>
                <w:rPr>
                  <w:rFonts w:ascii="Arial" w:cs="Arial" w:eastAsia="Arial" w:hAnsi="Arial"/>
                  <w:sz w:val="17"/>
                  <w:szCs w:val="17"/>
                  <w:color w:val="0000FF"/>
                  <w:w w:val="86"/>
                </w:rPr>
                <w:t>by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140" w:type="dxa"/>
            <w:vAlign w:val="bottom"/>
            <w:gridSpan w:val="18"/>
          </w:tcPr>
          <w:p>
            <w:pPr>
              <w:spacing w:after="0" w:line="141" w:lineRule="exact"/>
              <w:rPr>
                <w:rFonts w:ascii="Arial" w:cs="Arial" w:eastAsia="Arial" w:hAnsi="Arial"/>
                <w:sz w:val="16"/>
                <w:szCs w:val="16"/>
                <w:color w:val="0000FF"/>
              </w:rPr>
            </w:pPr>
            <w:hyperlink r:id="rId175">
              <w:r>
                <w:rPr>
                  <w:rFonts w:ascii="Arial" w:cs="Arial" w:eastAsia="Arial" w:hAnsi="Arial"/>
                  <w:sz w:val="16"/>
                  <w:szCs w:val="16"/>
                  <w:color w:val="0000FF"/>
                </w:rPr>
                <w:t>Hospital, Inc. on May 12, 2017 and by Amendment #2</w:t>
              </w:r>
            </w:hyperlink>
          </w:p>
        </w:tc>
        <w:tc>
          <w:tcPr>
            <w:tcW w:w="480" w:type="dxa"/>
            <w:vAlign w:val="bottom"/>
            <w:gridSpan w:val="2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200" w:type="dxa"/>
            <w:vAlign w:val="bottom"/>
            <w:tcBorders>
              <w:top w:val="single" w:sz="8" w:color="0000FF"/>
              <w:bottom w:val="single" w:sz="8" w:color="0000FF"/>
            </w:tcBorders>
            <w:gridSpan w:val="21"/>
          </w:tcPr>
          <w:p>
            <w:pPr>
              <w:spacing w:after="0" w:line="141" w:lineRule="exact"/>
              <w:rPr>
                <w:rFonts w:ascii="Arial" w:cs="Arial" w:eastAsia="Arial" w:hAnsi="Arial"/>
                <w:sz w:val="16"/>
                <w:szCs w:val="16"/>
                <w:color w:val="0000FF"/>
              </w:rPr>
            </w:pPr>
            <w:hyperlink r:id="rId175">
              <w:r>
                <w:rPr>
                  <w:rFonts w:ascii="Arial" w:cs="Arial" w:eastAsia="Arial" w:hAnsi="Arial"/>
                  <w:sz w:val="16"/>
                  <w:szCs w:val="16"/>
                  <w:color w:val="0000FF"/>
                </w:rPr>
                <w:t>between the registrant and MGH on February 23, 2018.</w:t>
              </w:r>
            </w:hyperlink>
          </w:p>
        </w:tc>
        <w:tc>
          <w:tcPr>
            <w:tcW w:w="40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10.10*#</w:t>
            </w:r>
          </w:p>
        </w:tc>
        <w:tc>
          <w:tcPr>
            <w:tcW w:w="4620" w:type="dxa"/>
            <w:vAlign w:val="bottom"/>
            <w:gridSpan w:val="41"/>
          </w:tcPr>
          <w:p>
            <w:pPr>
              <w:spacing w:after="0"/>
              <w:rPr>
                <w:rFonts w:ascii="Arial" w:cs="Arial" w:eastAsia="Arial" w:hAnsi="Arial"/>
                <w:sz w:val="17"/>
                <w:szCs w:val="17"/>
                <w:color w:val="0000FF"/>
              </w:rPr>
            </w:pPr>
            <w:hyperlink w:anchor="page142">
              <w:r>
                <w:rPr>
                  <w:rFonts w:ascii="Arial" w:cs="Arial" w:eastAsia="Arial" w:hAnsi="Arial"/>
                  <w:sz w:val="17"/>
                  <w:szCs w:val="17"/>
                  <w:color w:val="0000FF"/>
                </w:rPr>
                <w:t>License Agreement by and between the registrant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3960" w:type="dxa"/>
            <w:vAlign w:val="bottom"/>
            <w:tcBorders>
              <w:top w:val="single" w:sz="8" w:color="0000FF"/>
              <w:bottom w:val="single" w:sz="8" w:color="0000FF"/>
            </w:tcBorders>
            <w:gridSpan w:val="11"/>
          </w:tcPr>
          <w:p>
            <w:pPr>
              <w:spacing w:after="0" w:line="141" w:lineRule="exact"/>
              <w:rPr>
                <w:rFonts w:ascii="Arial" w:cs="Arial" w:eastAsia="Arial" w:hAnsi="Arial"/>
                <w:sz w:val="16"/>
                <w:szCs w:val="16"/>
                <w:color w:val="0000FF"/>
              </w:rPr>
            </w:pPr>
            <w:hyperlink w:anchor="page142">
              <w:r>
                <w:rPr>
                  <w:rFonts w:ascii="Arial" w:cs="Arial" w:eastAsia="Arial" w:hAnsi="Arial"/>
                  <w:sz w:val="16"/>
                  <w:szCs w:val="16"/>
                  <w:color w:val="0000FF"/>
                </w:rPr>
                <w:t>Hansoh (Shanghai) Healthtech Co., Ltd., dated as of</w:t>
              </w:r>
            </w:hyperlink>
          </w:p>
        </w:tc>
        <w:tc>
          <w:tcPr>
            <w:tcW w:w="14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620" w:type="dxa"/>
            <w:vAlign w:val="bottom"/>
            <w:gridSpan w:val="41"/>
          </w:tcPr>
          <w:p>
            <w:pPr>
              <w:spacing w:after="0" w:line="141" w:lineRule="exact"/>
              <w:rPr>
                <w:rFonts w:ascii="Arial" w:cs="Arial" w:eastAsia="Arial" w:hAnsi="Arial"/>
                <w:sz w:val="16"/>
                <w:szCs w:val="16"/>
                <w:color w:val="0000FF"/>
              </w:rPr>
            </w:pPr>
            <w:hyperlink w:anchor="page142">
              <w:r>
                <w:rPr>
                  <w:rFonts w:ascii="Arial" w:cs="Arial" w:eastAsia="Arial" w:hAnsi="Arial"/>
                  <w:sz w:val="16"/>
                  <w:szCs w:val="16"/>
                  <w:color w:val="0000FF"/>
                </w:rPr>
                <w:t>December 12, 2021, as amended by Amendment No. 1 by</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380" w:type="dxa"/>
            <w:vAlign w:val="bottom"/>
            <w:tcBorders>
              <w:top w:val="single" w:sz="8" w:color="0000FF"/>
            </w:tcBorders>
            <w:gridSpan w:val="30"/>
          </w:tcPr>
          <w:p>
            <w:pPr>
              <w:spacing w:after="0" w:line="141" w:lineRule="exact"/>
              <w:rPr>
                <w:rFonts w:ascii="Arial" w:cs="Arial" w:eastAsia="Arial" w:hAnsi="Arial"/>
                <w:sz w:val="16"/>
                <w:szCs w:val="16"/>
                <w:color w:val="0000FF"/>
              </w:rPr>
            </w:pPr>
            <w:hyperlink w:anchor="page142">
              <w:r>
                <w:rPr>
                  <w:rFonts w:ascii="Arial" w:cs="Arial" w:eastAsia="Arial" w:hAnsi="Arial"/>
                  <w:sz w:val="16"/>
                  <w:szCs w:val="16"/>
                  <w:color w:val="0000FF"/>
                </w:rPr>
                <w:t>and between the registrant and Hansoh (Shanghai)</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8"/>
          </w:tcPr>
          <w:p>
            <w:pPr>
              <w:spacing w:after="0" w:line="141" w:lineRule="exact"/>
              <w:rPr>
                <w:rFonts w:ascii="Arial" w:cs="Arial" w:eastAsia="Arial" w:hAnsi="Arial"/>
                <w:sz w:val="16"/>
                <w:szCs w:val="16"/>
                <w:color w:val="0000FF"/>
              </w:rPr>
            </w:pPr>
            <w:hyperlink w:anchor="page142">
              <w:r>
                <w:rPr>
                  <w:rFonts w:ascii="Arial" w:cs="Arial" w:eastAsia="Arial" w:hAnsi="Arial"/>
                  <w:sz w:val="16"/>
                  <w:szCs w:val="16"/>
                  <w:color w:val="0000FF"/>
                </w:rPr>
                <w:t>Healthtech Co., Ltd., dated as of February 10, 2022.</w:t>
              </w:r>
            </w:hyperlink>
          </w:p>
        </w:tc>
        <w:tc>
          <w:tcPr>
            <w:tcW w:w="8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10.11</w:t>
            </w:r>
          </w:p>
        </w:tc>
        <w:tc>
          <w:tcPr>
            <w:tcW w:w="4620" w:type="dxa"/>
            <w:vAlign w:val="bottom"/>
            <w:gridSpan w:val="41"/>
          </w:tcPr>
          <w:p>
            <w:pPr>
              <w:spacing w:after="0"/>
              <w:rPr>
                <w:rFonts w:ascii="Arial" w:cs="Arial" w:eastAsia="Arial" w:hAnsi="Arial"/>
                <w:sz w:val="17"/>
                <w:szCs w:val="17"/>
                <w:color w:val="0000FF"/>
              </w:rPr>
            </w:pPr>
            <w:hyperlink r:id="rId176">
              <w:r>
                <w:rPr>
                  <w:rFonts w:ascii="Arial" w:cs="Arial" w:eastAsia="Arial" w:hAnsi="Arial"/>
                  <w:sz w:val="17"/>
                  <w:szCs w:val="17"/>
                  <w:color w:val="0000FF"/>
                </w:rPr>
                <w:t>Lease Agreement by and between the registrant and 128</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24"/>
          </w:tcPr>
          <w:p>
            <w:pPr>
              <w:spacing w:after="0" w:line="141" w:lineRule="exact"/>
              <w:rPr>
                <w:rFonts w:ascii="Arial" w:cs="Arial" w:eastAsia="Arial" w:hAnsi="Arial"/>
                <w:sz w:val="16"/>
                <w:szCs w:val="16"/>
                <w:color w:val="0000FF"/>
              </w:rPr>
            </w:pPr>
            <w:hyperlink r:id="rId176">
              <w:r>
                <w:rPr>
                  <w:rFonts w:ascii="Arial" w:cs="Arial" w:eastAsia="Arial" w:hAnsi="Arial"/>
                  <w:sz w:val="16"/>
                  <w:szCs w:val="16"/>
                  <w:color w:val="0000FF"/>
                </w:rPr>
                <w:t>Spring Street Lexington, LLC, dated March 20, 2017, as</w:t>
              </w:r>
            </w:hyperlink>
          </w:p>
        </w:tc>
        <w:tc>
          <w:tcPr>
            <w:tcW w:w="20" w:type="dxa"/>
            <w:vAlign w:val="bottom"/>
            <w:tcBorders>
              <w:top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620" w:type="dxa"/>
            <w:vAlign w:val="bottom"/>
            <w:gridSpan w:val="41"/>
          </w:tcPr>
          <w:p>
            <w:pPr>
              <w:spacing w:after="0" w:line="141" w:lineRule="exact"/>
              <w:rPr>
                <w:rFonts w:ascii="Arial" w:cs="Arial" w:eastAsia="Arial" w:hAnsi="Arial"/>
                <w:sz w:val="16"/>
                <w:szCs w:val="16"/>
                <w:color w:val="0000FF"/>
              </w:rPr>
            </w:pPr>
            <w:hyperlink r:id="rId176">
              <w:r>
                <w:rPr>
                  <w:rFonts w:ascii="Arial" w:cs="Arial" w:eastAsia="Arial" w:hAnsi="Arial"/>
                  <w:sz w:val="16"/>
                  <w:szCs w:val="16"/>
                  <w:color w:val="0000FF"/>
                </w:rPr>
                <w:t>amended by the First Amendment to Lease Agreement by</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360" w:type="dxa"/>
            <w:vAlign w:val="bottom"/>
            <w:tcBorders>
              <w:top w:val="single" w:sz="8" w:color="0000FF"/>
              <w:bottom w:val="single" w:sz="8" w:color="0000FF"/>
            </w:tcBorders>
            <w:gridSpan w:val="29"/>
          </w:tcPr>
          <w:p>
            <w:pPr>
              <w:spacing w:after="0" w:line="141" w:lineRule="exact"/>
              <w:rPr>
                <w:rFonts w:ascii="Arial" w:cs="Arial" w:eastAsia="Arial" w:hAnsi="Arial"/>
                <w:sz w:val="16"/>
                <w:szCs w:val="16"/>
                <w:color w:val="0000FF"/>
              </w:rPr>
            </w:pPr>
            <w:hyperlink r:id="rId176">
              <w:r>
                <w:rPr>
                  <w:rFonts w:ascii="Arial" w:cs="Arial" w:eastAsia="Arial" w:hAnsi="Arial"/>
                  <w:sz w:val="16"/>
                  <w:szCs w:val="16"/>
                  <w:color w:val="0000FF"/>
                </w:rPr>
                <w:t>and between the registrant and 128 Spring Street Lexington,</w:t>
              </w:r>
            </w:hyperlink>
          </w:p>
        </w:tc>
        <w:tc>
          <w:tcPr>
            <w:tcW w:w="8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540" w:type="dxa"/>
            <w:vAlign w:val="bottom"/>
            <w:gridSpan w:val="38"/>
          </w:tcPr>
          <w:p>
            <w:pPr>
              <w:spacing w:after="0" w:line="141" w:lineRule="exact"/>
              <w:rPr>
                <w:rFonts w:ascii="Arial" w:cs="Arial" w:eastAsia="Arial" w:hAnsi="Arial"/>
                <w:sz w:val="16"/>
                <w:szCs w:val="16"/>
                <w:color w:val="0000FF"/>
              </w:rPr>
            </w:pPr>
            <w:hyperlink r:id="rId176">
              <w:r>
                <w:rPr>
                  <w:rFonts w:ascii="Arial" w:cs="Arial" w:eastAsia="Arial" w:hAnsi="Arial"/>
                  <w:sz w:val="16"/>
                  <w:szCs w:val="16"/>
                  <w:color w:val="0000FF"/>
                </w:rPr>
                <w:t>LLC, dated July 1, 2019 and by the Second Amendment to</w:t>
              </w:r>
            </w:hyperlink>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520" w:type="dxa"/>
            <w:vAlign w:val="bottom"/>
            <w:tcBorders>
              <w:top w:val="single" w:sz="8" w:color="0000FF"/>
            </w:tcBorders>
            <w:gridSpan w:val="35"/>
          </w:tcPr>
          <w:p>
            <w:pPr>
              <w:spacing w:after="0" w:line="141" w:lineRule="exact"/>
              <w:rPr>
                <w:rFonts w:ascii="Arial" w:cs="Arial" w:eastAsia="Arial" w:hAnsi="Arial"/>
                <w:sz w:val="16"/>
                <w:szCs w:val="16"/>
                <w:color w:val="0000FF"/>
              </w:rPr>
            </w:pPr>
            <w:hyperlink r:id="rId176">
              <w:r>
                <w:rPr>
                  <w:rFonts w:ascii="Arial" w:cs="Arial" w:eastAsia="Arial" w:hAnsi="Arial"/>
                  <w:sz w:val="16"/>
                  <w:szCs w:val="16"/>
                  <w:color w:val="0000FF"/>
                </w:rPr>
                <w:t>Lease Agreement by and between the registrant and 128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0"/>
          </w:tcPr>
          <w:p>
            <w:pPr>
              <w:spacing w:after="0" w:line="141" w:lineRule="exact"/>
              <w:rPr>
                <w:rFonts w:ascii="Arial" w:cs="Arial" w:eastAsia="Arial" w:hAnsi="Arial"/>
                <w:sz w:val="16"/>
                <w:szCs w:val="16"/>
                <w:color w:val="0000FF"/>
              </w:rPr>
            </w:pPr>
            <w:hyperlink r:id="rId176">
              <w:r>
                <w:rPr>
                  <w:rFonts w:ascii="Arial" w:cs="Arial" w:eastAsia="Arial" w:hAnsi="Arial"/>
                  <w:sz w:val="16"/>
                  <w:szCs w:val="16"/>
                  <w:color w:val="0000FF"/>
                </w:rPr>
                <w:t>Spring Street Lexington, LLC, dated August 8, 2019.</w:t>
              </w:r>
            </w:hyperlink>
          </w:p>
        </w:tc>
        <w:tc>
          <w:tcPr>
            <w:tcW w:w="34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10.12</w:t>
            </w:r>
          </w:p>
        </w:tc>
        <w:tc>
          <w:tcPr>
            <w:tcW w:w="4620" w:type="dxa"/>
            <w:vAlign w:val="bottom"/>
            <w:gridSpan w:val="41"/>
          </w:tcPr>
          <w:p>
            <w:pPr>
              <w:spacing w:after="0"/>
              <w:rPr>
                <w:rFonts w:ascii="Arial" w:cs="Arial" w:eastAsia="Arial" w:hAnsi="Arial"/>
                <w:sz w:val="17"/>
                <w:szCs w:val="17"/>
                <w:color w:val="0000FF"/>
              </w:rPr>
            </w:pPr>
            <w:hyperlink r:id="rId177">
              <w:r>
                <w:rPr>
                  <w:rFonts w:ascii="Arial" w:cs="Arial" w:eastAsia="Arial" w:hAnsi="Arial"/>
                  <w:sz w:val="17"/>
                  <w:szCs w:val="17"/>
                  <w:color w:val="0000FF"/>
                </w:rPr>
                <w:t>Third Amendment to Lease Agreement by and between the</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020" w:type="dxa"/>
            <w:vAlign w:val="bottom"/>
            <w:tcBorders>
              <w:top w:val="single" w:sz="8" w:color="0000FF"/>
              <w:bottom w:val="single" w:sz="8" w:color="0000FF"/>
            </w:tcBorders>
            <w:gridSpan w:val="13"/>
          </w:tcPr>
          <w:p>
            <w:pPr>
              <w:spacing w:after="0" w:line="141" w:lineRule="exact"/>
              <w:rPr>
                <w:rFonts w:ascii="Arial" w:cs="Arial" w:eastAsia="Arial" w:hAnsi="Arial"/>
                <w:sz w:val="16"/>
                <w:szCs w:val="16"/>
                <w:color w:val="0000FF"/>
              </w:rPr>
            </w:pPr>
            <w:hyperlink r:id="rId177">
              <w:r>
                <w:rPr>
                  <w:rFonts w:ascii="Arial" w:cs="Arial" w:eastAsia="Arial" w:hAnsi="Arial"/>
                  <w:sz w:val="16"/>
                  <w:szCs w:val="16"/>
                  <w:color w:val="0000FF"/>
                </w:rPr>
                <w:t>registrant and 99 Hayden LLC, dated August 4, 2021.</w:t>
              </w:r>
            </w:hyperlink>
          </w:p>
        </w:tc>
        <w:tc>
          <w:tcPr>
            <w:tcW w:w="480" w:type="dxa"/>
            <w:vAlign w:val="bottom"/>
            <w:tcBorders>
              <w:top w:val="single" w:sz="8" w:color="0000FF"/>
            </w:tcBorders>
            <w:gridSpan w:val="21"/>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10.13+</w:t>
            </w:r>
          </w:p>
        </w:tc>
        <w:tc>
          <w:tcPr>
            <w:tcW w:w="4620" w:type="dxa"/>
            <w:vAlign w:val="bottom"/>
            <w:gridSpan w:val="41"/>
          </w:tcPr>
          <w:p>
            <w:pPr>
              <w:spacing w:after="0"/>
              <w:rPr>
                <w:rFonts w:ascii="Arial" w:cs="Arial" w:eastAsia="Arial" w:hAnsi="Arial"/>
                <w:sz w:val="17"/>
                <w:szCs w:val="17"/>
                <w:color w:val="0000FF"/>
              </w:rPr>
            </w:pPr>
            <w:hyperlink r:id="rId178">
              <w:r>
                <w:rPr>
                  <w:rFonts w:ascii="Arial" w:cs="Arial" w:eastAsia="Arial" w:hAnsi="Arial"/>
                  <w:sz w:val="17"/>
                  <w:szCs w:val="17"/>
                  <w:color w:val="0000FF"/>
                </w:rPr>
                <w:t>Offer Letter Agreement by and between the registrant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340" w:type="dxa"/>
            <w:vAlign w:val="bottom"/>
            <w:tcBorders>
              <w:top w:val="single" w:sz="8" w:color="0000FF"/>
            </w:tcBorders>
            <w:gridSpan w:val="28"/>
          </w:tcPr>
          <w:p>
            <w:pPr>
              <w:spacing w:after="0" w:line="141" w:lineRule="exact"/>
              <w:rPr>
                <w:rFonts w:ascii="Arial" w:cs="Arial" w:eastAsia="Arial" w:hAnsi="Arial"/>
                <w:sz w:val="16"/>
                <w:szCs w:val="16"/>
                <w:color w:val="0000FF"/>
              </w:rPr>
            </w:pPr>
            <w:hyperlink r:id="rId178">
              <w:r>
                <w:rPr>
                  <w:rFonts w:ascii="Arial" w:cs="Arial" w:eastAsia="Arial" w:hAnsi="Arial"/>
                  <w:sz w:val="16"/>
                  <w:szCs w:val="16"/>
                  <w:color w:val="0000FF"/>
                </w:rPr>
                <w:t>Keith Regnante, dated as of February 7, 2020.</w:t>
              </w:r>
            </w:hyperlink>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10.14+</w:t>
            </w:r>
          </w:p>
        </w:tc>
        <w:tc>
          <w:tcPr>
            <w:tcW w:w="4620" w:type="dxa"/>
            <w:vAlign w:val="bottom"/>
            <w:gridSpan w:val="41"/>
          </w:tcPr>
          <w:p>
            <w:pPr>
              <w:spacing w:after="0"/>
              <w:rPr>
                <w:rFonts w:ascii="Arial" w:cs="Arial" w:eastAsia="Arial" w:hAnsi="Arial"/>
                <w:sz w:val="17"/>
                <w:szCs w:val="17"/>
                <w:color w:val="0000FF"/>
              </w:rPr>
            </w:pPr>
            <w:hyperlink r:id="rId179">
              <w:r>
                <w:rPr>
                  <w:rFonts w:ascii="Arial" w:cs="Arial" w:eastAsia="Arial" w:hAnsi="Arial"/>
                  <w:sz w:val="17"/>
                  <w:szCs w:val="17"/>
                  <w:color w:val="0000FF"/>
                </w:rPr>
                <w:t>Employment Agreement by and between the registrant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460" w:type="dxa"/>
            <w:vAlign w:val="bottom"/>
            <w:tcBorders>
              <w:top w:val="single" w:sz="8" w:color="0000FF"/>
            </w:tcBorders>
            <w:gridSpan w:val="32"/>
          </w:tcPr>
          <w:p>
            <w:pPr>
              <w:spacing w:after="0" w:line="141" w:lineRule="exact"/>
              <w:rPr>
                <w:rFonts w:ascii="Arial" w:cs="Arial" w:eastAsia="Arial" w:hAnsi="Arial"/>
                <w:sz w:val="16"/>
                <w:szCs w:val="16"/>
                <w:color w:val="0000FF"/>
              </w:rPr>
            </w:pPr>
            <w:hyperlink r:id="rId179">
              <w:r>
                <w:rPr>
                  <w:rFonts w:ascii="Arial" w:cs="Arial" w:eastAsia="Arial" w:hAnsi="Arial"/>
                  <w:sz w:val="16"/>
                  <w:szCs w:val="16"/>
                  <w:color w:val="0000FF"/>
                </w:rPr>
                <w:t>Jasbir Seehra, dated as of March 31, 2020, effective as of</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340" w:type="dxa"/>
            <w:vAlign w:val="bottom"/>
            <w:tcBorders>
              <w:top w:val="single" w:sz="8" w:color="0000FF"/>
            </w:tcBorders>
            <w:gridSpan w:val="28"/>
          </w:tcPr>
          <w:p>
            <w:pPr>
              <w:spacing w:after="0" w:line="141" w:lineRule="exact"/>
              <w:rPr>
                <w:rFonts w:ascii="Arial" w:cs="Arial" w:eastAsia="Arial" w:hAnsi="Arial"/>
                <w:sz w:val="16"/>
                <w:szCs w:val="16"/>
                <w:color w:val="0000FF"/>
              </w:rPr>
            </w:pPr>
            <w:hyperlink r:id="rId179">
              <w:r>
                <w:rPr>
                  <w:rFonts w:ascii="Arial" w:cs="Arial" w:eastAsia="Arial" w:hAnsi="Arial"/>
                  <w:sz w:val="16"/>
                  <w:szCs w:val="16"/>
                  <w:color w:val="0000FF"/>
                </w:rPr>
                <w:t>April 13, 2020.</w:t>
              </w:r>
            </w:hyperlink>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10.15+</w:t>
            </w:r>
          </w:p>
        </w:tc>
        <w:tc>
          <w:tcPr>
            <w:tcW w:w="4620" w:type="dxa"/>
            <w:vAlign w:val="bottom"/>
            <w:gridSpan w:val="41"/>
          </w:tcPr>
          <w:p>
            <w:pPr>
              <w:spacing w:after="0"/>
              <w:rPr>
                <w:rFonts w:ascii="Arial" w:cs="Arial" w:eastAsia="Arial" w:hAnsi="Arial"/>
                <w:sz w:val="17"/>
                <w:szCs w:val="17"/>
                <w:color w:val="0000FF"/>
              </w:rPr>
            </w:pPr>
            <w:hyperlink r:id="rId180">
              <w:r>
                <w:rPr>
                  <w:rFonts w:ascii="Arial" w:cs="Arial" w:eastAsia="Arial" w:hAnsi="Arial"/>
                  <w:sz w:val="17"/>
                  <w:szCs w:val="17"/>
                  <w:color w:val="0000FF"/>
                </w:rPr>
                <w:t>Employment Agreement by and between the registrant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460" w:type="dxa"/>
            <w:vAlign w:val="bottom"/>
            <w:tcBorders>
              <w:top w:val="single" w:sz="8" w:color="0000FF"/>
            </w:tcBorders>
            <w:gridSpan w:val="32"/>
          </w:tcPr>
          <w:p>
            <w:pPr>
              <w:spacing w:after="0" w:line="141" w:lineRule="exact"/>
              <w:rPr>
                <w:rFonts w:ascii="Arial" w:cs="Arial" w:eastAsia="Arial" w:hAnsi="Arial"/>
                <w:sz w:val="16"/>
                <w:szCs w:val="16"/>
                <w:color w:val="0000FF"/>
              </w:rPr>
            </w:pPr>
            <w:hyperlink r:id="rId180">
              <w:r>
                <w:rPr>
                  <w:rFonts w:ascii="Arial" w:cs="Arial" w:eastAsia="Arial" w:hAnsi="Arial"/>
                  <w:sz w:val="16"/>
                  <w:szCs w:val="16"/>
                  <w:color w:val="0000FF"/>
                </w:rPr>
                <w:t>Jenn Lachey, dated as of March 31, 2020, effective as of</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260" w:type="dxa"/>
            <w:vAlign w:val="bottom"/>
            <w:tcBorders>
              <w:top w:val="single" w:sz="8" w:color="0000FF"/>
            </w:tcBorders>
            <w:gridSpan w:val="24"/>
          </w:tcPr>
          <w:p>
            <w:pPr>
              <w:spacing w:after="0" w:line="141" w:lineRule="exact"/>
              <w:rPr>
                <w:rFonts w:ascii="Arial" w:cs="Arial" w:eastAsia="Arial" w:hAnsi="Arial"/>
                <w:sz w:val="16"/>
                <w:szCs w:val="16"/>
                <w:color w:val="0000FF"/>
              </w:rPr>
            </w:pPr>
            <w:hyperlink r:id="rId180">
              <w:r>
                <w:rPr>
                  <w:rFonts w:ascii="Arial" w:cs="Arial" w:eastAsia="Arial" w:hAnsi="Arial"/>
                  <w:sz w:val="16"/>
                  <w:szCs w:val="16"/>
                  <w:color w:val="0000FF"/>
                </w:rPr>
                <w:t>April 13, 2020.</w:t>
              </w:r>
            </w:hyperlink>
          </w:p>
        </w:tc>
        <w:tc>
          <w:tcPr>
            <w:tcW w:w="6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10.16+</w:t>
            </w:r>
          </w:p>
        </w:tc>
        <w:tc>
          <w:tcPr>
            <w:tcW w:w="4620" w:type="dxa"/>
            <w:vAlign w:val="bottom"/>
            <w:gridSpan w:val="41"/>
          </w:tcPr>
          <w:p>
            <w:pPr>
              <w:spacing w:after="0"/>
              <w:rPr>
                <w:rFonts w:ascii="Arial" w:cs="Arial" w:eastAsia="Arial" w:hAnsi="Arial"/>
                <w:sz w:val="17"/>
                <w:szCs w:val="17"/>
                <w:color w:val="0000FF"/>
              </w:rPr>
            </w:pPr>
            <w:hyperlink r:id="rId181">
              <w:r>
                <w:rPr>
                  <w:rFonts w:ascii="Arial" w:cs="Arial" w:eastAsia="Arial" w:hAnsi="Arial"/>
                  <w:sz w:val="17"/>
                  <w:szCs w:val="17"/>
                  <w:color w:val="0000FF"/>
                </w:rPr>
                <w:t>Employment Agreement by and between the registrant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33"/>
          </w:tcPr>
          <w:p>
            <w:pPr>
              <w:spacing w:after="0" w:line="141" w:lineRule="exact"/>
              <w:rPr>
                <w:rFonts w:ascii="Arial" w:cs="Arial" w:eastAsia="Arial" w:hAnsi="Arial"/>
                <w:sz w:val="16"/>
                <w:szCs w:val="16"/>
                <w:color w:val="0000FF"/>
              </w:rPr>
            </w:pPr>
            <w:hyperlink r:id="rId181">
              <w:r>
                <w:rPr>
                  <w:rFonts w:ascii="Arial" w:cs="Arial" w:eastAsia="Arial" w:hAnsi="Arial"/>
                  <w:sz w:val="16"/>
                  <w:szCs w:val="16"/>
                  <w:color w:val="0000FF"/>
                </w:rPr>
                <w:t>Keith Regnante, dated as of March 31, 2020, effective as of</w:t>
              </w:r>
            </w:hyperlink>
          </w:p>
        </w:tc>
        <w:tc>
          <w:tcPr>
            <w:tcW w:w="60" w:type="dxa"/>
            <w:vAlign w:val="bottom"/>
            <w:tcBorders>
              <w:bottom w:val="single" w:sz="8" w:color="0000FF"/>
            </w:tcBorders>
            <w:gridSpan w:val="3"/>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560" w:type="dxa"/>
            <w:vAlign w:val="bottom"/>
            <w:gridSpan w:val="37"/>
          </w:tcPr>
          <w:p>
            <w:pPr>
              <w:spacing w:after="0" w:line="141" w:lineRule="exact"/>
              <w:rPr>
                <w:rFonts w:ascii="Arial" w:cs="Arial" w:eastAsia="Arial" w:hAnsi="Arial"/>
                <w:sz w:val="16"/>
                <w:szCs w:val="16"/>
                <w:color w:val="0000FF"/>
              </w:rPr>
            </w:pPr>
            <w:hyperlink r:id="rId181">
              <w:r>
                <w:rPr>
                  <w:rFonts w:ascii="Arial" w:cs="Arial" w:eastAsia="Arial" w:hAnsi="Arial"/>
                  <w:sz w:val="16"/>
                  <w:szCs w:val="16"/>
                  <w:color w:val="0000FF"/>
                </w:rPr>
                <w:t>April 13, 2020.</w:t>
              </w:r>
            </w:hyperlink>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10.17+</w:t>
            </w:r>
          </w:p>
        </w:tc>
        <w:tc>
          <w:tcPr>
            <w:tcW w:w="4240" w:type="dxa"/>
            <w:vAlign w:val="bottom"/>
            <w:tcBorders>
              <w:bottom w:val="single" w:sz="8" w:color="0000FF"/>
            </w:tcBorders>
            <w:gridSpan w:val="23"/>
          </w:tcPr>
          <w:p>
            <w:pPr>
              <w:spacing w:after="0"/>
              <w:rPr>
                <w:rFonts w:ascii="Arial" w:cs="Arial" w:eastAsia="Arial" w:hAnsi="Arial"/>
                <w:sz w:val="17"/>
                <w:szCs w:val="17"/>
                <w:color w:val="0000FF"/>
                <w:w w:val="99"/>
              </w:rPr>
            </w:pPr>
            <w:hyperlink r:id="rId182">
              <w:r>
                <w:rPr>
                  <w:rFonts w:ascii="Arial" w:cs="Arial" w:eastAsia="Arial" w:hAnsi="Arial"/>
                  <w:sz w:val="17"/>
                  <w:szCs w:val="17"/>
                  <w:color w:val="0000FF"/>
                  <w:w w:val="99"/>
                </w:rPr>
                <w:t>Separation and Release Agreement by and between the</w:t>
              </w:r>
            </w:hyperlink>
          </w:p>
        </w:tc>
        <w:tc>
          <w:tcPr>
            <w:tcW w:w="3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620" w:type="dxa"/>
            <w:vAlign w:val="bottom"/>
            <w:gridSpan w:val="41"/>
          </w:tcPr>
          <w:p>
            <w:pPr>
              <w:spacing w:after="0" w:line="141" w:lineRule="exact"/>
              <w:rPr>
                <w:rFonts w:ascii="Arial" w:cs="Arial" w:eastAsia="Arial" w:hAnsi="Arial"/>
                <w:sz w:val="16"/>
                <w:szCs w:val="16"/>
                <w:color w:val="0000FF"/>
              </w:rPr>
            </w:pPr>
            <w:hyperlink r:id="rId182">
              <w:r>
                <w:rPr>
                  <w:rFonts w:ascii="Arial" w:cs="Arial" w:eastAsia="Arial" w:hAnsi="Arial"/>
                  <w:sz w:val="16"/>
                  <w:szCs w:val="16"/>
                  <w:color w:val="0000FF"/>
                </w:rPr>
                <w:t>registrant and Claudia Ordonez, dated and effective as of</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080" w:type="dxa"/>
            <w:vAlign w:val="bottom"/>
            <w:tcBorders>
              <w:top w:val="single" w:sz="8" w:color="0000FF"/>
              <w:bottom w:val="single" w:sz="8" w:color="0000FF"/>
            </w:tcBorders>
            <w:gridSpan w:val="2"/>
          </w:tcPr>
          <w:p>
            <w:pPr>
              <w:spacing w:after="0" w:line="141" w:lineRule="exact"/>
              <w:rPr>
                <w:rFonts w:ascii="Arial" w:cs="Arial" w:eastAsia="Arial" w:hAnsi="Arial"/>
                <w:sz w:val="16"/>
                <w:szCs w:val="16"/>
                <w:color w:val="0000FF"/>
              </w:rPr>
            </w:pPr>
            <w:hyperlink r:id="rId182">
              <w:r>
                <w:rPr>
                  <w:rFonts w:ascii="Arial" w:cs="Arial" w:eastAsia="Arial" w:hAnsi="Arial"/>
                  <w:sz w:val="16"/>
                  <w:szCs w:val="16"/>
                  <w:color w:val="0000FF"/>
                </w:rPr>
                <w:t>July 30, 2021.</w:t>
              </w:r>
            </w:hyperlink>
          </w:p>
        </w:tc>
        <w:tc>
          <w:tcPr>
            <w:tcW w:w="3240" w:type="dxa"/>
            <w:vAlign w:val="bottom"/>
            <w:tcBorders>
              <w:top w:val="single" w:sz="8" w:color="0000FF"/>
            </w:tcBorders>
            <w:gridSpan w:val="25"/>
          </w:tcPr>
          <w:p>
            <w:pPr>
              <w:spacing w:after="0"/>
              <w:rPr>
                <w:sz w:val="12"/>
                <w:szCs w:val="12"/>
                <w:color w:val="auto"/>
              </w:rPr>
            </w:pPr>
          </w:p>
        </w:tc>
        <w:tc>
          <w:tcPr>
            <w:tcW w:w="120" w:type="dxa"/>
            <w:vAlign w:val="bottom"/>
            <w:gridSpan w:val="4"/>
          </w:tcPr>
          <w:p>
            <w:pPr>
              <w:spacing w:after="0"/>
              <w:rPr>
                <w:sz w:val="12"/>
                <w:szCs w:val="12"/>
                <w:color w:val="auto"/>
              </w:rPr>
            </w:pPr>
          </w:p>
        </w:tc>
        <w:tc>
          <w:tcPr>
            <w:tcW w:w="100" w:type="dxa"/>
            <w:vAlign w:val="bottom"/>
            <w:gridSpan w:val="5"/>
          </w:tcPr>
          <w:p>
            <w:pPr>
              <w:spacing w:after="0"/>
              <w:rPr>
                <w:sz w:val="12"/>
                <w:szCs w:val="12"/>
                <w:color w:val="auto"/>
              </w:rPr>
            </w:pPr>
          </w:p>
        </w:tc>
        <w:tc>
          <w:tcPr>
            <w:tcW w:w="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10.18+</w:t>
            </w:r>
          </w:p>
        </w:tc>
        <w:tc>
          <w:tcPr>
            <w:tcW w:w="4620" w:type="dxa"/>
            <w:vAlign w:val="bottom"/>
            <w:gridSpan w:val="41"/>
          </w:tcPr>
          <w:p>
            <w:pPr>
              <w:spacing w:after="0"/>
              <w:rPr>
                <w:rFonts w:ascii="Arial" w:cs="Arial" w:eastAsia="Arial" w:hAnsi="Arial"/>
                <w:sz w:val="17"/>
                <w:szCs w:val="17"/>
                <w:color w:val="0000FF"/>
              </w:rPr>
            </w:pPr>
            <w:hyperlink r:id="rId183">
              <w:r>
                <w:rPr>
                  <w:rFonts w:ascii="Arial" w:cs="Arial" w:eastAsia="Arial" w:hAnsi="Arial"/>
                  <w:sz w:val="17"/>
                  <w:szCs w:val="17"/>
                  <w:color w:val="0000FF"/>
                </w:rPr>
                <w:t>Employment Agreement by and between the registrant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440" w:type="dxa"/>
            <w:vAlign w:val="bottom"/>
            <w:tcBorders>
              <w:top w:val="single" w:sz="8" w:color="0000FF"/>
            </w:tcBorders>
            <w:gridSpan w:val="31"/>
          </w:tcPr>
          <w:p>
            <w:pPr>
              <w:spacing w:after="0" w:line="141" w:lineRule="exact"/>
              <w:rPr>
                <w:rFonts w:ascii="Arial" w:cs="Arial" w:eastAsia="Arial" w:hAnsi="Arial"/>
                <w:sz w:val="16"/>
                <w:szCs w:val="16"/>
                <w:color w:val="0000FF"/>
              </w:rPr>
            </w:pPr>
            <w:hyperlink r:id="rId183">
              <w:r>
                <w:rPr>
                  <w:rFonts w:ascii="Arial" w:cs="Arial" w:eastAsia="Arial" w:hAnsi="Arial"/>
                  <w:sz w:val="16"/>
                  <w:szCs w:val="16"/>
                  <w:color w:val="0000FF"/>
                </w:rPr>
                <w:t>Simon Cooper, dated as of July 30, 2021 effective as of</w:t>
              </w:r>
            </w:hyperlink>
          </w:p>
        </w:tc>
        <w:tc>
          <w:tcPr>
            <w:tcW w:w="100" w:type="dxa"/>
            <w:vAlign w:val="bottom"/>
            <w:gridSpan w:val="5"/>
          </w:tcPr>
          <w:p>
            <w:pPr>
              <w:spacing w:after="0"/>
              <w:rPr>
                <w:sz w:val="12"/>
                <w:szCs w:val="12"/>
                <w:color w:val="auto"/>
              </w:rPr>
            </w:pPr>
          </w:p>
        </w:tc>
        <w:tc>
          <w:tcPr>
            <w:tcW w:w="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160" w:type="dxa"/>
            <w:vAlign w:val="bottom"/>
            <w:tcBorders>
              <w:top w:val="single" w:sz="8" w:color="0000FF"/>
            </w:tcBorders>
            <w:gridSpan w:val="19"/>
          </w:tcPr>
          <w:p>
            <w:pPr>
              <w:spacing w:after="0" w:line="141" w:lineRule="exact"/>
              <w:rPr>
                <w:rFonts w:ascii="Arial" w:cs="Arial" w:eastAsia="Arial" w:hAnsi="Arial"/>
                <w:sz w:val="16"/>
                <w:szCs w:val="16"/>
                <w:color w:val="0000FF"/>
              </w:rPr>
            </w:pPr>
            <w:hyperlink r:id="rId183">
              <w:r>
                <w:rPr>
                  <w:rFonts w:ascii="Arial" w:cs="Arial" w:eastAsia="Arial" w:hAnsi="Arial"/>
                  <w:sz w:val="16"/>
                  <w:szCs w:val="16"/>
                  <w:color w:val="0000FF"/>
                </w:rPr>
                <w:t>August 2,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14"/>
          </w:tcPr>
          <w:p>
            <w:pPr>
              <w:spacing w:after="0"/>
              <w:rPr>
                <w:sz w:val="12"/>
                <w:szCs w:val="12"/>
                <w:color w:val="auto"/>
              </w:rPr>
            </w:pPr>
          </w:p>
        </w:tc>
        <w:tc>
          <w:tcPr>
            <w:tcW w:w="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4"/>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10.19+</w:t>
            </w:r>
          </w:p>
        </w:tc>
        <w:tc>
          <w:tcPr>
            <w:tcW w:w="4620" w:type="dxa"/>
            <w:vAlign w:val="bottom"/>
            <w:gridSpan w:val="41"/>
          </w:tcPr>
          <w:p>
            <w:pPr>
              <w:spacing w:after="0"/>
              <w:rPr>
                <w:rFonts w:ascii="Arial" w:cs="Arial" w:eastAsia="Arial" w:hAnsi="Arial"/>
                <w:sz w:val="17"/>
                <w:szCs w:val="17"/>
                <w:color w:val="0000FF"/>
              </w:rPr>
            </w:pPr>
            <w:hyperlink r:id="rId184">
              <w:r>
                <w:rPr>
                  <w:rFonts w:ascii="Arial" w:cs="Arial" w:eastAsia="Arial" w:hAnsi="Arial"/>
                  <w:sz w:val="17"/>
                  <w:szCs w:val="17"/>
                  <w:color w:val="0000FF"/>
                </w:rPr>
                <w:t>Employment Agreement by and between the registrant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33"/>
          </w:tcPr>
          <w:p>
            <w:pPr>
              <w:spacing w:after="0" w:line="141" w:lineRule="exact"/>
              <w:rPr>
                <w:rFonts w:ascii="Arial" w:cs="Arial" w:eastAsia="Arial" w:hAnsi="Arial"/>
                <w:sz w:val="16"/>
                <w:szCs w:val="16"/>
                <w:color w:val="0000FF"/>
              </w:rPr>
            </w:pPr>
            <w:hyperlink r:id="rId184">
              <w:r>
                <w:rPr>
                  <w:rFonts w:ascii="Arial" w:cs="Arial" w:eastAsia="Arial" w:hAnsi="Arial"/>
                  <w:sz w:val="16"/>
                  <w:szCs w:val="16"/>
                  <w:color w:val="0000FF"/>
                </w:rPr>
                <w:t>Christopher Rovaldi, dated as of January 28, 2022 effective</w:t>
              </w:r>
            </w:hyperlink>
          </w:p>
        </w:tc>
        <w:tc>
          <w:tcPr>
            <w:tcW w:w="60" w:type="dxa"/>
            <w:vAlign w:val="bottom"/>
            <w:tcBorders>
              <w:bottom w:val="single" w:sz="8" w:color="0000FF"/>
            </w:tcBorders>
            <w:gridSpan w:val="3"/>
          </w:tcPr>
          <w:p>
            <w:pPr>
              <w:spacing w:after="0"/>
              <w:rPr>
                <w:sz w:val="12"/>
                <w:szCs w:val="12"/>
                <w:color w:val="auto"/>
              </w:rPr>
            </w:pPr>
          </w:p>
        </w:tc>
        <w:tc>
          <w:tcPr>
            <w:tcW w:w="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540" w:type="dxa"/>
            <w:vAlign w:val="bottom"/>
            <w:gridSpan w:val="36"/>
          </w:tcPr>
          <w:p>
            <w:pPr>
              <w:spacing w:after="0" w:line="141" w:lineRule="exact"/>
              <w:rPr>
                <w:rFonts w:ascii="Arial" w:cs="Arial" w:eastAsia="Arial" w:hAnsi="Arial"/>
                <w:sz w:val="16"/>
                <w:szCs w:val="16"/>
                <w:color w:val="0000FF"/>
              </w:rPr>
            </w:pPr>
            <w:hyperlink r:id="rId184">
              <w:r>
                <w:rPr>
                  <w:rFonts w:ascii="Arial" w:cs="Arial" w:eastAsia="Arial" w:hAnsi="Arial"/>
                  <w:sz w:val="16"/>
                  <w:szCs w:val="16"/>
                  <w:color w:val="0000FF"/>
                </w:rPr>
                <w:t>as of February 1, 2022.</w:t>
              </w:r>
            </w:hyperlink>
          </w:p>
        </w:tc>
        <w:tc>
          <w:tcPr>
            <w:tcW w:w="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10.20*+</w:t>
            </w:r>
          </w:p>
        </w:tc>
        <w:tc>
          <w:tcPr>
            <w:tcW w:w="4220" w:type="dxa"/>
            <w:vAlign w:val="bottom"/>
            <w:tcBorders>
              <w:bottom w:val="single" w:sz="8" w:color="0000FF"/>
            </w:tcBorders>
            <w:gridSpan w:val="22"/>
          </w:tcPr>
          <w:p>
            <w:pPr>
              <w:spacing w:after="0"/>
              <w:rPr>
                <w:rFonts w:ascii="Arial" w:cs="Arial" w:eastAsia="Arial" w:hAnsi="Arial"/>
                <w:sz w:val="17"/>
                <w:szCs w:val="17"/>
                <w:color w:val="0000FF"/>
              </w:rPr>
            </w:pPr>
            <w:hyperlink w:anchor="page201">
              <w:r>
                <w:rPr>
                  <w:rFonts w:ascii="Arial" w:cs="Arial" w:eastAsia="Arial" w:hAnsi="Arial"/>
                  <w:sz w:val="17"/>
                  <w:szCs w:val="17"/>
                  <w:color w:val="0000FF"/>
                </w:rPr>
                <w:t>First Amendment to the Employment Agreement by and</w:t>
              </w:r>
            </w:hyperlink>
          </w:p>
        </w:tc>
        <w:tc>
          <w:tcPr>
            <w:tcW w:w="40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620" w:type="dxa"/>
            <w:vAlign w:val="bottom"/>
            <w:gridSpan w:val="41"/>
          </w:tcPr>
          <w:p>
            <w:pPr>
              <w:spacing w:after="0" w:line="141" w:lineRule="exact"/>
              <w:rPr>
                <w:rFonts w:ascii="Arial" w:cs="Arial" w:eastAsia="Arial" w:hAnsi="Arial"/>
                <w:sz w:val="16"/>
                <w:szCs w:val="16"/>
                <w:color w:val="0000FF"/>
              </w:rPr>
            </w:pPr>
            <w:hyperlink w:anchor="page201">
              <w:r>
                <w:rPr>
                  <w:rFonts w:ascii="Arial" w:cs="Arial" w:eastAsia="Arial" w:hAnsi="Arial"/>
                  <w:sz w:val="16"/>
                  <w:szCs w:val="16"/>
                  <w:color w:val="0000FF"/>
                </w:rPr>
                <w:t>between the registrant and Jenn Lachey, dated as of January</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600" w:type="dxa"/>
            <w:vAlign w:val="bottom"/>
            <w:tcBorders>
              <w:top w:val="single" w:sz="8" w:color="0000FF"/>
              <w:bottom w:val="single" w:sz="8" w:color="0000FF"/>
            </w:tcBorders>
          </w:tcPr>
          <w:p>
            <w:pPr>
              <w:spacing w:after="0" w:line="141" w:lineRule="exact"/>
              <w:rPr>
                <w:rFonts w:ascii="Arial" w:cs="Arial" w:eastAsia="Arial" w:hAnsi="Arial"/>
                <w:sz w:val="16"/>
                <w:szCs w:val="16"/>
                <w:color w:val="0000FF"/>
              </w:rPr>
            </w:pPr>
            <w:hyperlink w:anchor="page201">
              <w:r>
                <w:rPr>
                  <w:rFonts w:ascii="Arial" w:cs="Arial" w:eastAsia="Arial" w:hAnsi="Arial"/>
                  <w:sz w:val="16"/>
                  <w:szCs w:val="16"/>
                  <w:color w:val="0000FF"/>
                </w:rPr>
                <w:t>1, 2022.</w:t>
              </w:r>
            </w:hyperlink>
          </w:p>
        </w:tc>
        <w:tc>
          <w:tcPr>
            <w:tcW w:w="4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94967277"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10.21*+</w:t>
            </w:r>
          </w:p>
        </w:tc>
        <w:tc>
          <w:tcPr>
            <w:tcW w:w="4620" w:type="dxa"/>
            <w:vAlign w:val="bottom"/>
            <w:gridSpan w:val="41"/>
          </w:tcPr>
          <w:p>
            <w:pPr>
              <w:spacing w:after="0"/>
              <w:rPr>
                <w:rFonts w:ascii="Arial" w:cs="Arial" w:eastAsia="Arial" w:hAnsi="Arial"/>
                <w:sz w:val="17"/>
                <w:szCs w:val="17"/>
                <w:color w:val="0000FF"/>
              </w:rPr>
            </w:pPr>
            <w:hyperlink w:anchor="page204">
              <w:r>
                <w:rPr>
                  <w:rFonts w:ascii="Arial" w:cs="Arial" w:eastAsia="Arial" w:hAnsi="Arial"/>
                  <w:sz w:val="17"/>
                  <w:szCs w:val="17"/>
                  <w:color w:val="0000FF"/>
                </w:rPr>
                <w:t>First Amendment to the Employment Agreement by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200" w:type="dxa"/>
            <w:vAlign w:val="bottom"/>
            <w:tcBorders>
              <w:top w:val="single" w:sz="8" w:color="0000FF"/>
            </w:tcBorders>
            <w:gridSpan w:val="21"/>
          </w:tcPr>
          <w:p>
            <w:pPr>
              <w:spacing w:after="0" w:line="141" w:lineRule="exact"/>
              <w:rPr>
                <w:rFonts w:ascii="Arial" w:cs="Arial" w:eastAsia="Arial" w:hAnsi="Arial"/>
                <w:sz w:val="16"/>
                <w:szCs w:val="16"/>
                <w:color w:val="0000FF"/>
              </w:rPr>
            </w:pPr>
            <w:hyperlink w:anchor="page204">
              <w:r>
                <w:rPr>
                  <w:rFonts w:ascii="Arial" w:cs="Arial" w:eastAsia="Arial" w:hAnsi="Arial"/>
                  <w:sz w:val="16"/>
                  <w:szCs w:val="16"/>
                  <w:color w:val="0000FF"/>
                </w:rPr>
                <w:t>between the registrant and Keith Regnante, dated as of</w:t>
              </w:r>
            </w:hyperlink>
          </w:p>
        </w:tc>
        <w:tc>
          <w:tcPr>
            <w:tcW w:w="20" w:type="dxa"/>
            <w:vAlign w:val="bottom"/>
          </w:tcPr>
          <w:p>
            <w:pPr>
              <w:spacing w:after="0"/>
              <w:rPr>
                <w:sz w:val="12"/>
                <w:szCs w:val="12"/>
                <w:color w:val="auto"/>
              </w:rPr>
            </w:pPr>
          </w:p>
        </w:tc>
        <w:tc>
          <w:tcPr>
            <w:tcW w:w="320" w:type="dxa"/>
            <w:vAlign w:val="bottom"/>
            <w:gridSpan w:val="16"/>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260" w:type="dxa"/>
            <w:vAlign w:val="bottom"/>
            <w:tcBorders>
              <w:top w:val="single" w:sz="8" w:color="0000FF"/>
              <w:bottom w:val="single" w:sz="8" w:color="0000FF"/>
            </w:tcBorders>
            <w:gridSpan w:val="4"/>
          </w:tcPr>
          <w:p>
            <w:pPr>
              <w:spacing w:after="0" w:line="141" w:lineRule="exact"/>
              <w:rPr>
                <w:rFonts w:ascii="Arial" w:cs="Arial" w:eastAsia="Arial" w:hAnsi="Arial"/>
                <w:sz w:val="16"/>
                <w:szCs w:val="16"/>
                <w:color w:val="0000FF"/>
              </w:rPr>
            </w:pPr>
            <w:hyperlink w:anchor="page204">
              <w:r>
                <w:rPr>
                  <w:rFonts w:ascii="Arial" w:cs="Arial" w:eastAsia="Arial" w:hAnsi="Arial"/>
                  <w:sz w:val="16"/>
                  <w:szCs w:val="16"/>
                  <w:color w:val="0000FF"/>
                </w:rPr>
                <w:t>January 1, 2022.</w:t>
              </w:r>
            </w:hyperlink>
          </w:p>
        </w:tc>
        <w:tc>
          <w:tcPr>
            <w:tcW w:w="292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320" w:type="dxa"/>
            <w:vAlign w:val="bottom"/>
            <w:gridSpan w:val="16"/>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10.22*+</w:t>
            </w:r>
          </w:p>
        </w:tc>
        <w:tc>
          <w:tcPr>
            <w:tcW w:w="4620" w:type="dxa"/>
            <w:vAlign w:val="bottom"/>
            <w:gridSpan w:val="41"/>
          </w:tcPr>
          <w:p>
            <w:pPr>
              <w:spacing w:after="0"/>
              <w:rPr>
                <w:rFonts w:ascii="Arial" w:cs="Arial" w:eastAsia="Arial" w:hAnsi="Arial"/>
                <w:sz w:val="17"/>
                <w:szCs w:val="17"/>
                <w:color w:val="0000FF"/>
              </w:rPr>
            </w:pPr>
            <w:hyperlink w:anchor="page207">
              <w:r>
                <w:rPr>
                  <w:rFonts w:ascii="Arial" w:cs="Arial" w:eastAsia="Arial" w:hAnsi="Arial"/>
                  <w:sz w:val="17"/>
                  <w:szCs w:val="17"/>
                  <w:color w:val="0000FF"/>
                </w:rPr>
                <w:t>First Amendment to the Employment Agreement by and</w:t>
              </w:r>
            </w:hyperlink>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4200" w:type="dxa"/>
            <w:vAlign w:val="bottom"/>
            <w:tcBorders>
              <w:top w:val="single" w:sz="8" w:color="0000FF"/>
            </w:tcBorders>
            <w:gridSpan w:val="21"/>
          </w:tcPr>
          <w:p>
            <w:pPr>
              <w:spacing w:after="0" w:line="141" w:lineRule="exact"/>
              <w:rPr>
                <w:rFonts w:ascii="Arial" w:cs="Arial" w:eastAsia="Arial" w:hAnsi="Arial"/>
                <w:sz w:val="16"/>
                <w:szCs w:val="16"/>
                <w:color w:val="0000FF"/>
              </w:rPr>
            </w:pPr>
            <w:hyperlink w:anchor="page207">
              <w:r>
                <w:rPr>
                  <w:rFonts w:ascii="Arial" w:cs="Arial" w:eastAsia="Arial" w:hAnsi="Arial"/>
                  <w:sz w:val="16"/>
                  <w:szCs w:val="16"/>
                  <w:color w:val="0000FF"/>
                </w:rPr>
                <w:t>between the registrant and Simon Cooper, dated as of</w:t>
              </w:r>
            </w:hyperlink>
          </w:p>
        </w:tc>
        <w:tc>
          <w:tcPr>
            <w:tcW w:w="20" w:type="dxa"/>
            <w:vAlign w:val="bottom"/>
          </w:tcPr>
          <w:p>
            <w:pPr>
              <w:spacing w:after="0"/>
              <w:rPr>
                <w:sz w:val="12"/>
                <w:szCs w:val="12"/>
                <w:color w:val="auto"/>
              </w:rPr>
            </w:pPr>
          </w:p>
        </w:tc>
        <w:tc>
          <w:tcPr>
            <w:tcW w:w="320" w:type="dxa"/>
            <w:vAlign w:val="bottom"/>
            <w:gridSpan w:val="16"/>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140" w:type="dxa"/>
            <w:vAlign w:val="bottom"/>
          </w:tcPr>
          <w:p>
            <w:pPr>
              <w:spacing w:after="0"/>
              <w:rPr>
                <w:sz w:val="12"/>
                <w:szCs w:val="12"/>
                <w:color w:val="auto"/>
              </w:rPr>
            </w:pPr>
          </w:p>
        </w:tc>
        <w:tc>
          <w:tcPr>
            <w:tcW w:w="1260" w:type="dxa"/>
            <w:vAlign w:val="bottom"/>
            <w:tcBorders>
              <w:top w:val="single" w:sz="8" w:color="0000FF"/>
              <w:bottom w:val="single" w:sz="8" w:color="0000FF"/>
            </w:tcBorders>
            <w:gridSpan w:val="4"/>
          </w:tcPr>
          <w:p>
            <w:pPr>
              <w:spacing w:after="0" w:line="141" w:lineRule="exact"/>
              <w:rPr>
                <w:rFonts w:ascii="Arial" w:cs="Arial" w:eastAsia="Arial" w:hAnsi="Arial"/>
                <w:sz w:val="16"/>
                <w:szCs w:val="16"/>
                <w:color w:val="0000FF"/>
              </w:rPr>
            </w:pPr>
            <w:hyperlink w:anchor="page207">
              <w:r>
                <w:rPr>
                  <w:rFonts w:ascii="Arial" w:cs="Arial" w:eastAsia="Arial" w:hAnsi="Arial"/>
                  <w:sz w:val="16"/>
                  <w:szCs w:val="16"/>
                  <w:color w:val="0000FF"/>
                </w:rPr>
                <w:t>January 1, 2022.</w:t>
              </w:r>
            </w:hyperlink>
          </w:p>
        </w:tc>
        <w:tc>
          <w:tcPr>
            <w:tcW w:w="2820" w:type="dxa"/>
            <w:vAlign w:val="bottom"/>
            <w:tcBorders>
              <w:top w:val="single" w:sz="8" w:color="0000FF"/>
            </w:tcBorders>
            <w:gridSpan w:val="11"/>
          </w:tcPr>
          <w:p>
            <w:pPr>
              <w:spacing w:after="0"/>
              <w:rPr>
                <w:sz w:val="12"/>
                <w:szCs w:val="12"/>
                <w:color w:val="auto"/>
              </w:rPr>
            </w:pPr>
          </w:p>
        </w:tc>
        <w:tc>
          <w:tcPr>
            <w:tcW w:w="140" w:type="dxa"/>
            <w:vAlign w:val="bottom"/>
            <w:gridSpan w:val="7"/>
          </w:tcPr>
          <w:p>
            <w:pPr>
              <w:spacing w:after="0"/>
              <w:rPr>
                <w:sz w:val="12"/>
                <w:szCs w:val="12"/>
                <w:color w:val="auto"/>
              </w:rPr>
            </w:pPr>
          </w:p>
        </w:tc>
        <w:tc>
          <w:tcPr>
            <w:tcW w:w="320" w:type="dxa"/>
            <w:vAlign w:val="bottom"/>
            <w:gridSpan w:val="16"/>
          </w:tcPr>
          <w:p>
            <w:pPr>
              <w:spacing w:after="0"/>
              <w:rPr>
                <w:sz w:val="12"/>
                <w:szCs w:val="12"/>
                <w:color w:val="auto"/>
              </w:rPr>
            </w:pPr>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10.23</w:t>
            </w:r>
          </w:p>
        </w:tc>
        <w:tc>
          <w:tcPr>
            <w:tcW w:w="4620" w:type="dxa"/>
            <w:vAlign w:val="bottom"/>
            <w:gridSpan w:val="41"/>
          </w:tcPr>
          <w:p>
            <w:pPr>
              <w:spacing w:after="0"/>
              <w:rPr>
                <w:rFonts w:ascii="Arial" w:cs="Arial" w:eastAsia="Arial" w:hAnsi="Arial"/>
                <w:sz w:val="17"/>
                <w:szCs w:val="17"/>
                <w:color w:val="0000FF"/>
              </w:rPr>
            </w:pPr>
            <w:hyperlink r:id="rId185">
              <w:r>
                <w:rPr>
                  <w:rFonts w:ascii="Arial" w:cs="Arial" w:eastAsia="Arial" w:hAnsi="Arial"/>
                  <w:sz w:val="17"/>
                  <w:szCs w:val="17"/>
                  <w:color w:val="0000FF"/>
                </w:rPr>
                <w:t>Indenture of Lease by and between the registrant and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00" w:type="dxa"/>
            <w:vAlign w:val="bottom"/>
            <w:gridSpan w:val="6"/>
            <w:shd w:val="clear" w:color="auto" w:fill="0000FF"/>
          </w:tcPr>
          <w:p>
            <w:pPr>
              <w:spacing w:after="0" w:line="20" w:lineRule="exact"/>
              <w:rPr>
                <w:sz w:val="1"/>
                <w:szCs w:val="1"/>
                <w:color w:val="auto"/>
              </w:rPr>
            </w:pPr>
          </w:p>
        </w:tc>
        <w:tc>
          <w:tcPr>
            <w:tcW w:w="1020" w:type="dxa"/>
            <w:vAlign w:val="bottom"/>
            <w:gridSpan w:val="7"/>
            <w:shd w:val="clear" w:color="auto" w:fill="0000FF"/>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1140" w:type="dxa"/>
            <w:vAlign w:val="bottom"/>
          </w:tcPr>
          <w:p>
            <w:pPr>
              <w:spacing w:after="0"/>
              <w:rPr>
                <w:sz w:val="12"/>
                <w:szCs w:val="12"/>
                <w:color w:val="auto"/>
              </w:rPr>
            </w:pPr>
          </w:p>
        </w:tc>
        <w:tc>
          <w:tcPr>
            <w:tcW w:w="4220" w:type="dxa"/>
            <w:vAlign w:val="bottom"/>
            <w:tcBorders>
              <w:bottom w:val="single" w:sz="8" w:color="0000FF"/>
            </w:tcBorders>
            <w:gridSpan w:val="22"/>
          </w:tcPr>
          <w:p>
            <w:pPr>
              <w:spacing w:after="0" w:line="141" w:lineRule="exact"/>
              <w:rPr>
                <w:rFonts w:ascii="Arial" w:cs="Arial" w:eastAsia="Arial" w:hAnsi="Arial"/>
                <w:sz w:val="16"/>
                <w:szCs w:val="16"/>
                <w:color w:val="0000FF"/>
              </w:rPr>
            </w:pPr>
            <w:hyperlink r:id="rId185">
              <w:r>
                <w:rPr>
                  <w:rFonts w:ascii="Arial" w:cs="Arial" w:eastAsia="Arial" w:hAnsi="Arial"/>
                  <w:sz w:val="16"/>
                  <w:szCs w:val="16"/>
                  <w:color w:val="0000FF"/>
                </w:rPr>
                <w:t>Revolution Labs Owner, LLC, dated September 7, 2021.</w:t>
              </w:r>
            </w:hyperlink>
          </w:p>
        </w:tc>
        <w:tc>
          <w:tcPr>
            <w:tcW w:w="40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21.1*</w:t>
            </w:r>
          </w:p>
        </w:tc>
        <w:tc>
          <w:tcPr>
            <w:tcW w:w="3000" w:type="dxa"/>
            <w:vAlign w:val="bottom"/>
            <w:tcBorders>
              <w:bottom w:val="single" w:sz="8" w:color="0000FF"/>
            </w:tcBorders>
            <w:gridSpan w:val="6"/>
          </w:tcPr>
          <w:p>
            <w:pPr>
              <w:spacing w:after="0"/>
              <w:rPr>
                <w:rFonts w:ascii="Arial" w:cs="Arial" w:eastAsia="Arial" w:hAnsi="Arial"/>
                <w:sz w:val="17"/>
                <w:szCs w:val="17"/>
                <w:color w:val="0000FF"/>
                <w:w w:val="99"/>
              </w:rPr>
            </w:pPr>
            <w:hyperlink w:anchor="page210">
              <w:r>
                <w:rPr>
                  <w:rFonts w:ascii="Arial" w:cs="Arial" w:eastAsia="Arial" w:hAnsi="Arial"/>
                  <w:sz w:val="17"/>
                  <w:szCs w:val="17"/>
                  <w:color w:val="0000FF"/>
                  <w:w w:val="99"/>
                </w:rPr>
                <w:t>Subsidiaries of Keros Therapeutics, Inc.</w:t>
              </w:r>
            </w:hyperlink>
          </w:p>
        </w:tc>
        <w:tc>
          <w:tcPr>
            <w:tcW w:w="1620" w:type="dxa"/>
            <w:vAlign w:val="bottom"/>
            <w:gridSpan w:val="35"/>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23.1*</w:t>
            </w:r>
          </w:p>
        </w:tc>
        <w:tc>
          <w:tcPr>
            <w:tcW w:w="4540" w:type="dxa"/>
            <w:vAlign w:val="bottom"/>
            <w:tcBorders>
              <w:bottom w:val="single" w:sz="8" w:color="0000FF"/>
            </w:tcBorders>
            <w:gridSpan w:val="38"/>
          </w:tcPr>
          <w:p>
            <w:pPr>
              <w:spacing w:after="0"/>
              <w:rPr>
                <w:rFonts w:ascii="Arial" w:cs="Arial" w:eastAsia="Arial" w:hAnsi="Arial"/>
                <w:sz w:val="17"/>
                <w:szCs w:val="17"/>
                <w:color w:val="0000FF"/>
              </w:rPr>
            </w:pPr>
            <w:hyperlink w:anchor="page211">
              <w:r>
                <w:rPr>
                  <w:rFonts w:ascii="Arial" w:cs="Arial" w:eastAsia="Arial" w:hAnsi="Arial"/>
                  <w:sz w:val="17"/>
                  <w:szCs w:val="17"/>
                  <w:color w:val="0000FF"/>
                </w:rPr>
                <w:t>Consent of Independent Registered Public Accounting Firm.</w:t>
              </w:r>
            </w:hyperlink>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1140" w:type="dxa"/>
            <w:vAlign w:val="bottom"/>
          </w:tcPr>
          <w:p>
            <w:pPr>
              <w:spacing w:after="0"/>
              <w:rPr>
                <w:sz w:val="24"/>
                <w:szCs w:val="24"/>
                <w:color w:val="auto"/>
              </w:rPr>
            </w:pPr>
          </w:p>
        </w:tc>
        <w:tc>
          <w:tcPr>
            <w:tcW w:w="4620" w:type="dxa"/>
            <w:vAlign w:val="bottom"/>
            <w:gridSpan w:val="41"/>
          </w:tcPr>
          <w:p>
            <w:pPr>
              <w:jc w:val="right"/>
              <w:ind w:right="2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160020</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80"/>
        <w:spacing w:after="0"/>
        <w:tabs>
          <w:tab w:leader="none" w:pos="900" w:val="left"/>
          <w:tab w:leader="none" w:pos="2360" w:val="left"/>
          <w:tab w:leader="none" w:pos="3300" w:val="left"/>
        </w:tabs>
        <w:rPr>
          <w:sz w:val="20"/>
          <w:szCs w:val="20"/>
          <w:color w:val="auto"/>
        </w:rPr>
      </w:pPr>
      <w:r>
        <w:rPr>
          <w:rFonts w:ascii="Arial" w:cs="Arial" w:eastAsia="Arial" w:hAnsi="Arial"/>
          <w:sz w:val="17"/>
          <w:szCs w:val="17"/>
          <w:color w:val="auto"/>
        </w:rPr>
        <w:t>S-1</w:t>
      </w:r>
      <w:r>
        <w:rPr>
          <w:sz w:val="20"/>
          <w:szCs w:val="20"/>
          <w:color w:val="auto"/>
        </w:rPr>
        <w:tab/>
      </w:r>
      <w:r>
        <w:rPr>
          <w:rFonts w:ascii="Arial" w:cs="Arial" w:eastAsia="Arial" w:hAnsi="Arial"/>
          <w:sz w:val="17"/>
          <w:szCs w:val="17"/>
          <w:color w:val="auto"/>
        </w:rPr>
        <w:t>333-237212</w:t>
      </w:r>
      <w:r>
        <w:rPr>
          <w:sz w:val="20"/>
          <w:szCs w:val="20"/>
          <w:color w:val="auto"/>
        </w:rPr>
        <w:tab/>
      </w:r>
      <w:r>
        <w:rPr>
          <w:rFonts w:ascii="Arial" w:cs="Arial" w:eastAsia="Arial" w:hAnsi="Arial"/>
          <w:sz w:val="17"/>
          <w:szCs w:val="17"/>
          <w:color w:val="auto"/>
        </w:rPr>
        <w:t>10.10</w:t>
      </w:r>
      <w:r>
        <w:rPr>
          <w:sz w:val="20"/>
          <w:szCs w:val="20"/>
          <w:color w:val="auto"/>
        </w:rPr>
        <w:tab/>
      </w: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tabs>
          <w:tab w:leader="none" w:pos="900" w:val="left"/>
          <w:tab w:leader="none" w:pos="2360" w:val="left"/>
          <w:tab w:leader="none" w:pos="3300" w:val="left"/>
        </w:tabs>
        <w:rPr>
          <w:sz w:val="20"/>
          <w:szCs w:val="20"/>
          <w:color w:val="auto"/>
        </w:rPr>
      </w:pPr>
      <w:r>
        <w:rPr>
          <w:rFonts w:ascii="Arial" w:cs="Arial" w:eastAsia="Arial" w:hAnsi="Arial"/>
          <w:sz w:val="17"/>
          <w:szCs w:val="17"/>
          <w:color w:val="auto"/>
        </w:rPr>
        <w:t>S-1</w:t>
      </w:r>
      <w:r>
        <w:rPr>
          <w:sz w:val="20"/>
          <w:szCs w:val="20"/>
          <w:color w:val="auto"/>
        </w:rPr>
        <w:tab/>
      </w:r>
      <w:r>
        <w:rPr>
          <w:rFonts w:ascii="Arial" w:cs="Arial" w:eastAsia="Arial" w:hAnsi="Arial"/>
          <w:sz w:val="17"/>
          <w:szCs w:val="17"/>
          <w:color w:val="auto"/>
        </w:rPr>
        <w:t>333-237212</w:t>
      </w:r>
      <w:r>
        <w:rPr>
          <w:sz w:val="20"/>
          <w:szCs w:val="20"/>
          <w:color w:val="auto"/>
        </w:rPr>
        <w:tab/>
      </w:r>
      <w:r>
        <w:rPr>
          <w:rFonts w:ascii="Arial" w:cs="Arial" w:eastAsia="Arial" w:hAnsi="Arial"/>
          <w:sz w:val="17"/>
          <w:szCs w:val="17"/>
          <w:color w:val="auto"/>
        </w:rPr>
        <w:t>10.12</w:t>
      </w:r>
      <w:r>
        <w:rPr>
          <w:sz w:val="20"/>
          <w:szCs w:val="20"/>
          <w:color w:val="auto"/>
        </w:rPr>
        <w:tab/>
      </w: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0" w:type="dxa"/>
            <w:vAlign w:val="bottom"/>
          </w:tcPr>
          <w:p>
            <w:pPr>
              <w:jc w:val="center"/>
              <w:ind w:right="135"/>
              <w:spacing w:after="0"/>
              <w:rPr>
                <w:sz w:val="20"/>
                <w:szCs w:val="20"/>
                <w:color w:val="auto"/>
              </w:rPr>
            </w:pPr>
            <w:r>
              <w:rPr>
                <w:rFonts w:ascii="Arial" w:cs="Arial" w:eastAsia="Arial" w:hAnsi="Arial"/>
                <w:sz w:val="17"/>
                <w:szCs w:val="17"/>
                <w:color w:val="auto"/>
              </w:rPr>
              <w:t>10-Q</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001-39264</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10.3</w:t>
            </w:r>
          </w:p>
        </w:tc>
        <w:tc>
          <w:tcPr>
            <w:tcW w:w="1540" w:type="dxa"/>
            <w:vAlign w:val="bottom"/>
          </w:tcPr>
          <w:p>
            <w:pPr>
              <w:jc w:val="center"/>
              <w:ind w:left="135"/>
              <w:spacing w:after="0"/>
              <w:rPr>
                <w:sz w:val="20"/>
                <w:szCs w:val="20"/>
                <w:color w:val="auto"/>
              </w:rPr>
            </w:pPr>
            <w:r>
              <w:rPr>
                <w:rFonts w:ascii="Arial" w:cs="Arial" w:eastAsia="Arial" w:hAnsi="Arial"/>
                <w:sz w:val="17"/>
                <w:szCs w:val="17"/>
                <w:color w:val="auto"/>
              </w:rPr>
              <w:t>August 5, 2021</w:t>
            </w:r>
          </w:p>
        </w:tc>
      </w:tr>
      <w:tr>
        <w:trPr>
          <w:trHeight w:val="429"/>
        </w:trPr>
        <w:tc>
          <w:tcPr>
            <w:tcW w:w="680" w:type="dxa"/>
            <w:vAlign w:val="bottom"/>
          </w:tcPr>
          <w:p>
            <w:pPr>
              <w:jc w:val="center"/>
              <w:ind w:right="155"/>
              <w:spacing w:after="0"/>
              <w:rPr>
                <w:sz w:val="20"/>
                <w:szCs w:val="20"/>
                <w:color w:val="auto"/>
              </w:rPr>
            </w:pPr>
            <w:r>
              <w:rPr>
                <w:rFonts w:ascii="Arial" w:cs="Arial" w:eastAsia="Arial" w:hAnsi="Arial"/>
                <w:sz w:val="17"/>
                <w:szCs w:val="17"/>
                <w:color w:val="auto"/>
              </w:rPr>
              <w:t>S-1</w:t>
            </w:r>
          </w:p>
        </w:tc>
        <w:tc>
          <w:tcPr>
            <w:tcW w:w="1440" w:type="dxa"/>
            <w:vAlign w:val="bottom"/>
          </w:tcPr>
          <w:p>
            <w:pPr>
              <w:jc w:val="center"/>
              <w:spacing w:after="0"/>
              <w:rPr>
                <w:sz w:val="20"/>
                <w:szCs w:val="20"/>
                <w:color w:val="auto"/>
              </w:rPr>
            </w:pPr>
            <w:r>
              <w:rPr>
                <w:rFonts w:ascii="Arial" w:cs="Arial" w:eastAsia="Arial" w:hAnsi="Arial"/>
                <w:sz w:val="17"/>
                <w:szCs w:val="17"/>
                <w:color w:val="auto"/>
              </w:rPr>
              <w:t>333-237212</w:t>
            </w:r>
          </w:p>
        </w:tc>
        <w:tc>
          <w:tcPr>
            <w:tcW w:w="920" w:type="dxa"/>
            <w:vAlign w:val="bottom"/>
          </w:tcPr>
          <w:p>
            <w:pPr>
              <w:jc w:val="center"/>
              <w:spacing w:after="0"/>
              <w:rPr>
                <w:sz w:val="20"/>
                <w:szCs w:val="20"/>
                <w:color w:val="auto"/>
              </w:rPr>
            </w:pPr>
            <w:r>
              <w:rPr>
                <w:rFonts w:ascii="Arial" w:cs="Arial" w:eastAsia="Arial" w:hAnsi="Arial"/>
                <w:sz w:val="17"/>
                <w:szCs w:val="17"/>
                <w:color w:val="auto"/>
                <w:w w:val="98"/>
              </w:rPr>
              <w:t>10.13</w:t>
            </w:r>
          </w:p>
        </w:tc>
        <w:tc>
          <w:tcPr>
            <w:tcW w:w="1540" w:type="dxa"/>
            <w:vAlign w:val="bottom"/>
          </w:tcPr>
          <w:p>
            <w:pPr>
              <w:jc w:val="center"/>
              <w:ind w:left="115"/>
              <w:spacing w:after="0"/>
              <w:rPr>
                <w:sz w:val="20"/>
                <w:szCs w:val="20"/>
                <w:color w:val="auto"/>
              </w:rPr>
            </w:pPr>
            <w:r>
              <w:rPr>
                <w:rFonts w:ascii="Arial" w:cs="Arial" w:eastAsia="Arial" w:hAnsi="Arial"/>
                <w:sz w:val="17"/>
                <w:szCs w:val="17"/>
                <w:color w:val="auto"/>
                <w:w w:val="99"/>
              </w:rPr>
              <w:t>March 16, 2020</w:t>
            </w:r>
          </w:p>
        </w:tc>
      </w:tr>
      <w:tr>
        <w:trPr>
          <w:trHeight w:val="429"/>
        </w:trPr>
        <w:tc>
          <w:tcPr>
            <w:tcW w:w="680" w:type="dxa"/>
            <w:vAlign w:val="bottom"/>
          </w:tcPr>
          <w:p>
            <w:pPr>
              <w:jc w:val="center"/>
              <w:ind w:right="155"/>
              <w:spacing w:after="0"/>
              <w:rPr>
                <w:sz w:val="20"/>
                <w:szCs w:val="20"/>
                <w:color w:val="auto"/>
              </w:rPr>
            </w:pPr>
            <w:r>
              <w:rPr>
                <w:rFonts w:ascii="Arial" w:cs="Arial" w:eastAsia="Arial" w:hAnsi="Arial"/>
                <w:sz w:val="17"/>
                <w:szCs w:val="17"/>
                <w:color w:val="auto"/>
              </w:rPr>
              <w:t>S-1/A</w:t>
            </w:r>
          </w:p>
        </w:tc>
        <w:tc>
          <w:tcPr>
            <w:tcW w:w="1440" w:type="dxa"/>
            <w:vAlign w:val="bottom"/>
          </w:tcPr>
          <w:p>
            <w:pPr>
              <w:jc w:val="center"/>
              <w:spacing w:after="0"/>
              <w:rPr>
                <w:sz w:val="20"/>
                <w:szCs w:val="20"/>
                <w:color w:val="auto"/>
              </w:rPr>
            </w:pPr>
            <w:r>
              <w:rPr>
                <w:rFonts w:ascii="Arial" w:cs="Arial" w:eastAsia="Arial" w:hAnsi="Arial"/>
                <w:sz w:val="17"/>
                <w:szCs w:val="17"/>
                <w:color w:val="auto"/>
              </w:rPr>
              <w:t>333-237212</w:t>
            </w:r>
          </w:p>
        </w:tc>
        <w:tc>
          <w:tcPr>
            <w:tcW w:w="920" w:type="dxa"/>
            <w:vAlign w:val="bottom"/>
          </w:tcPr>
          <w:p>
            <w:pPr>
              <w:jc w:val="center"/>
              <w:spacing w:after="0"/>
              <w:rPr>
                <w:sz w:val="20"/>
                <w:szCs w:val="20"/>
                <w:color w:val="auto"/>
              </w:rPr>
            </w:pPr>
            <w:r>
              <w:rPr>
                <w:rFonts w:ascii="Arial" w:cs="Arial" w:eastAsia="Arial" w:hAnsi="Arial"/>
                <w:sz w:val="17"/>
                <w:szCs w:val="17"/>
                <w:color w:val="auto"/>
                <w:w w:val="98"/>
              </w:rPr>
              <w:t>10.14</w:t>
            </w:r>
          </w:p>
        </w:tc>
        <w:tc>
          <w:tcPr>
            <w:tcW w:w="1540" w:type="dxa"/>
            <w:vAlign w:val="bottom"/>
          </w:tcPr>
          <w:p>
            <w:pPr>
              <w:jc w:val="center"/>
              <w:ind w:left="135"/>
              <w:spacing w:after="0"/>
              <w:rPr>
                <w:sz w:val="20"/>
                <w:szCs w:val="20"/>
                <w:color w:val="auto"/>
              </w:rPr>
            </w:pPr>
            <w:r>
              <w:rPr>
                <w:rFonts w:ascii="Arial" w:cs="Arial" w:eastAsia="Arial" w:hAnsi="Arial"/>
                <w:sz w:val="17"/>
                <w:szCs w:val="17"/>
                <w:color w:val="auto"/>
              </w:rPr>
              <w:t>April 1, 2020</w:t>
            </w:r>
          </w:p>
        </w:tc>
      </w:tr>
      <w:tr>
        <w:trPr>
          <w:trHeight w:val="591"/>
        </w:trPr>
        <w:tc>
          <w:tcPr>
            <w:tcW w:w="680" w:type="dxa"/>
            <w:vAlign w:val="bottom"/>
          </w:tcPr>
          <w:p>
            <w:pPr>
              <w:jc w:val="center"/>
              <w:ind w:right="155"/>
              <w:spacing w:after="0"/>
              <w:rPr>
                <w:sz w:val="20"/>
                <w:szCs w:val="20"/>
                <w:color w:val="auto"/>
              </w:rPr>
            </w:pPr>
            <w:r>
              <w:rPr>
                <w:rFonts w:ascii="Arial" w:cs="Arial" w:eastAsia="Arial" w:hAnsi="Arial"/>
                <w:sz w:val="17"/>
                <w:szCs w:val="17"/>
                <w:color w:val="auto"/>
              </w:rPr>
              <w:t>S-1/A</w:t>
            </w:r>
          </w:p>
        </w:tc>
        <w:tc>
          <w:tcPr>
            <w:tcW w:w="1440" w:type="dxa"/>
            <w:vAlign w:val="bottom"/>
          </w:tcPr>
          <w:p>
            <w:pPr>
              <w:jc w:val="center"/>
              <w:spacing w:after="0"/>
              <w:rPr>
                <w:sz w:val="20"/>
                <w:szCs w:val="20"/>
                <w:color w:val="auto"/>
              </w:rPr>
            </w:pPr>
            <w:r>
              <w:rPr>
                <w:rFonts w:ascii="Arial" w:cs="Arial" w:eastAsia="Arial" w:hAnsi="Arial"/>
                <w:sz w:val="17"/>
                <w:szCs w:val="17"/>
                <w:color w:val="auto"/>
              </w:rPr>
              <w:t>333-237212</w:t>
            </w:r>
          </w:p>
        </w:tc>
        <w:tc>
          <w:tcPr>
            <w:tcW w:w="920" w:type="dxa"/>
            <w:vAlign w:val="bottom"/>
          </w:tcPr>
          <w:p>
            <w:pPr>
              <w:jc w:val="center"/>
              <w:spacing w:after="0"/>
              <w:rPr>
                <w:sz w:val="20"/>
                <w:szCs w:val="20"/>
                <w:color w:val="auto"/>
              </w:rPr>
            </w:pPr>
            <w:r>
              <w:rPr>
                <w:rFonts w:ascii="Arial" w:cs="Arial" w:eastAsia="Arial" w:hAnsi="Arial"/>
                <w:sz w:val="17"/>
                <w:szCs w:val="17"/>
                <w:color w:val="auto"/>
                <w:w w:val="98"/>
              </w:rPr>
              <w:t>10.15</w:t>
            </w:r>
          </w:p>
        </w:tc>
        <w:tc>
          <w:tcPr>
            <w:tcW w:w="1540" w:type="dxa"/>
            <w:vAlign w:val="bottom"/>
          </w:tcPr>
          <w:p>
            <w:pPr>
              <w:jc w:val="center"/>
              <w:ind w:left="135"/>
              <w:spacing w:after="0"/>
              <w:rPr>
                <w:sz w:val="20"/>
                <w:szCs w:val="20"/>
                <w:color w:val="auto"/>
              </w:rPr>
            </w:pPr>
            <w:r>
              <w:rPr>
                <w:rFonts w:ascii="Arial" w:cs="Arial" w:eastAsia="Arial" w:hAnsi="Arial"/>
                <w:sz w:val="17"/>
                <w:szCs w:val="17"/>
                <w:color w:val="auto"/>
              </w:rPr>
              <w:t>April 1, 2020</w:t>
            </w:r>
          </w:p>
        </w:tc>
      </w:tr>
      <w:tr>
        <w:trPr>
          <w:trHeight w:val="591"/>
        </w:trPr>
        <w:tc>
          <w:tcPr>
            <w:tcW w:w="680" w:type="dxa"/>
            <w:vAlign w:val="bottom"/>
          </w:tcPr>
          <w:p>
            <w:pPr>
              <w:jc w:val="center"/>
              <w:ind w:right="155"/>
              <w:spacing w:after="0"/>
              <w:rPr>
                <w:sz w:val="20"/>
                <w:szCs w:val="20"/>
                <w:color w:val="auto"/>
              </w:rPr>
            </w:pPr>
            <w:r>
              <w:rPr>
                <w:rFonts w:ascii="Arial" w:cs="Arial" w:eastAsia="Arial" w:hAnsi="Arial"/>
                <w:sz w:val="17"/>
                <w:szCs w:val="17"/>
                <w:color w:val="auto"/>
              </w:rPr>
              <w:t>S-1/A</w:t>
            </w:r>
          </w:p>
        </w:tc>
        <w:tc>
          <w:tcPr>
            <w:tcW w:w="1440" w:type="dxa"/>
            <w:vAlign w:val="bottom"/>
          </w:tcPr>
          <w:p>
            <w:pPr>
              <w:jc w:val="center"/>
              <w:spacing w:after="0"/>
              <w:rPr>
                <w:sz w:val="20"/>
                <w:szCs w:val="20"/>
                <w:color w:val="auto"/>
              </w:rPr>
            </w:pPr>
            <w:r>
              <w:rPr>
                <w:rFonts w:ascii="Arial" w:cs="Arial" w:eastAsia="Arial" w:hAnsi="Arial"/>
                <w:sz w:val="17"/>
                <w:szCs w:val="17"/>
                <w:color w:val="auto"/>
              </w:rPr>
              <w:t>333-237212</w:t>
            </w:r>
          </w:p>
        </w:tc>
        <w:tc>
          <w:tcPr>
            <w:tcW w:w="920" w:type="dxa"/>
            <w:vAlign w:val="bottom"/>
          </w:tcPr>
          <w:p>
            <w:pPr>
              <w:jc w:val="center"/>
              <w:spacing w:after="0"/>
              <w:rPr>
                <w:sz w:val="20"/>
                <w:szCs w:val="20"/>
                <w:color w:val="auto"/>
              </w:rPr>
            </w:pPr>
            <w:r>
              <w:rPr>
                <w:rFonts w:ascii="Arial" w:cs="Arial" w:eastAsia="Arial" w:hAnsi="Arial"/>
                <w:sz w:val="17"/>
                <w:szCs w:val="17"/>
                <w:color w:val="auto"/>
                <w:w w:val="98"/>
              </w:rPr>
              <w:t>10.17</w:t>
            </w:r>
          </w:p>
        </w:tc>
        <w:tc>
          <w:tcPr>
            <w:tcW w:w="1540" w:type="dxa"/>
            <w:vAlign w:val="bottom"/>
          </w:tcPr>
          <w:p>
            <w:pPr>
              <w:jc w:val="center"/>
              <w:ind w:left="135"/>
              <w:spacing w:after="0"/>
              <w:rPr>
                <w:sz w:val="20"/>
                <w:szCs w:val="20"/>
                <w:color w:val="auto"/>
              </w:rPr>
            </w:pPr>
            <w:r>
              <w:rPr>
                <w:rFonts w:ascii="Arial" w:cs="Arial" w:eastAsia="Arial" w:hAnsi="Arial"/>
                <w:sz w:val="17"/>
                <w:szCs w:val="17"/>
                <w:color w:val="auto"/>
              </w:rPr>
              <w:t>April 1, 2020</w:t>
            </w:r>
          </w:p>
        </w:tc>
      </w:tr>
      <w:tr>
        <w:trPr>
          <w:trHeight w:val="591"/>
        </w:trPr>
        <w:tc>
          <w:tcPr>
            <w:tcW w:w="680" w:type="dxa"/>
            <w:vAlign w:val="bottom"/>
          </w:tcPr>
          <w:p>
            <w:pPr>
              <w:jc w:val="center"/>
              <w:ind w:right="155"/>
              <w:spacing w:after="0"/>
              <w:rPr>
                <w:sz w:val="20"/>
                <w:szCs w:val="20"/>
                <w:color w:val="auto"/>
              </w:rPr>
            </w:pPr>
            <w:r>
              <w:rPr>
                <w:rFonts w:ascii="Arial" w:cs="Arial" w:eastAsia="Arial" w:hAnsi="Arial"/>
                <w:sz w:val="17"/>
                <w:szCs w:val="17"/>
                <w:color w:val="auto"/>
              </w:rPr>
              <w:t>8-K</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001-39264</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540" w:type="dxa"/>
            <w:vAlign w:val="bottom"/>
          </w:tcPr>
          <w:p>
            <w:pPr>
              <w:jc w:val="center"/>
              <w:ind w:left="135"/>
              <w:spacing w:after="0"/>
              <w:rPr>
                <w:sz w:val="20"/>
                <w:szCs w:val="20"/>
                <w:color w:val="auto"/>
              </w:rPr>
            </w:pPr>
            <w:r>
              <w:rPr>
                <w:rFonts w:ascii="Arial" w:cs="Arial" w:eastAsia="Arial" w:hAnsi="Arial"/>
                <w:sz w:val="17"/>
                <w:szCs w:val="17"/>
                <w:color w:val="auto"/>
              </w:rPr>
              <w:t>August 2, 2021</w:t>
            </w:r>
          </w:p>
        </w:tc>
      </w:tr>
      <w:tr>
        <w:trPr>
          <w:trHeight w:val="591"/>
        </w:trPr>
        <w:tc>
          <w:tcPr>
            <w:tcW w:w="680" w:type="dxa"/>
            <w:vAlign w:val="bottom"/>
          </w:tcPr>
          <w:p>
            <w:pPr>
              <w:jc w:val="center"/>
              <w:ind w:right="155"/>
              <w:spacing w:after="0"/>
              <w:rPr>
                <w:sz w:val="20"/>
                <w:szCs w:val="20"/>
                <w:color w:val="auto"/>
              </w:rPr>
            </w:pPr>
            <w:r>
              <w:rPr>
                <w:rFonts w:ascii="Arial" w:cs="Arial" w:eastAsia="Arial" w:hAnsi="Arial"/>
                <w:sz w:val="17"/>
                <w:szCs w:val="17"/>
                <w:color w:val="auto"/>
              </w:rPr>
              <w:t>8-K</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001-39264</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10.2</w:t>
            </w:r>
          </w:p>
        </w:tc>
        <w:tc>
          <w:tcPr>
            <w:tcW w:w="1540" w:type="dxa"/>
            <w:vAlign w:val="bottom"/>
          </w:tcPr>
          <w:p>
            <w:pPr>
              <w:jc w:val="center"/>
              <w:ind w:left="135"/>
              <w:spacing w:after="0"/>
              <w:rPr>
                <w:sz w:val="20"/>
                <w:szCs w:val="20"/>
                <w:color w:val="auto"/>
              </w:rPr>
            </w:pPr>
            <w:r>
              <w:rPr>
                <w:rFonts w:ascii="Arial" w:cs="Arial" w:eastAsia="Arial" w:hAnsi="Arial"/>
                <w:sz w:val="17"/>
                <w:szCs w:val="17"/>
                <w:color w:val="auto"/>
              </w:rPr>
              <w:t>August 2, 2021</w:t>
            </w:r>
          </w:p>
        </w:tc>
      </w:tr>
      <w:tr>
        <w:trPr>
          <w:trHeight w:val="591"/>
        </w:trPr>
        <w:tc>
          <w:tcPr>
            <w:tcW w:w="680" w:type="dxa"/>
            <w:vAlign w:val="bottom"/>
          </w:tcPr>
          <w:p>
            <w:pPr>
              <w:jc w:val="center"/>
              <w:ind w:right="155"/>
              <w:spacing w:after="0"/>
              <w:rPr>
                <w:sz w:val="20"/>
                <w:szCs w:val="20"/>
                <w:color w:val="auto"/>
              </w:rPr>
            </w:pPr>
            <w:r>
              <w:rPr>
                <w:rFonts w:ascii="Arial" w:cs="Arial" w:eastAsia="Arial" w:hAnsi="Arial"/>
                <w:sz w:val="17"/>
                <w:szCs w:val="17"/>
                <w:color w:val="auto"/>
              </w:rPr>
              <w:t>8-K</w:t>
            </w:r>
          </w:p>
        </w:tc>
        <w:tc>
          <w:tcPr>
            <w:tcW w:w="1440" w:type="dxa"/>
            <w:vAlign w:val="bottom"/>
          </w:tcPr>
          <w:p>
            <w:pPr>
              <w:jc w:val="center"/>
              <w:spacing w:after="0"/>
              <w:rPr>
                <w:sz w:val="20"/>
                <w:szCs w:val="20"/>
                <w:color w:val="auto"/>
              </w:rPr>
            </w:pPr>
            <w:r>
              <w:rPr>
                <w:rFonts w:ascii="Arial" w:cs="Arial" w:eastAsia="Arial" w:hAnsi="Arial"/>
                <w:sz w:val="17"/>
                <w:szCs w:val="17"/>
                <w:color w:val="auto"/>
                <w:w w:val="98"/>
              </w:rPr>
              <w:t>001-39264</w:t>
            </w: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540" w:type="dxa"/>
            <w:vAlign w:val="bottom"/>
          </w:tcPr>
          <w:p>
            <w:pPr>
              <w:jc w:val="center"/>
              <w:ind w:left="135"/>
              <w:spacing w:after="0"/>
              <w:rPr>
                <w:sz w:val="20"/>
                <w:szCs w:val="20"/>
                <w:color w:val="auto"/>
              </w:rPr>
            </w:pPr>
            <w:r>
              <w:rPr>
                <w:rFonts w:ascii="Arial" w:cs="Arial" w:eastAsia="Arial" w:hAnsi="Arial"/>
                <w:sz w:val="17"/>
                <w:szCs w:val="17"/>
                <w:color w:val="auto"/>
              </w:rPr>
              <w:t>January 31,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
        <w:spacing w:after="0"/>
        <w:tabs>
          <w:tab w:leader="none" w:pos="960" w:val="left"/>
          <w:tab w:leader="none" w:pos="2420" w:val="left"/>
          <w:tab w:leader="none" w:pos="320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001-39264</w:t>
      </w:r>
      <w:r>
        <w:rPr>
          <w:sz w:val="20"/>
          <w:szCs w:val="20"/>
          <w:color w:val="auto"/>
        </w:rPr>
        <w:tab/>
      </w: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November 4, 2021</w:t>
      </w:r>
    </w:p>
    <w:p>
      <w:pPr>
        <w:sectPr>
          <w:pgSz w:w="11900" w:h="16838" w:orient="portrait"/>
          <w:cols w:equalWidth="0" w:num="2">
            <w:col w:w="5740" w:space="280"/>
            <w:col w:w="4620"/>
          </w:cols>
          <w:pgMar w:left="340" w:top="883" w:right="919" w:bottom="1440" w:gutter="0" w:footer="0" w:header="0"/>
        </w:sectPr>
      </w:pPr>
    </w:p>
    <w:bookmarkStart w:id="110" w:name="page111"/>
    <w:bookmarkEnd w:id="110"/>
    <w:p>
      <w:pPr>
        <w:ind w:left="20"/>
        <w:spacing w:after="0"/>
        <w:rPr>
          <w:sz w:val="20"/>
          <w:szCs w:val="20"/>
          <w:color w:val="auto"/>
        </w:rPr>
      </w:pPr>
      <w:r>
        <w:rPr>
          <w:rFonts w:ascii="Arial" w:cs="Arial" w:eastAsia="Arial" w:hAnsi="Arial"/>
          <w:sz w:val="17"/>
          <w:szCs w:val="17"/>
          <w:color w:val="auto"/>
        </w:rPr>
        <w:t>31.1*</w:t>
      </w:r>
    </w:p>
    <w:tbl>
      <w:tblPr>
        <w:tblLayout w:type="fixed"/>
        <w:tblInd w:w="2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660" w:type="dxa"/>
            <w:vAlign w:val="bottom"/>
            <w:gridSpan w:val="10"/>
          </w:tcPr>
          <w:p>
            <w:pPr>
              <w:spacing w:after="0" w:line="167" w:lineRule="exact"/>
              <w:rPr>
                <w:rFonts w:ascii="Arial" w:cs="Arial" w:eastAsia="Arial" w:hAnsi="Arial"/>
                <w:sz w:val="17"/>
                <w:szCs w:val="17"/>
                <w:color w:val="0000FF"/>
              </w:rPr>
            </w:pPr>
            <w:hyperlink w:anchor="page212">
              <w:r>
                <w:rPr>
                  <w:rFonts w:ascii="Arial" w:cs="Arial" w:eastAsia="Arial" w:hAnsi="Arial"/>
                  <w:sz w:val="17"/>
                  <w:szCs w:val="17"/>
                  <w:color w:val="0000FF"/>
                </w:rPr>
                <w:t>Certification of Principal Executive Officer Pursuant to Rules</w:t>
              </w:r>
            </w:hyperlink>
          </w:p>
        </w:tc>
      </w:tr>
      <w:tr>
        <w:trPr>
          <w:trHeight w:val="141"/>
        </w:trPr>
        <w:tc>
          <w:tcPr>
            <w:tcW w:w="1140" w:type="dxa"/>
            <w:vAlign w:val="bottom"/>
          </w:tcPr>
          <w:p>
            <w:pPr>
              <w:spacing w:after="0"/>
              <w:rPr>
                <w:sz w:val="12"/>
                <w:szCs w:val="12"/>
                <w:color w:val="auto"/>
              </w:rPr>
            </w:pPr>
          </w:p>
        </w:tc>
        <w:tc>
          <w:tcPr>
            <w:tcW w:w="4520" w:type="dxa"/>
            <w:vAlign w:val="bottom"/>
            <w:tcBorders>
              <w:top w:val="single" w:sz="8" w:color="0000FF"/>
            </w:tcBorders>
            <w:gridSpan w:val="8"/>
          </w:tcPr>
          <w:p>
            <w:pPr>
              <w:spacing w:after="0" w:line="141" w:lineRule="exact"/>
              <w:rPr>
                <w:rFonts w:ascii="Arial" w:cs="Arial" w:eastAsia="Arial" w:hAnsi="Arial"/>
                <w:sz w:val="16"/>
                <w:szCs w:val="16"/>
                <w:color w:val="0000FF"/>
              </w:rPr>
            </w:pPr>
            <w:hyperlink w:anchor="page212">
              <w:r>
                <w:rPr>
                  <w:rFonts w:ascii="Arial" w:cs="Arial" w:eastAsia="Arial" w:hAnsi="Arial"/>
                  <w:sz w:val="16"/>
                  <w:szCs w:val="16"/>
                  <w:color w:val="0000FF"/>
                </w:rPr>
                <w:t>13a-14(a) and 15d-14(a) under the Securities Exchange Act</w:t>
              </w:r>
            </w:hyperlink>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1140" w:type="dxa"/>
            <w:vAlign w:val="bottom"/>
          </w:tcPr>
          <w:p>
            <w:pPr>
              <w:spacing w:after="0"/>
              <w:rPr>
                <w:sz w:val="12"/>
                <w:szCs w:val="12"/>
                <w:color w:val="auto"/>
              </w:rPr>
            </w:pPr>
          </w:p>
        </w:tc>
        <w:tc>
          <w:tcPr>
            <w:tcW w:w="4500" w:type="dxa"/>
            <w:vAlign w:val="bottom"/>
            <w:tcBorders>
              <w:top w:val="single" w:sz="8" w:color="0000FF"/>
            </w:tcBorders>
            <w:gridSpan w:val="7"/>
          </w:tcPr>
          <w:p>
            <w:pPr>
              <w:spacing w:after="0" w:line="141" w:lineRule="exact"/>
              <w:rPr>
                <w:rFonts w:ascii="Arial" w:cs="Arial" w:eastAsia="Arial" w:hAnsi="Arial"/>
                <w:sz w:val="16"/>
                <w:szCs w:val="16"/>
                <w:color w:val="0000FF"/>
              </w:rPr>
            </w:pPr>
            <w:hyperlink w:anchor="page212">
              <w:r>
                <w:rPr>
                  <w:rFonts w:ascii="Arial" w:cs="Arial" w:eastAsia="Arial" w:hAnsi="Arial"/>
                  <w:sz w:val="16"/>
                  <w:szCs w:val="16"/>
                  <w:color w:val="0000FF"/>
                </w:rPr>
                <w:t>of 1934, as Adopted Pursuant to Section 302 of the</w:t>
              </w:r>
            </w:hyperlink>
          </w:p>
        </w:tc>
        <w:tc>
          <w:tcPr>
            <w:tcW w:w="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114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2"/>
          </w:tcPr>
          <w:p>
            <w:pPr>
              <w:spacing w:after="0" w:line="141" w:lineRule="exact"/>
              <w:rPr>
                <w:rFonts w:ascii="Arial" w:cs="Arial" w:eastAsia="Arial" w:hAnsi="Arial"/>
                <w:sz w:val="16"/>
                <w:szCs w:val="16"/>
                <w:color w:val="0000FF"/>
              </w:rPr>
            </w:pPr>
            <w:hyperlink w:anchor="page212">
              <w:r>
                <w:rPr>
                  <w:rFonts w:ascii="Arial" w:cs="Arial" w:eastAsia="Arial" w:hAnsi="Arial"/>
                  <w:sz w:val="16"/>
                  <w:szCs w:val="16"/>
                  <w:color w:val="0000FF"/>
                </w:rPr>
                <w:t>Sarbanes-Oxley Act of 2002.</w:t>
              </w:r>
            </w:hyperlink>
          </w:p>
        </w:tc>
        <w:tc>
          <w:tcPr>
            <w:tcW w:w="16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31.2*</w:t>
            </w:r>
          </w:p>
        </w:tc>
        <w:tc>
          <w:tcPr>
            <w:tcW w:w="4660" w:type="dxa"/>
            <w:vAlign w:val="bottom"/>
            <w:gridSpan w:val="10"/>
          </w:tcPr>
          <w:p>
            <w:pPr>
              <w:spacing w:after="0"/>
              <w:rPr>
                <w:rFonts w:ascii="Arial" w:cs="Arial" w:eastAsia="Arial" w:hAnsi="Arial"/>
                <w:sz w:val="17"/>
                <w:szCs w:val="17"/>
                <w:color w:val="0000FF"/>
              </w:rPr>
            </w:pPr>
            <w:hyperlink w:anchor="page213">
              <w:r>
                <w:rPr>
                  <w:rFonts w:ascii="Arial" w:cs="Arial" w:eastAsia="Arial" w:hAnsi="Arial"/>
                  <w:sz w:val="17"/>
                  <w:szCs w:val="17"/>
                  <w:color w:val="0000FF"/>
                </w:rPr>
                <w:t>Certification of Principal Financial Officer Pursuant to Rules</w:t>
              </w:r>
            </w:hyperlink>
          </w:p>
        </w:tc>
      </w:tr>
      <w:tr>
        <w:trPr>
          <w:trHeight w:val="141"/>
        </w:trPr>
        <w:tc>
          <w:tcPr>
            <w:tcW w:w="1140" w:type="dxa"/>
            <w:vAlign w:val="bottom"/>
          </w:tcPr>
          <w:p>
            <w:pPr>
              <w:spacing w:after="0"/>
              <w:rPr>
                <w:sz w:val="12"/>
                <w:szCs w:val="12"/>
                <w:color w:val="auto"/>
              </w:rPr>
            </w:pPr>
          </w:p>
        </w:tc>
        <w:tc>
          <w:tcPr>
            <w:tcW w:w="4460" w:type="dxa"/>
            <w:vAlign w:val="bottom"/>
            <w:tcBorders>
              <w:top w:val="single" w:sz="8" w:color="0000FF"/>
            </w:tcBorders>
            <w:gridSpan w:val="6"/>
          </w:tcPr>
          <w:p>
            <w:pPr>
              <w:spacing w:after="0" w:line="141" w:lineRule="exact"/>
              <w:rPr>
                <w:rFonts w:ascii="Arial" w:cs="Arial" w:eastAsia="Arial" w:hAnsi="Arial"/>
                <w:sz w:val="16"/>
                <w:szCs w:val="16"/>
                <w:color w:val="0000FF"/>
              </w:rPr>
            </w:pPr>
            <w:hyperlink w:anchor="page213">
              <w:r>
                <w:rPr>
                  <w:rFonts w:ascii="Arial" w:cs="Arial" w:eastAsia="Arial" w:hAnsi="Arial"/>
                  <w:sz w:val="16"/>
                  <w:szCs w:val="16"/>
                  <w:color w:val="0000FF"/>
                </w:rPr>
                <w:t>13a-14(a) and 15d-14(a) under the Securities Exchange Act</w:t>
              </w:r>
            </w:hyperlink>
          </w:p>
        </w:tc>
        <w:tc>
          <w:tcPr>
            <w:tcW w:w="8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1140" w:type="dxa"/>
            <w:vAlign w:val="bottom"/>
          </w:tcPr>
          <w:p>
            <w:pPr>
              <w:spacing w:after="0"/>
              <w:rPr>
                <w:sz w:val="12"/>
                <w:szCs w:val="12"/>
                <w:color w:val="auto"/>
              </w:rPr>
            </w:pPr>
          </w:p>
        </w:tc>
        <w:tc>
          <w:tcPr>
            <w:tcW w:w="4500" w:type="dxa"/>
            <w:vAlign w:val="bottom"/>
            <w:tcBorders>
              <w:top w:val="single" w:sz="8" w:color="0000FF"/>
            </w:tcBorders>
            <w:gridSpan w:val="7"/>
          </w:tcPr>
          <w:p>
            <w:pPr>
              <w:spacing w:after="0" w:line="141" w:lineRule="exact"/>
              <w:rPr>
                <w:rFonts w:ascii="Arial" w:cs="Arial" w:eastAsia="Arial" w:hAnsi="Arial"/>
                <w:sz w:val="16"/>
                <w:szCs w:val="16"/>
                <w:color w:val="0000FF"/>
              </w:rPr>
            </w:pPr>
            <w:hyperlink w:anchor="page213">
              <w:r>
                <w:rPr>
                  <w:rFonts w:ascii="Arial" w:cs="Arial" w:eastAsia="Arial" w:hAnsi="Arial"/>
                  <w:sz w:val="16"/>
                  <w:szCs w:val="16"/>
                  <w:color w:val="0000FF"/>
                </w:rPr>
                <w:t>of 1934, as Adopted Pursuant to Section 302 of the</w:t>
              </w:r>
            </w:hyperlink>
          </w:p>
        </w:tc>
        <w:tc>
          <w:tcPr>
            <w:tcW w:w="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r>
      <w:tr>
        <w:trPr>
          <w:trHeight w:val="141"/>
        </w:trPr>
        <w:tc>
          <w:tcPr>
            <w:tcW w:w="1140" w:type="dxa"/>
            <w:vAlign w:val="bottom"/>
          </w:tcPr>
          <w:p>
            <w:pPr>
              <w:spacing w:after="0"/>
              <w:rPr>
                <w:sz w:val="12"/>
                <w:szCs w:val="12"/>
                <w:color w:val="auto"/>
              </w:rPr>
            </w:pPr>
          </w:p>
        </w:tc>
        <w:tc>
          <w:tcPr>
            <w:tcW w:w="2180" w:type="dxa"/>
            <w:vAlign w:val="bottom"/>
            <w:tcBorders>
              <w:top w:val="single" w:sz="8" w:color="0000FF"/>
              <w:bottom w:val="single" w:sz="8" w:color="0000FF"/>
            </w:tcBorders>
            <w:gridSpan w:val="2"/>
          </w:tcPr>
          <w:p>
            <w:pPr>
              <w:spacing w:after="0" w:line="141" w:lineRule="exact"/>
              <w:rPr>
                <w:rFonts w:ascii="Arial" w:cs="Arial" w:eastAsia="Arial" w:hAnsi="Arial"/>
                <w:sz w:val="16"/>
                <w:szCs w:val="16"/>
                <w:color w:val="0000FF"/>
              </w:rPr>
            </w:pPr>
            <w:hyperlink w:anchor="page213">
              <w:r>
                <w:rPr>
                  <w:rFonts w:ascii="Arial" w:cs="Arial" w:eastAsia="Arial" w:hAnsi="Arial"/>
                  <w:sz w:val="16"/>
                  <w:szCs w:val="16"/>
                  <w:color w:val="0000FF"/>
                </w:rPr>
                <w:t>Sarbanes-Oxley Act of 2002.</w:t>
              </w:r>
            </w:hyperlink>
          </w:p>
        </w:tc>
        <w:tc>
          <w:tcPr>
            <w:tcW w:w="16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r>
      <w:tr>
        <w:trPr>
          <w:trHeight w:val="248"/>
        </w:trPr>
        <w:tc>
          <w:tcPr>
            <w:tcW w:w="1140" w:type="dxa"/>
            <w:vAlign w:val="bottom"/>
          </w:tcPr>
          <w:p>
            <w:pPr>
              <w:spacing w:after="0"/>
              <w:rPr>
                <w:sz w:val="20"/>
                <w:szCs w:val="20"/>
                <w:color w:val="auto"/>
              </w:rPr>
            </w:pPr>
            <w:r>
              <w:rPr>
                <w:rFonts w:ascii="Arial" w:cs="Arial" w:eastAsia="Arial" w:hAnsi="Arial"/>
                <w:sz w:val="17"/>
                <w:szCs w:val="17"/>
                <w:color w:val="auto"/>
              </w:rPr>
              <w:t>32.1**</w:t>
            </w:r>
          </w:p>
        </w:tc>
        <w:tc>
          <w:tcPr>
            <w:tcW w:w="4660" w:type="dxa"/>
            <w:vAlign w:val="bottom"/>
            <w:gridSpan w:val="10"/>
          </w:tcPr>
          <w:p>
            <w:pPr>
              <w:spacing w:after="0"/>
              <w:rPr>
                <w:rFonts w:ascii="Arial" w:cs="Arial" w:eastAsia="Arial" w:hAnsi="Arial"/>
                <w:sz w:val="17"/>
                <w:szCs w:val="17"/>
                <w:color w:val="0000FF"/>
              </w:rPr>
            </w:pPr>
            <w:hyperlink w:anchor="page214">
              <w:r>
                <w:rPr>
                  <w:rFonts w:ascii="Arial" w:cs="Arial" w:eastAsia="Arial" w:hAnsi="Arial"/>
                  <w:sz w:val="17"/>
                  <w:szCs w:val="17"/>
                  <w:color w:val="0000FF"/>
                </w:rPr>
                <w:t>Certification of Principal Executive Officer and Principal</w:t>
              </w:r>
            </w:hyperlink>
          </w:p>
        </w:tc>
      </w:tr>
      <w:tr>
        <w:trPr>
          <w:trHeight w:val="20"/>
        </w:trPr>
        <w:tc>
          <w:tcPr>
            <w:tcW w:w="11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1140" w:type="dxa"/>
            <w:vAlign w:val="bottom"/>
          </w:tcPr>
          <w:p>
            <w:pPr>
              <w:spacing w:after="0"/>
              <w:rPr>
                <w:sz w:val="11"/>
                <w:szCs w:val="11"/>
                <w:color w:val="auto"/>
              </w:rPr>
            </w:pPr>
          </w:p>
        </w:tc>
        <w:tc>
          <w:tcPr>
            <w:tcW w:w="4660" w:type="dxa"/>
            <w:vAlign w:val="bottom"/>
            <w:gridSpan w:val="10"/>
          </w:tcPr>
          <w:p>
            <w:pPr>
              <w:spacing w:after="0" w:line="135" w:lineRule="exact"/>
              <w:rPr>
                <w:rFonts w:ascii="Arial" w:cs="Arial" w:eastAsia="Arial" w:hAnsi="Arial"/>
                <w:sz w:val="15"/>
                <w:szCs w:val="15"/>
                <w:color w:val="0000FF"/>
              </w:rPr>
            </w:pPr>
            <w:hyperlink w:anchor="page214">
              <w:r>
                <w:rPr>
                  <w:rFonts w:ascii="Arial" w:cs="Arial" w:eastAsia="Arial" w:hAnsi="Arial"/>
                  <w:sz w:val="15"/>
                  <w:szCs w:val="15"/>
                  <w:color w:val="0000FF"/>
                </w:rPr>
                <w:t>Financial Officer Pursuant to 18 U.S.C. Section 1350, as</w:t>
              </w:r>
            </w:hyperlink>
          </w:p>
        </w:tc>
      </w:tr>
      <w:tr>
        <w:trPr>
          <w:trHeight w:val="147"/>
        </w:trPr>
        <w:tc>
          <w:tcPr>
            <w:tcW w:w="1140" w:type="dxa"/>
            <w:vAlign w:val="bottom"/>
          </w:tcPr>
          <w:p>
            <w:pPr>
              <w:spacing w:after="0"/>
              <w:rPr>
                <w:sz w:val="12"/>
                <w:szCs w:val="12"/>
                <w:color w:val="auto"/>
              </w:rPr>
            </w:pPr>
          </w:p>
        </w:tc>
        <w:tc>
          <w:tcPr>
            <w:tcW w:w="4240" w:type="dxa"/>
            <w:vAlign w:val="bottom"/>
            <w:tcBorders>
              <w:top w:val="single" w:sz="8" w:color="0000FF"/>
            </w:tcBorders>
            <w:gridSpan w:val="5"/>
          </w:tcPr>
          <w:p>
            <w:pPr>
              <w:spacing w:after="0" w:line="147" w:lineRule="exact"/>
              <w:rPr>
                <w:rFonts w:ascii="Arial" w:cs="Arial" w:eastAsia="Arial" w:hAnsi="Arial"/>
                <w:sz w:val="17"/>
                <w:szCs w:val="17"/>
                <w:color w:val="0000FF"/>
                <w:w w:val="99"/>
              </w:rPr>
            </w:pPr>
            <w:hyperlink w:anchor="page214">
              <w:r>
                <w:rPr>
                  <w:rFonts w:ascii="Arial" w:cs="Arial" w:eastAsia="Arial" w:hAnsi="Arial"/>
                  <w:sz w:val="17"/>
                  <w:szCs w:val="17"/>
                  <w:color w:val="0000FF"/>
                  <w:w w:val="99"/>
                </w:rPr>
                <w:t>Adopted Pursuant to Section 906 of the Sarbanes-Oxley</w:t>
              </w:r>
            </w:hyperlink>
          </w:p>
        </w:tc>
        <w:tc>
          <w:tcPr>
            <w:tcW w:w="420" w:type="dxa"/>
            <w:vAlign w:val="bottom"/>
            <w:gridSpan w:val="5"/>
          </w:tcPr>
          <w:p>
            <w:pPr>
              <w:ind w:left="40"/>
              <w:spacing w:after="0" w:line="147" w:lineRule="exact"/>
              <w:rPr>
                <w:rFonts w:ascii="Arial" w:cs="Arial" w:eastAsia="Arial" w:hAnsi="Arial"/>
                <w:sz w:val="17"/>
                <w:szCs w:val="17"/>
                <w:color w:val="0000FF"/>
              </w:rPr>
            </w:pPr>
            <w:hyperlink w:anchor="page214">
              <w:r>
                <w:rPr>
                  <w:rFonts w:ascii="Arial" w:cs="Arial" w:eastAsia="Arial" w:hAnsi="Arial"/>
                  <w:sz w:val="17"/>
                  <w:szCs w:val="17"/>
                  <w:color w:val="0000FF"/>
                </w:rPr>
                <w:t>Act</w:t>
              </w:r>
            </w:hyperlink>
          </w:p>
        </w:tc>
      </w:tr>
      <w:tr>
        <w:trPr>
          <w:trHeight w:val="141"/>
        </w:trPr>
        <w:tc>
          <w:tcPr>
            <w:tcW w:w="1140" w:type="dxa"/>
            <w:vAlign w:val="bottom"/>
          </w:tcPr>
          <w:p>
            <w:pPr>
              <w:spacing w:after="0"/>
              <w:rPr>
                <w:sz w:val="12"/>
                <w:szCs w:val="12"/>
                <w:color w:val="auto"/>
              </w:rPr>
            </w:pPr>
          </w:p>
        </w:tc>
        <w:tc>
          <w:tcPr>
            <w:tcW w:w="620" w:type="dxa"/>
            <w:vAlign w:val="bottom"/>
            <w:tcBorders>
              <w:top w:val="single" w:sz="8" w:color="0000FF"/>
              <w:bottom w:val="single" w:sz="8" w:color="0000FF"/>
            </w:tcBorders>
          </w:tcPr>
          <w:p>
            <w:pPr>
              <w:spacing w:after="0" w:line="141" w:lineRule="exact"/>
              <w:rPr>
                <w:rFonts w:ascii="Arial" w:cs="Arial" w:eastAsia="Arial" w:hAnsi="Arial"/>
                <w:sz w:val="16"/>
                <w:szCs w:val="16"/>
                <w:color w:val="0000FF"/>
              </w:rPr>
            </w:pPr>
            <w:hyperlink w:anchor="page214">
              <w:r>
                <w:rPr>
                  <w:rFonts w:ascii="Arial" w:cs="Arial" w:eastAsia="Arial" w:hAnsi="Arial"/>
                  <w:sz w:val="16"/>
                  <w:szCs w:val="16"/>
                  <w:color w:val="0000FF"/>
                </w:rPr>
                <w:t>of 2002.</w:t>
              </w:r>
            </w:hyperlink>
          </w:p>
        </w:tc>
        <w:tc>
          <w:tcPr>
            <w:tcW w:w="3920" w:type="dxa"/>
            <w:vAlign w:val="bottom"/>
            <w:tcBorders>
              <w:top w:val="single" w:sz="8" w:color="0000FF"/>
            </w:tcBorders>
            <w:gridSpan w:val="8"/>
          </w:tcPr>
          <w:p>
            <w:pPr>
              <w:spacing w:after="0"/>
              <w:rPr>
                <w:sz w:val="12"/>
                <w:szCs w:val="12"/>
                <w:color w:val="auto"/>
              </w:rPr>
            </w:pPr>
          </w:p>
        </w:tc>
        <w:tc>
          <w:tcPr>
            <w:tcW w:w="120" w:type="dxa"/>
            <w:vAlign w:val="bottom"/>
          </w:tcPr>
          <w:p>
            <w:pPr>
              <w:spacing w:after="0"/>
              <w:rPr>
                <w:sz w:val="12"/>
                <w:szCs w:val="12"/>
                <w:color w:val="auto"/>
              </w:rPr>
            </w:pPr>
          </w:p>
        </w:tc>
      </w:tr>
      <w:tr>
        <w:trPr>
          <w:trHeight w:val="242"/>
        </w:trPr>
        <w:tc>
          <w:tcPr>
            <w:tcW w:w="1140" w:type="dxa"/>
            <w:vAlign w:val="bottom"/>
          </w:tcPr>
          <w:p>
            <w:pPr>
              <w:spacing w:after="0"/>
              <w:rPr>
                <w:sz w:val="20"/>
                <w:szCs w:val="20"/>
                <w:color w:val="auto"/>
              </w:rPr>
            </w:pPr>
            <w:r>
              <w:rPr>
                <w:rFonts w:ascii="Arial" w:cs="Arial" w:eastAsia="Arial" w:hAnsi="Arial"/>
                <w:sz w:val="17"/>
                <w:szCs w:val="17"/>
                <w:color w:val="auto"/>
              </w:rPr>
              <w:t>101.INS</w:t>
            </w:r>
          </w:p>
        </w:tc>
        <w:tc>
          <w:tcPr>
            <w:tcW w:w="4660" w:type="dxa"/>
            <w:vAlign w:val="bottom"/>
            <w:gridSpan w:val="10"/>
          </w:tcPr>
          <w:p>
            <w:pPr>
              <w:spacing w:after="0"/>
              <w:rPr>
                <w:sz w:val="20"/>
                <w:szCs w:val="20"/>
                <w:color w:val="auto"/>
              </w:rPr>
            </w:pPr>
            <w:r>
              <w:rPr>
                <w:rFonts w:ascii="Arial" w:cs="Arial" w:eastAsia="Arial" w:hAnsi="Arial"/>
                <w:sz w:val="17"/>
                <w:szCs w:val="17"/>
                <w:color w:val="auto"/>
              </w:rPr>
              <w:t>Inline XBRL Instance Document - the instance document</w:t>
            </w:r>
          </w:p>
        </w:tc>
      </w:tr>
      <w:tr>
        <w:trPr>
          <w:trHeight w:val="161"/>
        </w:trPr>
        <w:tc>
          <w:tcPr>
            <w:tcW w:w="1140" w:type="dxa"/>
            <w:vAlign w:val="bottom"/>
          </w:tcPr>
          <w:p>
            <w:pPr>
              <w:spacing w:after="0"/>
              <w:rPr>
                <w:sz w:val="14"/>
                <w:szCs w:val="14"/>
                <w:color w:val="auto"/>
              </w:rPr>
            </w:pPr>
          </w:p>
        </w:tc>
        <w:tc>
          <w:tcPr>
            <w:tcW w:w="4660" w:type="dxa"/>
            <w:vAlign w:val="bottom"/>
            <w:gridSpan w:val="10"/>
          </w:tcPr>
          <w:p>
            <w:pPr>
              <w:spacing w:after="0" w:line="161" w:lineRule="exact"/>
              <w:rPr>
                <w:sz w:val="20"/>
                <w:szCs w:val="20"/>
                <w:color w:val="auto"/>
              </w:rPr>
            </w:pPr>
            <w:r>
              <w:rPr>
                <w:rFonts w:ascii="Arial" w:cs="Arial" w:eastAsia="Arial" w:hAnsi="Arial"/>
                <w:sz w:val="17"/>
                <w:szCs w:val="17"/>
                <w:color w:val="auto"/>
                <w:w w:val="99"/>
              </w:rPr>
              <w:t>does not appear in the Interactive Data File because its XBRL</w:t>
            </w:r>
          </w:p>
        </w:tc>
      </w:tr>
      <w:tr>
        <w:trPr>
          <w:trHeight w:val="204"/>
        </w:trPr>
        <w:tc>
          <w:tcPr>
            <w:tcW w:w="1140" w:type="dxa"/>
            <w:vAlign w:val="bottom"/>
          </w:tcPr>
          <w:p>
            <w:pPr>
              <w:spacing w:after="0"/>
              <w:rPr>
                <w:sz w:val="17"/>
                <w:szCs w:val="17"/>
                <w:color w:val="auto"/>
              </w:rPr>
            </w:pPr>
          </w:p>
        </w:tc>
        <w:tc>
          <w:tcPr>
            <w:tcW w:w="4660" w:type="dxa"/>
            <w:vAlign w:val="bottom"/>
            <w:gridSpan w:val="10"/>
          </w:tcPr>
          <w:p>
            <w:pPr>
              <w:spacing w:after="0"/>
              <w:rPr>
                <w:sz w:val="20"/>
                <w:szCs w:val="20"/>
                <w:color w:val="auto"/>
              </w:rPr>
            </w:pPr>
            <w:r>
              <w:rPr>
                <w:rFonts w:ascii="Arial" w:cs="Arial" w:eastAsia="Arial" w:hAnsi="Arial"/>
                <w:sz w:val="17"/>
                <w:szCs w:val="17"/>
                <w:color w:val="auto"/>
              </w:rPr>
              <w:t>tags are embedded within the Inline XBRL document</w:t>
            </w:r>
          </w:p>
        </w:tc>
      </w:tr>
      <w:tr>
        <w:trPr>
          <w:trHeight w:val="268"/>
        </w:trPr>
        <w:tc>
          <w:tcPr>
            <w:tcW w:w="1140" w:type="dxa"/>
            <w:vAlign w:val="bottom"/>
          </w:tcPr>
          <w:p>
            <w:pPr>
              <w:spacing w:after="0"/>
              <w:rPr>
                <w:sz w:val="20"/>
                <w:szCs w:val="20"/>
                <w:color w:val="auto"/>
              </w:rPr>
            </w:pPr>
            <w:r>
              <w:rPr>
                <w:rFonts w:ascii="Arial" w:cs="Arial" w:eastAsia="Arial" w:hAnsi="Arial"/>
                <w:sz w:val="17"/>
                <w:szCs w:val="17"/>
                <w:color w:val="auto"/>
              </w:rPr>
              <w:t>101.SCH*</w:t>
            </w:r>
          </w:p>
        </w:tc>
        <w:tc>
          <w:tcPr>
            <w:tcW w:w="4660" w:type="dxa"/>
            <w:vAlign w:val="bottom"/>
            <w:gridSpan w:val="10"/>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26"/>
        </w:trPr>
        <w:tc>
          <w:tcPr>
            <w:tcW w:w="1140" w:type="dxa"/>
            <w:vAlign w:val="bottom"/>
          </w:tcPr>
          <w:p>
            <w:pPr>
              <w:spacing w:after="0"/>
              <w:rPr>
                <w:sz w:val="20"/>
                <w:szCs w:val="20"/>
                <w:color w:val="auto"/>
              </w:rPr>
            </w:pPr>
            <w:r>
              <w:rPr>
                <w:rFonts w:ascii="Arial" w:cs="Arial" w:eastAsia="Arial" w:hAnsi="Arial"/>
                <w:sz w:val="17"/>
                <w:szCs w:val="17"/>
                <w:color w:val="auto"/>
              </w:rPr>
              <w:t>101.CAL*</w:t>
            </w:r>
          </w:p>
        </w:tc>
        <w:tc>
          <w:tcPr>
            <w:tcW w:w="4660" w:type="dxa"/>
            <w:vAlign w:val="bottom"/>
            <w:gridSpan w:val="10"/>
          </w:tcPr>
          <w:p>
            <w:pPr>
              <w:spacing w:after="0"/>
              <w:rPr>
                <w:sz w:val="20"/>
                <w:szCs w:val="20"/>
                <w:color w:val="auto"/>
              </w:rPr>
            </w:pPr>
            <w:r>
              <w:rPr>
                <w:rFonts w:ascii="Arial" w:cs="Arial" w:eastAsia="Arial" w:hAnsi="Arial"/>
                <w:sz w:val="17"/>
                <w:szCs w:val="17"/>
                <w:color w:val="auto"/>
              </w:rPr>
              <w:t>Inline XBRL Taxonomy Extension Calculation Linkbase</w:t>
            </w:r>
          </w:p>
        </w:tc>
      </w:tr>
      <w:tr>
        <w:trPr>
          <w:trHeight w:val="204"/>
        </w:trPr>
        <w:tc>
          <w:tcPr>
            <w:tcW w:w="1140" w:type="dxa"/>
            <w:vAlign w:val="bottom"/>
          </w:tcPr>
          <w:p>
            <w:pPr>
              <w:spacing w:after="0"/>
              <w:rPr>
                <w:sz w:val="17"/>
                <w:szCs w:val="17"/>
                <w:color w:val="auto"/>
              </w:rPr>
            </w:pPr>
          </w:p>
        </w:tc>
        <w:tc>
          <w:tcPr>
            <w:tcW w:w="4660" w:type="dxa"/>
            <w:vAlign w:val="bottom"/>
            <w:gridSpan w:val="10"/>
          </w:tcPr>
          <w:p>
            <w:pPr>
              <w:spacing w:after="0"/>
              <w:rPr>
                <w:sz w:val="20"/>
                <w:szCs w:val="20"/>
                <w:color w:val="auto"/>
              </w:rPr>
            </w:pPr>
            <w:r>
              <w:rPr>
                <w:rFonts w:ascii="Arial" w:cs="Arial" w:eastAsia="Arial" w:hAnsi="Arial"/>
                <w:sz w:val="17"/>
                <w:szCs w:val="17"/>
                <w:color w:val="auto"/>
              </w:rPr>
              <w:t>Document</w:t>
            </w:r>
          </w:p>
        </w:tc>
      </w:tr>
      <w:tr>
        <w:trPr>
          <w:trHeight w:val="226"/>
        </w:trPr>
        <w:tc>
          <w:tcPr>
            <w:tcW w:w="1140" w:type="dxa"/>
            <w:vAlign w:val="bottom"/>
          </w:tcPr>
          <w:p>
            <w:pPr>
              <w:spacing w:after="0"/>
              <w:rPr>
                <w:sz w:val="20"/>
                <w:szCs w:val="20"/>
                <w:color w:val="auto"/>
              </w:rPr>
            </w:pPr>
            <w:r>
              <w:rPr>
                <w:rFonts w:ascii="Arial" w:cs="Arial" w:eastAsia="Arial" w:hAnsi="Arial"/>
                <w:sz w:val="17"/>
                <w:szCs w:val="17"/>
                <w:color w:val="auto"/>
              </w:rPr>
              <w:t>101.DEF*</w:t>
            </w:r>
          </w:p>
        </w:tc>
        <w:tc>
          <w:tcPr>
            <w:tcW w:w="4660" w:type="dxa"/>
            <w:vAlign w:val="bottom"/>
            <w:gridSpan w:val="10"/>
          </w:tcPr>
          <w:p>
            <w:pPr>
              <w:spacing w:after="0"/>
              <w:rPr>
                <w:sz w:val="20"/>
                <w:szCs w:val="20"/>
                <w:color w:val="auto"/>
              </w:rPr>
            </w:pPr>
            <w:r>
              <w:rPr>
                <w:rFonts w:ascii="Arial" w:cs="Arial" w:eastAsia="Arial" w:hAnsi="Arial"/>
                <w:sz w:val="17"/>
                <w:szCs w:val="17"/>
                <w:color w:val="auto"/>
              </w:rPr>
              <w:t>Inline XBRL Taxonomy Extension Definition Linkbase</w:t>
            </w:r>
          </w:p>
        </w:tc>
      </w:tr>
      <w:tr>
        <w:trPr>
          <w:trHeight w:val="204"/>
        </w:trPr>
        <w:tc>
          <w:tcPr>
            <w:tcW w:w="1140" w:type="dxa"/>
            <w:vAlign w:val="bottom"/>
          </w:tcPr>
          <w:p>
            <w:pPr>
              <w:spacing w:after="0"/>
              <w:rPr>
                <w:sz w:val="17"/>
                <w:szCs w:val="17"/>
                <w:color w:val="auto"/>
              </w:rPr>
            </w:pPr>
          </w:p>
        </w:tc>
        <w:tc>
          <w:tcPr>
            <w:tcW w:w="4660" w:type="dxa"/>
            <w:vAlign w:val="bottom"/>
            <w:gridSpan w:val="10"/>
          </w:tcPr>
          <w:p>
            <w:pPr>
              <w:spacing w:after="0"/>
              <w:rPr>
                <w:sz w:val="20"/>
                <w:szCs w:val="20"/>
                <w:color w:val="auto"/>
              </w:rPr>
            </w:pPr>
            <w:r>
              <w:rPr>
                <w:rFonts w:ascii="Arial" w:cs="Arial" w:eastAsia="Arial" w:hAnsi="Arial"/>
                <w:sz w:val="17"/>
                <w:szCs w:val="17"/>
                <w:color w:val="auto"/>
              </w:rPr>
              <w:t>Document</w:t>
            </w:r>
          </w:p>
        </w:tc>
      </w:tr>
      <w:tr>
        <w:trPr>
          <w:trHeight w:val="268"/>
        </w:trPr>
        <w:tc>
          <w:tcPr>
            <w:tcW w:w="1140" w:type="dxa"/>
            <w:vAlign w:val="bottom"/>
          </w:tcPr>
          <w:p>
            <w:pPr>
              <w:spacing w:after="0"/>
              <w:rPr>
                <w:sz w:val="20"/>
                <w:szCs w:val="20"/>
                <w:color w:val="auto"/>
              </w:rPr>
            </w:pPr>
            <w:r>
              <w:rPr>
                <w:rFonts w:ascii="Arial" w:cs="Arial" w:eastAsia="Arial" w:hAnsi="Arial"/>
                <w:sz w:val="17"/>
                <w:szCs w:val="17"/>
                <w:color w:val="auto"/>
              </w:rPr>
              <w:t>101.LAB*</w:t>
            </w:r>
          </w:p>
        </w:tc>
        <w:tc>
          <w:tcPr>
            <w:tcW w:w="4660" w:type="dxa"/>
            <w:vAlign w:val="bottom"/>
            <w:gridSpan w:val="10"/>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26"/>
        </w:trPr>
        <w:tc>
          <w:tcPr>
            <w:tcW w:w="1140" w:type="dxa"/>
            <w:vAlign w:val="bottom"/>
          </w:tcPr>
          <w:p>
            <w:pPr>
              <w:spacing w:after="0"/>
              <w:rPr>
                <w:sz w:val="20"/>
                <w:szCs w:val="20"/>
                <w:color w:val="auto"/>
              </w:rPr>
            </w:pPr>
            <w:r>
              <w:rPr>
                <w:rFonts w:ascii="Arial" w:cs="Arial" w:eastAsia="Arial" w:hAnsi="Arial"/>
                <w:sz w:val="17"/>
                <w:szCs w:val="17"/>
                <w:color w:val="auto"/>
              </w:rPr>
              <w:t>101.PRE*</w:t>
            </w:r>
          </w:p>
        </w:tc>
        <w:tc>
          <w:tcPr>
            <w:tcW w:w="4660" w:type="dxa"/>
            <w:vAlign w:val="bottom"/>
            <w:gridSpan w:val="10"/>
          </w:tcPr>
          <w:p>
            <w:pPr>
              <w:spacing w:after="0"/>
              <w:rPr>
                <w:sz w:val="20"/>
                <w:szCs w:val="20"/>
                <w:color w:val="auto"/>
              </w:rPr>
            </w:pPr>
            <w:r>
              <w:rPr>
                <w:rFonts w:ascii="Arial" w:cs="Arial" w:eastAsia="Arial" w:hAnsi="Arial"/>
                <w:sz w:val="17"/>
                <w:szCs w:val="17"/>
                <w:color w:val="auto"/>
              </w:rPr>
              <w:t>Inline XBRL Taxonomy Extension Presentation Linkbase</w:t>
            </w:r>
          </w:p>
        </w:tc>
      </w:tr>
      <w:tr>
        <w:trPr>
          <w:trHeight w:val="204"/>
        </w:trPr>
        <w:tc>
          <w:tcPr>
            <w:tcW w:w="1140" w:type="dxa"/>
            <w:vAlign w:val="bottom"/>
          </w:tcPr>
          <w:p>
            <w:pPr>
              <w:spacing w:after="0"/>
              <w:rPr>
                <w:sz w:val="17"/>
                <w:szCs w:val="17"/>
                <w:color w:val="auto"/>
              </w:rPr>
            </w:pPr>
          </w:p>
        </w:tc>
        <w:tc>
          <w:tcPr>
            <w:tcW w:w="4660" w:type="dxa"/>
            <w:vAlign w:val="bottom"/>
            <w:gridSpan w:val="10"/>
          </w:tcPr>
          <w:p>
            <w:pPr>
              <w:spacing w:after="0"/>
              <w:rPr>
                <w:sz w:val="20"/>
                <w:szCs w:val="20"/>
                <w:color w:val="auto"/>
              </w:rPr>
            </w:pPr>
            <w:r>
              <w:rPr>
                <w:rFonts w:ascii="Arial" w:cs="Arial" w:eastAsia="Arial" w:hAnsi="Arial"/>
                <w:sz w:val="17"/>
                <w:szCs w:val="17"/>
                <w:color w:val="auto"/>
              </w:rPr>
              <w:t>Document</w:t>
            </w:r>
          </w:p>
        </w:tc>
      </w:tr>
      <w:tr>
        <w:trPr>
          <w:trHeight w:val="226"/>
        </w:trPr>
        <w:tc>
          <w:tcPr>
            <w:tcW w:w="1140" w:type="dxa"/>
            <w:vAlign w:val="bottom"/>
          </w:tcPr>
          <w:p>
            <w:pPr>
              <w:spacing w:after="0"/>
              <w:rPr>
                <w:sz w:val="20"/>
                <w:szCs w:val="20"/>
                <w:color w:val="auto"/>
              </w:rPr>
            </w:pPr>
            <w:r>
              <w:rPr>
                <w:rFonts w:ascii="Arial" w:cs="Arial" w:eastAsia="Arial" w:hAnsi="Arial"/>
                <w:sz w:val="17"/>
                <w:szCs w:val="17"/>
                <w:color w:val="auto"/>
              </w:rPr>
              <w:t>104*</w:t>
            </w:r>
          </w:p>
        </w:tc>
        <w:tc>
          <w:tcPr>
            <w:tcW w:w="4660" w:type="dxa"/>
            <w:vAlign w:val="bottom"/>
            <w:gridSpan w:val="10"/>
          </w:tcPr>
          <w:p>
            <w:pPr>
              <w:spacing w:after="0"/>
              <w:rPr>
                <w:sz w:val="20"/>
                <w:szCs w:val="20"/>
                <w:color w:val="auto"/>
              </w:rPr>
            </w:pPr>
            <w:r>
              <w:rPr>
                <w:rFonts w:ascii="Arial" w:cs="Arial" w:eastAsia="Arial" w:hAnsi="Arial"/>
                <w:sz w:val="17"/>
                <w:szCs w:val="17"/>
                <w:color w:val="auto"/>
              </w:rPr>
              <w:t>Cover Page Interactive Data File - the cover page interactive</w:t>
            </w:r>
          </w:p>
        </w:tc>
      </w:tr>
      <w:tr>
        <w:trPr>
          <w:trHeight w:val="161"/>
        </w:trPr>
        <w:tc>
          <w:tcPr>
            <w:tcW w:w="1140" w:type="dxa"/>
            <w:vAlign w:val="bottom"/>
          </w:tcPr>
          <w:p>
            <w:pPr>
              <w:spacing w:after="0"/>
              <w:rPr>
                <w:sz w:val="14"/>
                <w:szCs w:val="14"/>
                <w:color w:val="auto"/>
              </w:rPr>
            </w:pPr>
          </w:p>
        </w:tc>
        <w:tc>
          <w:tcPr>
            <w:tcW w:w="4660" w:type="dxa"/>
            <w:vAlign w:val="bottom"/>
            <w:gridSpan w:val="10"/>
          </w:tcPr>
          <w:p>
            <w:pPr>
              <w:spacing w:after="0" w:line="161" w:lineRule="exact"/>
              <w:rPr>
                <w:sz w:val="20"/>
                <w:szCs w:val="20"/>
                <w:color w:val="auto"/>
              </w:rPr>
            </w:pPr>
            <w:r>
              <w:rPr>
                <w:rFonts w:ascii="Arial" w:cs="Arial" w:eastAsia="Arial" w:hAnsi="Arial"/>
                <w:sz w:val="17"/>
                <w:szCs w:val="17"/>
                <w:color w:val="auto"/>
              </w:rPr>
              <w:t>data is embedded within the Inline XBRL document or</w:t>
            </w:r>
          </w:p>
        </w:tc>
      </w:tr>
      <w:tr>
        <w:trPr>
          <w:trHeight w:val="204"/>
        </w:trPr>
        <w:tc>
          <w:tcPr>
            <w:tcW w:w="1140" w:type="dxa"/>
            <w:vAlign w:val="bottom"/>
          </w:tcPr>
          <w:p>
            <w:pPr>
              <w:spacing w:after="0"/>
              <w:rPr>
                <w:sz w:val="17"/>
                <w:szCs w:val="17"/>
                <w:color w:val="auto"/>
              </w:rPr>
            </w:pPr>
          </w:p>
        </w:tc>
        <w:tc>
          <w:tcPr>
            <w:tcW w:w="4660" w:type="dxa"/>
            <w:vAlign w:val="bottom"/>
            <w:gridSpan w:val="10"/>
          </w:tcPr>
          <w:p>
            <w:pPr>
              <w:spacing w:after="0"/>
              <w:rPr>
                <w:sz w:val="20"/>
                <w:szCs w:val="20"/>
                <w:color w:val="auto"/>
              </w:rPr>
            </w:pPr>
            <w:r>
              <w:rPr>
                <w:rFonts w:ascii="Arial" w:cs="Arial" w:eastAsia="Arial" w:hAnsi="Arial"/>
                <w:sz w:val="17"/>
                <w:szCs w:val="17"/>
                <w:color w:val="auto"/>
              </w:rPr>
              <w:t>included within the Exhibit 101 attachments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68262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136" w:lineRule="exact"/>
        <w:rPr>
          <w:sz w:val="20"/>
          <w:szCs w:val="20"/>
          <w:color w:val="auto"/>
        </w:rPr>
      </w:pPr>
    </w:p>
    <w:p>
      <w:pPr>
        <w:ind w:left="300" w:hanging="293"/>
        <w:spacing w:after="0"/>
        <w:tabs>
          <w:tab w:leader="none" w:pos="3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Filed herewith</w:t>
      </w:r>
    </w:p>
    <w:p>
      <w:pPr>
        <w:ind w:left="320" w:hanging="313"/>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Furnished herewith</w:t>
      </w:r>
    </w:p>
    <w:p>
      <w:pPr>
        <w:ind w:left="320" w:hanging="313"/>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ind w:left="320" w:hanging="313"/>
        <w:spacing w:after="0" w:line="255" w:lineRule="auto"/>
        <w:tabs>
          <w:tab w:leader="none" w:pos="316" w:val="left"/>
        </w:tabs>
        <w:numPr>
          <w:ilvl w:val="0"/>
          <w:numId w:val="74"/>
        </w:numPr>
        <w:rPr>
          <w:rFonts w:ascii="Arial" w:cs="Arial" w:eastAsia="Arial" w:hAnsi="Arial"/>
          <w:sz w:val="14"/>
          <w:szCs w:val="14"/>
          <w:color w:val="auto"/>
        </w:rPr>
      </w:pPr>
      <w:r>
        <w:rPr>
          <w:rFonts w:ascii="Arial" w:cs="Arial" w:eastAsia="Arial" w:hAnsi="Arial"/>
          <w:sz w:val="14"/>
          <w:szCs w:val="14"/>
          <w:color w:val="auto"/>
        </w:rPr>
        <w:t>Certain portions of this exhibit (indicated by asterisks) have been omitted because they are not material and would likely cause competitive harm to Keros Therapeutics, Inc. if publicly disclosed.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SIGNATURES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92" w:lineRule="exact"/>
        <w:rPr>
          <w:sz w:val="20"/>
          <w:szCs w:val="20"/>
          <w:color w:val="auto"/>
        </w:rPr>
      </w:pPr>
    </w:p>
    <w:p>
      <w:pPr>
        <w:ind w:left="7120"/>
        <w:spacing w:after="0"/>
        <w:rPr>
          <w:sz w:val="20"/>
          <w:szCs w:val="20"/>
          <w:color w:val="auto"/>
        </w:rPr>
      </w:pPr>
      <w:r>
        <w:rPr>
          <w:rFonts w:ascii="Arial" w:cs="Arial" w:eastAsia="Arial" w:hAnsi="Arial"/>
          <w:sz w:val="17"/>
          <w:szCs w:val="17"/>
          <w:b w:val="1"/>
          <w:bCs w:val="1"/>
          <w:color w:val="auto"/>
        </w:rPr>
        <w:t>Keros Therapeutics, Inc.</w:t>
      </w:r>
    </w:p>
    <w:p>
      <w:pPr>
        <w:spacing w:after="0" w:line="348" w:lineRule="exact"/>
        <w:rPr>
          <w:sz w:val="20"/>
          <w:szCs w:val="20"/>
          <w:color w:val="auto"/>
        </w:rPr>
      </w:pPr>
    </w:p>
    <w:p>
      <w:pPr>
        <w:ind w:left="20"/>
        <w:spacing w:after="0"/>
        <w:tabs>
          <w:tab w:leader="none" w:pos="7100" w:val="left"/>
          <w:tab w:leader="none" w:pos="7540" w:val="left"/>
        </w:tabs>
        <w:rPr>
          <w:sz w:val="20"/>
          <w:szCs w:val="20"/>
          <w:color w:val="auto"/>
        </w:rPr>
      </w:pPr>
      <w:r>
        <w:rPr>
          <w:rFonts w:ascii="Arial" w:cs="Arial" w:eastAsia="Arial" w:hAnsi="Arial"/>
          <w:sz w:val="17"/>
          <w:szCs w:val="17"/>
          <w:color w:val="auto"/>
        </w:rPr>
        <w:t>Date: March 9,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4785360</wp:posOffset>
            </wp:positionH>
            <wp:positionV relativeFrom="paragraph">
              <wp:posOffset>24765</wp:posOffset>
            </wp:positionV>
            <wp:extent cx="19856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53"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Jasbir Seehra, Ph.D.</w:t>
      </w:r>
    </w:p>
    <w:p>
      <w:pPr>
        <w:spacing w:after="0" w:line="60"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Chief Executive Officer</w:t>
      </w:r>
    </w:p>
    <w:p>
      <w:pPr>
        <w:spacing w:after="0" w:line="60"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(Principal Executive Officer)</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 AND SIGNATURES</w:t>
      </w:r>
    </w:p>
    <w:p>
      <w:pPr>
        <w:spacing w:after="0" w:line="200"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Jasbir Seehra, Ph.D. and Keith Regnante,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70"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8262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NAME</w:t>
            </w:r>
          </w:p>
        </w:tc>
        <w:tc>
          <w:tcPr>
            <w:tcW w:w="100" w:type="dxa"/>
            <w:vAlign w:val="bottom"/>
          </w:tcPr>
          <w:p>
            <w:pPr>
              <w:spacing w:after="0"/>
              <w:rPr>
                <w:sz w:val="18"/>
                <w:szCs w:val="18"/>
                <w:color w:val="auto"/>
              </w:rPr>
            </w:pPr>
          </w:p>
        </w:tc>
        <w:tc>
          <w:tcPr>
            <w:tcW w:w="4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w:t>
            </w:r>
          </w:p>
        </w:tc>
        <w:tc>
          <w:tcPr>
            <w:tcW w:w="80" w:type="dxa"/>
            <w:vAlign w:val="bottom"/>
          </w:tcPr>
          <w:p>
            <w:pPr>
              <w:spacing w:after="0"/>
              <w:rPr>
                <w:sz w:val="18"/>
                <w:szCs w:val="18"/>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DATE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500" w:type="dxa"/>
            <w:vAlign w:val="bottom"/>
          </w:tcPr>
          <w:p>
            <w:pPr>
              <w:jc w:val="center"/>
              <w:spacing w:after="0"/>
              <w:rPr>
                <w:sz w:val="20"/>
                <w:szCs w:val="20"/>
                <w:color w:val="auto"/>
              </w:rPr>
            </w:pPr>
            <w:r>
              <w:rPr>
                <w:rFonts w:ascii="Arial" w:cs="Arial" w:eastAsia="Arial" w:hAnsi="Arial"/>
                <w:sz w:val="16"/>
                <w:szCs w:val="16"/>
                <w:color w:val="auto"/>
              </w:rPr>
              <w:t>/s/ Jasbir Seehra</w:t>
            </w:r>
          </w:p>
        </w:tc>
        <w:tc>
          <w:tcPr>
            <w:tcW w:w="100" w:type="dxa"/>
            <w:vAlign w:val="bottom"/>
          </w:tcPr>
          <w:p>
            <w:pPr>
              <w:spacing w:after="0"/>
              <w:rPr>
                <w:sz w:val="23"/>
                <w:szCs w:val="23"/>
                <w:color w:val="auto"/>
              </w:rPr>
            </w:pPr>
          </w:p>
        </w:tc>
        <w:tc>
          <w:tcPr>
            <w:tcW w:w="4960" w:type="dxa"/>
            <w:vAlign w:val="bottom"/>
            <w:gridSpan w:val="2"/>
          </w:tcPr>
          <w:p>
            <w:pPr>
              <w:jc w:val="center"/>
              <w:ind w:right="80"/>
              <w:spacing w:after="0"/>
              <w:rPr>
                <w:sz w:val="20"/>
                <w:szCs w:val="20"/>
                <w:color w:val="auto"/>
              </w:rPr>
            </w:pPr>
            <w:r>
              <w:rPr>
                <w:rFonts w:ascii="Arial" w:cs="Arial" w:eastAsia="Arial" w:hAnsi="Arial"/>
                <w:sz w:val="16"/>
                <w:szCs w:val="16"/>
                <w:color w:val="auto"/>
              </w:rPr>
              <w:t>Chief Executive Officer and Director</w:t>
            </w:r>
          </w:p>
        </w:tc>
        <w:tc>
          <w:tcPr>
            <w:tcW w:w="268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rPr>
              <w:t>March 9, 2022</w:t>
            </w:r>
          </w:p>
        </w:tc>
        <w:tc>
          <w:tcPr>
            <w:tcW w:w="0" w:type="dxa"/>
            <w:vAlign w:val="bottom"/>
          </w:tcPr>
          <w:p>
            <w:pPr>
              <w:spacing w:after="0"/>
              <w:rPr>
                <w:sz w:val="1"/>
                <w:szCs w:val="1"/>
                <w:color w:val="auto"/>
              </w:rPr>
            </w:pPr>
          </w:p>
        </w:tc>
      </w:tr>
      <w:tr>
        <w:trPr>
          <w:trHeight w:val="40"/>
        </w:trPr>
        <w:tc>
          <w:tcPr>
            <w:tcW w:w="3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960" w:type="dxa"/>
            <w:vAlign w:val="bottom"/>
            <w:gridSpan w:val="2"/>
            <w:vMerge w:val="restart"/>
          </w:tcPr>
          <w:p>
            <w:pPr>
              <w:jc w:val="center"/>
              <w:ind w:right="100"/>
              <w:spacing w:after="0"/>
              <w:rPr>
                <w:sz w:val="20"/>
                <w:szCs w:val="20"/>
                <w:color w:val="auto"/>
              </w:rPr>
            </w:pPr>
            <w:r>
              <w:rPr>
                <w:rFonts w:ascii="Arial" w:cs="Arial" w:eastAsia="Arial" w:hAnsi="Arial"/>
                <w:sz w:val="16"/>
                <w:szCs w:val="16"/>
                <w:i w:val="1"/>
                <w:iCs w:val="1"/>
                <w:color w:val="auto"/>
              </w:rPr>
              <w:t>(Principal Executive Officer)</w:t>
            </w:r>
          </w:p>
        </w:tc>
        <w:tc>
          <w:tcPr>
            <w:tcW w:w="26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3500" w:type="dxa"/>
            <w:vAlign w:val="bottom"/>
            <w:vMerge w:val="restart"/>
          </w:tcPr>
          <w:p>
            <w:pPr>
              <w:jc w:val="center"/>
              <w:spacing w:after="0"/>
              <w:rPr>
                <w:sz w:val="20"/>
                <w:szCs w:val="20"/>
                <w:color w:val="auto"/>
              </w:rPr>
            </w:pPr>
            <w:r>
              <w:rPr>
                <w:rFonts w:ascii="Arial" w:cs="Arial" w:eastAsia="Arial" w:hAnsi="Arial"/>
                <w:sz w:val="16"/>
                <w:szCs w:val="16"/>
                <w:color w:val="auto"/>
              </w:rPr>
              <w:t>Jasbir Seehra, Ph.D.</w:t>
            </w:r>
          </w:p>
        </w:tc>
        <w:tc>
          <w:tcPr>
            <w:tcW w:w="10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2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5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2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Keith Regnante</w:t>
            </w:r>
          </w:p>
        </w:tc>
        <w:tc>
          <w:tcPr>
            <w:tcW w:w="10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6"/>
                <w:szCs w:val="16"/>
                <w:color w:val="auto"/>
              </w:rPr>
              <w:t>Chief Financial Officer</w:t>
            </w:r>
          </w:p>
        </w:tc>
        <w:tc>
          <w:tcPr>
            <w:tcW w:w="268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rPr>
              <w:t>March 9, 2022</w:t>
            </w:r>
          </w:p>
        </w:tc>
        <w:tc>
          <w:tcPr>
            <w:tcW w:w="0" w:type="dxa"/>
            <w:vAlign w:val="bottom"/>
          </w:tcPr>
          <w:p>
            <w:pPr>
              <w:spacing w:after="0"/>
              <w:rPr>
                <w:sz w:val="1"/>
                <w:szCs w:val="1"/>
                <w:color w:val="auto"/>
              </w:rPr>
            </w:pPr>
          </w:p>
        </w:tc>
      </w:tr>
      <w:tr>
        <w:trPr>
          <w:trHeight w:val="95"/>
        </w:trPr>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9"/>
              </w:rPr>
              <w:t>Keith Regnante</w:t>
            </w:r>
          </w:p>
        </w:tc>
        <w:tc>
          <w:tcPr>
            <w:tcW w:w="100" w:type="dxa"/>
            <w:vAlign w:val="bottom"/>
          </w:tcPr>
          <w:p>
            <w:pPr>
              <w:spacing w:after="0"/>
              <w:rPr>
                <w:sz w:val="8"/>
                <w:szCs w:val="8"/>
                <w:color w:val="auto"/>
              </w:rPr>
            </w:pPr>
          </w:p>
        </w:tc>
        <w:tc>
          <w:tcPr>
            <w:tcW w:w="4960" w:type="dxa"/>
            <w:vAlign w:val="bottom"/>
            <w:gridSpan w:val="2"/>
            <w:vMerge w:val="restart"/>
          </w:tcPr>
          <w:p>
            <w:pPr>
              <w:jc w:val="center"/>
              <w:ind w:right="100"/>
              <w:spacing w:after="0"/>
              <w:rPr>
                <w:sz w:val="20"/>
                <w:szCs w:val="20"/>
                <w:color w:val="auto"/>
              </w:rPr>
            </w:pPr>
            <w:r>
              <w:rPr>
                <w:rFonts w:ascii="Arial" w:cs="Arial" w:eastAsia="Arial" w:hAnsi="Arial"/>
                <w:sz w:val="16"/>
                <w:szCs w:val="16"/>
                <w:i w:val="1"/>
                <w:iCs w:val="1"/>
                <w:color w:val="auto"/>
              </w:rPr>
              <w:t>(Principal Financial Officer and Principal Accounting Officer)</w:t>
            </w:r>
          </w:p>
        </w:tc>
        <w:tc>
          <w:tcPr>
            <w:tcW w:w="26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960" w:type="dxa"/>
            <w:vAlign w:val="bottom"/>
            <w:gridSpan w:val="2"/>
            <w:vMerge w:val="continue"/>
          </w:tcPr>
          <w:p>
            <w:pPr>
              <w:spacing w:after="0"/>
              <w:rPr>
                <w:sz w:val="9"/>
                <w:szCs w:val="9"/>
                <w:color w:val="auto"/>
              </w:rPr>
            </w:pPr>
          </w:p>
        </w:tc>
        <w:tc>
          <w:tcPr>
            <w:tcW w:w="2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Nima Farzan</w:t>
            </w:r>
          </w:p>
        </w:tc>
        <w:tc>
          <w:tcPr>
            <w:tcW w:w="100" w:type="dxa"/>
            <w:vAlign w:val="bottom"/>
          </w:tcPr>
          <w:p>
            <w:pPr>
              <w:spacing w:after="0"/>
              <w:rPr>
                <w:sz w:val="24"/>
                <w:szCs w:val="24"/>
                <w:color w:val="auto"/>
              </w:rPr>
            </w:pPr>
          </w:p>
        </w:tc>
        <w:tc>
          <w:tcPr>
            <w:tcW w:w="49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Director</w:t>
            </w:r>
          </w:p>
        </w:tc>
        <w:tc>
          <w:tcPr>
            <w:tcW w:w="268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rPr>
              <w:t>March 9, 2022</w:t>
            </w:r>
          </w:p>
        </w:tc>
        <w:tc>
          <w:tcPr>
            <w:tcW w:w="0" w:type="dxa"/>
            <w:vAlign w:val="bottom"/>
          </w:tcPr>
          <w:p>
            <w:pPr>
              <w:spacing w:after="0"/>
              <w:rPr>
                <w:sz w:val="1"/>
                <w:szCs w:val="1"/>
                <w:color w:val="auto"/>
              </w:rPr>
            </w:pPr>
          </w:p>
        </w:tc>
      </w:tr>
      <w:tr>
        <w:trPr>
          <w:trHeight w:val="74"/>
        </w:trPr>
        <w:tc>
          <w:tcPr>
            <w:tcW w:w="3500" w:type="dxa"/>
            <w:vAlign w:val="bottom"/>
            <w:vMerge w:val="restart"/>
          </w:tcPr>
          <w:p>
            <w:pPr>
              <w:jc w:val="center"/>
              <w:spacing w:after="0"/>
              <w:rPr>
                <w:sz w:val="20"/>
                <w:szCs w:val="20"/>
                <w:color w:val="auto"/>
              </w:rPr>
            </w:pPr>
            <w:r>
              <w:rPr>
                <w:rFonts w:ascii="Arial" w:cs="Arial" w:eastAsia="Arial" w:hAnsi="Arial"/>
                <w:sz w:val="16"/>
                <w:szCs w:val="16"/>
                <w:color w:val="auto"/>
              </w:rPr>
              <w:t>Nima Farzan</w:t>
            </w:r>
          </w:p>
        </w:tc>
        <w:tc>
          <w:tcPr>
            <w:tcW w:w="100" w:type="dxa"/>
            <w:vAlign w:val="bottom"/>
          </w:tcPr>
          <w:p>
            <w:pPr>
              <w:spacing w:after="0"/>
              <w:rPr>
                <w:sz w:val="6"/>
                <w:szCs w:val="6"/>
                <w:color w:val="auto"/>
              </w:rPr>
            </w:pPr>
          </w:p>
        </w:tc>
        <w:tc>
          <w:tcPr>
            <w:tcW w:w="4960" w:type="dxa"/>
            <w:vAlign w:val="bottom"/>
            <w:gridSpan w:val="2"/>
            <w:vMerge w:val="continue"/>
          </w:tcPr>
          <w:p>
            <w:pPr>
              <w:spacing w:after="0"/>
              <w:rPr>
                <w:sz w:val="6"/>
                <w:szCs w:val="6"/>
                <w:color w:val="auto"/>
              </w:rPr>
            </w:pPr>
          </w:p>
        </w:tc>
        <w:tc>
          <w:tcPr>
            <w:tcW w:w="2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Carl Gordon</w:t>
            </w:r>
          </w:p>
        </w:tc>
        <w:tc>
          <w:tcPr>
            <w:tcW w:w="100" w:type="dxa"/>
            <w:vAlign w:val="bottom"/>
          </w:tcPr>
          <w:p>
            <w:pPr>
              <w:spacing w:after="0"/>
              <w:rPr>
                <w:sz w:val="24"/>
                <w:szCs w:val="24"/>
                <w:color w:val="auto"/>
              </w:rPr>
            </w:pPr>
          </w:p>
        </w:tc>
        <w:tc>
          <w:tcPr>
            <w:tcW w:w="49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Director</w:t>
            </w:r>
          </w:p>
        </w:tc>
        <w:tc>
          <w:tcPr>
            <w:tcW w:w="268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rPr>
              <w:t>March 9, 2022</w:t>
            </w:r>
          </w:p>
        </w:tc>
        <w:tc>
          <w:tcPr>
            <w:tcW w:w="0" w:type="dxa"/>
            <w:vAlign w:val="bottom"/>
          </w:tcPr>
          <w:p>
            <w:pPr>
              <w:spacing w:after="0"/>
              <w:rPr>
                <w:sz w:val="1"/>
                <w:szCs w:val="1"/>
                <w:color w:val="auto"/>
              </w:rPr>
            </w:pPr>
          </w:p>
        </w:tc>
      </w:tr>
      <w:tr>
        <w:trPr>
          <w:trHeight w:val="74"/>
        </w:trPr>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9"/>
              </w:rPr>
              <w:t>Carl Gordon, Ph.D., C.F.A.</w:t>
            </w:r>
          </w:p>
        </w:tc>
        <w:tc>
          <w:tcPr>
            <w:tcW w:w="100" w:type="dxa"/>
            <w:vAlign w:val="bottom"/>
          </w:tcPr>
          <w:p>
            <w:pPr>
              <w:spacing w:after="0"/>
              <w:rPr>
                <w:sz w:val="6"/>
                <w:szCs w:val="6"/>
                <w:color w:val="auto"/>
              </w:rPr>
            </w:pPr>
          </w:p>
        </w:tc>
        <w:tc>
          <w:tcPr>
            <w:tcW w:w="4960" w:type="dxa"/>
            <w:vAlign w:val="bottom"/>
            <w:gridSpan w:val="2"/>
            <w:vMerge w:val="continue"/>
          </w:tcPr>
          <w:p>
            <w:pPr>
              <w:spacing w:after="0"/>
              <w:rPr>
                <w:sz w:val="6"/>
                <w:szCs w:val="6"/>
                <w:color w:val="auto"/>
              </w:rPr>
            </w:pPr>
          </w:p>
        </w:tc>
        <w:tc>
          <w:tcPr>
            <w:tcW w:w="2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Mary Ann Gray</w:t>
            </w:r>
          </w:p>
        </w:tc>
        <w:tc>
          <w:tcPr>
            <w:tcW w:w="100" w:type="dxa"/>
            <w:vAlign w:val="bottom"/>
          </w:tcPr>
          <w:p>
            <w:pPr>
              <w:spacing w:after="0"/>
              <w:rPr>
                <w:sz w:val="24"/>
                <w:szCs w:val="24"/>
                <w:color w:val="auto"/>
              </w:rPr>
            </w:pPr>
          </w:p>
        </w:tc>
        <w:tc>
          <w:tcPr>
            <w:tcW w:w="49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Director</w:t>
            </w:r>
          </w:p>
        </w:tc>
        <w:tc>
          <w:tcPr>
            <w:tcW w:w="268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rPr>
              <w:t>March 9, 2022</w:t>
            </w:r>
          </w:p>
        </w:tc>
        <w:tc>
          <w:tcPr>
            <w:tcW w:w="0" w:type="dxa"/>
            <w:vAlign w:val="bottom"/>
          </w:tcPr>
          <w:p>
            <w:pPr>
              <w:spacing w:after="0"/>
              <w:rPr>
                <w:sz w:val="1"/>
                <w:szCs w:val="1"/>
                <w:color w:val="auto"/>
              </w:rPr>
            </w:pPr>
          </w:p>
        </w:tc>
      </w:tr>
      <w:tr>
        <w:trPr>
          <w:trHeight w:val="74"/>
        </w:trPr>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9"/>
              </w:rPr>
              <w:t>Mary Ann Gray, Ph.D.</w:t>
            </w:r>
          </w:p>
        </w:tc>
        <w:tc>
          <w:tcPr>
            <w:tcW w:w="100" w:type="dxa"/>
            <w:vAlign w:val="bottom"/>
          </w:tcPr>
          <w:p>
            <w:pPr>
              <w:spacing w:after="0"/>
              <w:rPr>
                <w:sz w:val="6"/>
                <w:szCs w:val="6"/>
                <w:color w:val="auto"/>
              </w:rPr>
            </w:pPr>
          </w:p>
        </w:tc>
        <w:tc>
          <w:tcPr>
            <w:tcW w:w="4960" w:type="dxa"/>
            <w:vAlign w:val="bottom"/>
            <w:gridSpan w:val="2"/>
            <w:vMerge w:val="continue"/>
          </w:tcPr>
          <w:p>
            <w:pPr>
              <w:spacing w:after="0"/>
              <w:rPr>
                <w:sz w:val="6"/>
                <w:szCs w:val="6"/>
                <w:color w:val="auto"/>
              </w:rPr>
            </w:pPr>
          </w:p>
        </w:tc>
        <w:tc>
          <w:tcPr>
            <w:tcW w:w="2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Tomer Kariv</w:t>
            </w:r>
          </w:p>
        </w:tc>
        <w:tc>
          <w:tcPr>
            <w:tcW w:w="100" w:type="dxa"/>
            <w:vAlign w:val="bottom"/>
          </w:tcPr>
          <w:p>
            <w:pPr>
              <w:spacing w:after="0"/>
              <w:rPr>
                <w:sz w:val="24"/>
                <w:szCs w:val="24"/>
                <w:color w:val="auto"/>
              </w:rPr>
            </w:pPr>
          </w:p>
        </w:tc>
        <w:tc>
          <w:tcPr>
            <w:tcW w:w="49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Director</w:t>
            </w:r>
          </w:p>
        </w:tc>
        <w:tc>
          <w:tcPr>
            <w:tcW w:w="268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rPr>
              <w:t>March 9, 2022</w:t>
            </w:r>
          </w:p>
        </w:tc>
        <w:tc>
          <w:tcPr>
            <w:tcW w:w="0" w:type="dxa"/>
            <w:vAlign w:val="bottom"/>
          </w:tcPr>
          <w:p>
            <w:pPr>
              <w:spacing w:after="0"/>
              <w:rPr>
                <w:sz w:val="1"/>
                <w:szCs w:val="1"/>
                <w:color w:val="auto"/>
              </w:rPr>
            </w:pPr>
          </w:p>
        </w:tc>
      </w:tr>
      <w:tr>
        <w:trPr>
          <w:trHeight w:val="74"/>
        </w:trPr>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8"/>
              </w:rPr>
              <w:t>Tomer Kariv</w:t>
            </w:r>
          </w:p>
        </w:tc>
        <w:tc>
          <w:tcPr>
            <w:tcW w:w="100" w:type="dxa"/>
            <w:vAlign w:val="bottom"/>
          </w:tcPr>
          <w:p>
            <w:pPr>
              <w:spacing w:after="0"/>
              <w:rPr>
                <w:sz w:val="6"/>
                <w:szCs w:val="6"/>
                <w:color w:val="auto"/>
              </w:rPr>
            </w:pPr>
          </w:p>
        </w:tc>
        <w:tc>
          <w:tcPr>
            <w:tcW w:w="4960" w:type="dxa"/>
            <w:vAlign w:val="bottom"/>
            <w:gridSpan w:val="2"/>
            <w:vMerge w:val="continue"/>
          </w:tcPr>
          <w:p>
            <w:pPr>
              <w:spacing w:after="0"/>
              <w:rPr>
                <w:sz w:val="6"/>
                <w:szCs w:val="6"/>
                <w:color w:val="auto"/>
              </w:rPr>
            </w:pPr>
          </w:p>
        </w:tc>
        <w:tc>
          <w:tcPr>
            <w:tcW w:w="2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Julius Knowles</w:t>
            </w:r>
          </w:p>
        </w:tc>
        <w:tc>
          <w:tcPr>
            <w:tcW w:w="100" w:type="dxa"/>
            <w:vAlign w:val="bottom"/>
          </w:tcPr>
          <w:p>
            <w:pPr>
              <w:spacing w:after="0"/>
              <w:rPr>
                <w:sz w:val="24"/>
                <w:szCs w:val="24"/>
                <w:color w:val="auto"/>
              </w:rPr>
            </w:pPr>
          </w:p>
        </w:tc>
        <w:tc>
          <w:tcPr>
            <w:tcW w:w="49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Director</w:t>
            </w:r>
          </w:p>
        </w:tc>
        <w:tc>
          <w:tcPr>
            <w:tcW w:w="268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rPr>
              <w:t>March 9, 2022</w:t>
            </w:r>
          </w:p>
        </w:tc>
        <w:tc>
          <w:tcPr>
            <w:tcW w:w="0" w:type="dxa"/>
            <w:vAlign w:val="bottom"/>
          </w:tcPr>
          <w:p>
            <w:pPr>
              <w:spacing w:after="0"/>
              <w:rPr>
                <w:sz w:val="1"/>
                <w:szCs w:val="1"/>
                <w:color w:val="auto"/>
              </w:rPr>
            </w:pPr>
          </w:p>
        </w:tc>
      </w:tr>
      <w:tr>
        <w:trPr>
          <w:trHeight w:val="74"/>
        </w:trPr>
        <w:tc>
          <w:tcPr>
            <w:tcW w:w="3500" w:type="dxa"/>
            <w:vAlign w:val="bottom"/>
            <w:vMerge w:val="restart"/>
          </w:tcPr>
          <w:p>
            <w:pPr>
              <w:jc w:val="center"/>
              <w:spacing w:after="0"/>
              <w:rPr>
                <w:sz w:val="20"/>
                <w:szCs w:val="20"/>
                <w:color w:val="auto"/>
              </w:rPr>
            </w:pPr>
            <w:r>
              <w:rPr>
                <w:rFonts w:ascii="Arial" w:cs="Arial" w:eastAsia="Arial" w:hAnsi="Arial"/>
                <w:sz w:val="16"/>
                <w:szCs w:val="16"/>
                <w:color w:val="auto"/>
              </w:rPr>
              <w:t>Julius Knowles</w:t>
            </w:r>
          </w:p>
        </w:tc>
        <w:tc>
          <w:tcPr>
            <w:tcW w:w="100" w:type="dxa"/>
            <w:vAlign w:val="bottom"/>
          </w:tcPr>
          <w:p>
            <w:pPr>
              <w:spacing w:after="0"/>
              <w:rPr>
                <w:sz w:val="6"/>
                <w:szCs w:val="6"/>
                <w:color w:val="auto"/>
              </w:rPr>
            </w:pPr>
          </w:p>
        </w:tc>
        <w:tc>
          <w:tcPr>
            <w:tcW w:w="4960" w:type="dxa"/>
            <w:vAlign w:val="bottom"/>
            <w:gridSpan w:val="2"/>
            <w:vMerge w:val="continue"/>
          </w:tcPr>
          <w:p>
            <w:pPr>
              <w:spacing w:after="0"/>
              <w:rPr>
                <w:sz w:val="6"/>
                <w:szCs w:val="6"/>
                <w:color w:val="auto"/>
              </w:rPr>
            </w:pPr>
          </w:p>
        </w:tc>
        <w:tc>
          <w:tcPr>
            <w:tcW w:w="2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9"/>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Ran Nussbaum</w:t>
            </w:r>
          </w:p>
        </w:tc>
        <w:tc>
          <w:tcPr>
            <w:tcW w:w="100" w:type="dxa"/>
            <w:vAlign w:val="bottom"/>
          </w:tcPr>
          <w:p>
            <w:pPr>
              <w:spacing w:after="0"/>
              <w:rPr>
                <w:sz w:val="24"/>
                <w:szCs w:val="24"/>
                <w:color w:val="auto"/>
              </w:rPr>
            </w:pPr>
          </w:p>
        </w:tc>
        <w:tc>
          <w:tcPr>
            <w:tcW w:w="49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Director</w:t>
            </w:r>
          </w:p>
        </w:tc>
        <w:tc>
          <w:tcPr>
            <w:tcW w:w="268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rPr>
              <w:t>March 9, 2022</w:t>
            </w:r>
          </w:p>
        </w:tc>
        <w:tc>
          <w:tcPr>
            <w:tcW w:w="0" w:type="dxa"/>
            <w:vAlign w:val="bottom"/>
          </w:tcPr>
          <w:p>
            <w:pPr>
              <w:spacing w:after="0"/>
              <w:rPr>
                <w:sz w:val="1"/>
                <w:szCs w:val="1"/>
                <w:color w:val="auto"/>
              </w:rPr>
            </w:pPr>
          </w:p>
        </w:tc>
      </w:tr>
      <w:tr>
        <w:trPr>
          <w:trHeight w:val="74"/>
        </w:trPr>
        <w:tc>
          <w:tcPr>
            <w:tcW w:w="3500" w:type="dxa"/>
            <w:vAlign w:val="bottom"/>
            <w:vMerge w:val="restart"/>
          </w:tcPr>
          <w:p>
            <w:pPr>
              <w:jc w:val="center"/>
              <w:spacing w:after="0"/>
              <w:rPr>
                <w:sz w:val="20"/>
                <w:szCs w:val="20"/>
                <w:color w:val="auto"/>
              </w:rPr>
            </w:pPr>
            <w:r>
              <w:rPr>
                <w:rFonts w:ascii="Arial" w:cs="Arial" w:eastAsia="Arial" w:hAnsi="Arial"/>
                <w:sz w:val="16"/>
                <w:szCs w:val="16"/>
                <w:color w:val="auto"/>
                <w:w w:val="99"/>
              </w:rPr>
              <w:t>Ran Nussbaum</w:t>
            </w:r>
          </w:p>
        </w:tc>
        <w:tc>
          <w:tcPr>
            <w:tcW w:w="100" w:type="dxa"/>
            <w:vAlign w:val="bottom"/>
          </w:tcPr>
          <w:p>
            <w:pPr>
              <w:spacing w:after="0"/>
              <w:rPr>
                <w:sz w:val="6"/>
                <w:szCs w:val="6"/>
                <w:color w:val="auto"/>
              </w:rPr>
            </w:pPr>
          </w:p>
        </w:tc>
        <w:tc>
          <w:tcPr>
            <w:tcW w:w="4960" w:type="dxa"/>
            <w:vAlign w:val="bottom"/>
            <w:gridSpan w:val="2"/>
            <w:vMerge w:val="continue"/>
          </w:tcPr>
          <w:p>
            <w:pPr>
              <w:spacing w:after="0"/>
              <w:rPr>
                <w:sz w:val="6"/>
                <w:szCs w:val="6"/>
                <w:color w:val="auto"/>
              </w:rPr>
            </w:pPr>
          </w:p>
        </w:tc>
        <w:tc>
          <w:tcPr>
            <w:tcW w:w="2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35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2"/>
        </w:trPr>
        <w:tc>
          <w:tcPr>
            <w:tcW w:w="3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51"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8"/>
        </w:trPr>
        <w:tc>
          <w:tcPr>
            <w:tcW w:w="10000" w:type="dxa"/>
            <w:vAlign w:val="bottom"/>
          </w:tcPr>
          <w:p>
            <w:pPr>
              <w:ind w:left="3340"/>
              <w:spacing w:after="0"/>
              <w:rPr>
                <w:sz w:val="20"/>
                <w:szCs w:val="20"/>
                <w:color w:val="auto"/>
              </w:rPr>
            </w:pPr>
            <w:r>
              <w:rPr>
                <w:rFonts w:ascii="Arial" w:cs="Arial" w:eastAsia="Arial" w:hAnsi="Arial"/>
                <w:sz w:val="18"/>
                <w:szCs w:val="18"/>
                <w:b w:val="1"/>
                <w:bCs w:val="1"/>
                <w:color w:val="auto"/>
              </w:rPr>
              <w:t>INDEX TO CONSOLIDATED FINANCIAL STATEMENTS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00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00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8"/>
        </w:trPr>
        <w:tc>
          <w:tcPr>
            <w:tcW w:w="10000" w:type="dxa"/>
            <w:vAlign w:val="bottom"/>
            <w:vMerge w:val="restart"/>
          </w:tcPr>
          <w:p>
            <w:pPr>
              <w:ind w:left="20"/>
              <w:spacing w:after="0"/>
              <w:rPr>
                <w:rFonts w:ascii="Arial" w:cs="Arial" w:eastAsia="Arial" w:hAnsi="Arial"/>
                <w:sz w:val="17"/>
                <w:szCs w:val="17"/>
                <w:color w:val="auto"/>
              </w:rPr>
            </w:pPr>
            <w:hyperlink w:anchor="page113">
              <w:r>
                <w:rPr>
                  <w:rFonts w:ascii="Arial" w:cs="Arial" w:eastAsia="Arial" w:hAnsi="Arial"/>
                  <w:sz w:val="17"/>
                  <w:szCs w:val="17"/>
                  <w:color w:val="auto"/>
                </w:rPr>
                <w:t xml:space="preserve">Report of Independent Registered Public Accounting Firm </w:t>
              </w:r>
            </w:hyperlink>
            <w:r>
              <w:rPr>
                <w:rFonts w:ascii="Arial" w:cs="Arial" w:eastAsia="Arial" w:hAnsi="Arial"/>
                <w:sz w:val="17"/>
                <w:szCs w:val="17"/>
                <w:color w:val="auto"/>
              </w:rPr>
              <w:t>(PCAOB ID 34))</w:t>
            </w:r>
          </w:p>
        </w:tc>
        <w:tc>
          <w:tcPr>
            <w:tcW w:w="760" w:type="dxa"/>
            <w:vAlign w:val="bottom"/>
          </w:tcPr>
          <w:p>
            <w:pPr>
              <w:jc w:val="center"/>
              <w:spacing w:after="0"/>
              <w:rPr>
                <w:rFonts w:ascii="Arial" w:cs="Arial" w:eastAsia="Arial" w:hAnsi="Arial"/>
                <w:sz w:val="17"/>
                <w:szCs w:val="17"/>
                <w:color w:val="auto"/>
              </w:rPr>
            </w:pPr>
            <w:hyperlink w:anchor="page113">
              <w:r>
                <w:rPr>
                  <w:rFonts w:ascii="Arial" w:cs="Arial" w:eastAsia="Arial" w:hAnsi="Arial"/>
                  <w:sz w:val="17"/>
                  <w:szCs w:val="17"/>
                  <w:color w:val="auto"/>
                </w:rPr>
                <w:t>F-2</w:t>
              </w:r>
            </w:hyperlink>
          </w:p>
        </w:tc>
        <w:tc>
          <w:tcPr>
            <w:tcW w:w="0" w:type="dxa"/>
            <w:vAlign w:val="bottom"/>
          </w:tcPr>
          <w:p>
            <w:pPr>
              <w:spacing w:after="0"/>
              <w:rPr>
                <w:sz w:val="1"/>
                <w:szCs w:val="1"/>
                <w:color w:val="auto"/>
              </w:rPr>
            </w:pPr>
          </w:p>
        </w:tc>
      </w:tr>
      <w:tr>
        <w:trPr>
          <w:trHeight w:val="201"/>
        </w:trPr>
        <w:tc>
          <w:tcPr>
            <w:tcW w:w="100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0" w:type="dxa"/>
            <w:vAlign w:val="bottom"/>
          </w:tcPr>
          <w:p>
            <w:pPr>
              <w:ind w:left="20"/>
              <w:spacing w:after="0"/>
              <w:rPr>
                <w:rFonts w:ascii="Arial" w:cs="Arial" w:eastAsia="Arial" w:hAnsi="Arial"/>
                <w:sz w:val="17"/>
                <w:szCs w:val="17"/>
                <w:color w:val="auto"/>
              </w:rPr>
            </w:pPr>
            <w:hyperlink w:anchor="page114">
              <w:r>
                <w:rPr>
                  <w:rFonts w:ascii="Arial" w:cs="Arial" w:eastAsia="Arial" w:hAnsi="Arial"/>
                  <w:sz w:val="17"/>
                  <w:szCs w:val="17"/>
                  <w:color w:val="auto"/>
                </w:rPr>
                <w:t>Consolidated Balance Sheets</w:t>
              </w:r>
            </w:hyperlink>
          </w:p>
        </w:tc>
        <w:tc>
          <w:tcPr>
            <w:tcW w:w="760" w:type="dxa"/>
            <w:vAlign w:val="bottom"/>
          </w:tcPr>
          <w:p>
            <w:pPr>
              <w:jc w:val="center"/>
              <w:spacing w:after="0"/>
              <w:rPr>
                <w:rFonts w:ascii="Arial" w:cs="Arial" w:eastAsia="Arial" w:hAnsi="Arial"/>
                <w:sz w:val="17"/>
                <w:szCs w:val="17"/>
                <w:color w:val="auto"/>
              </w:rPr>
            </w:pPr>
            <w:r>
              <w:rPr>
                <w:rFonts w:ascii="Arial" w:cs="Arial" w:eastAsia="Arial" w:hAnsi="Arial"/>
                <w:sz w:val="17"/>
                <w:szCs w:val="17"/>
                <w:color w:val="auto"/>
              </w:rPr>
              <w:t>F-</w:t>
            </w:r>
            <w:hyperlink w:anchor="page114">
              <w:r>
                <w:rPr>
                  <w:rFonts w:ascii="Arial" w:cs="Arial" w:eastAsia="Arial" w:hAnsi="Arial"/>
                  <w:sz w:val="17"/>
                  <w:szCs w:val="17"/>
                  <w:color w:val="auto"/>
                </w:rPr>
                <w:t>2</w:t>
              </w:r>
            </w:hyperlink>
          </w:p>
        </w:tc>
        <w:tc>
          <w:tcPr>
            <w:tcW w:w="0" w:type="dxa"/>
            <w:vAlign w:val="bottom"/>
          </w:tcPr>
          <w:p>
            <w:pPr>
              <w:spacing w:after="0"/>
              <w:rPr>
                <w:sz w:val="1"/>
                <w:szCs w:val="1"/>
                <w:color w:val="auto"/>
              </w:rPr>
            </w:pPr>
          </w:p>
        </w:tc>
      </w:tr>
      <w:tr>
        <w:trPr>
          <w:trHeight w:val="215"/>
        </w:trPr>
        <w:tc>
          <w:tcPr>
            <w:tcW w:w="10000" w:type="dxa"/>
            <w:vAlign w:val="bottom"/>
          </w:tcPr>
          <w:p>
            <w:pPr>
              <w:ind w:left="20"/>
              <w:spacing w:after="0"/>
              <w:rPr>
                <w:rFonts w:ascii="Arial" w:cs="Arial" w:eastAsia="Arial" w:hAnsi="Arial"/>
                <w:sz w:val="17"/>
                <w:szCs w:val="17"/>
                <w:color w:val="auto"/>
              </w:rPr>
            </w:pPr>
            <w:hyperlink w:anchor="page115">
              <w:r>
                <w:rPr>
                  <w:rFonts w:ascii="Arial" w:cs="Arial" w:eastAsia="Arial" w:hAnsi="Arial"/>
                  <w:sz w:val="17"/>
                  <w:szCs w:val="17"/>
                  <w:color w:val="auto"/>
                </w:rPr>
                <w:t>Consolidated Statements of Operations</w:t>
              </w:r>
            </w:hyperlink>
          </w:p>
        </w:tc>
        <w:tc>
          <w:tcPr>
            <w:tcW w:w="760" w:type="dxa"/>
            <w:vAlign w:val="bottom"/>
          </w:tcPr>
          <w:p>
            <w:pPr>
              <w:jc w:val="center"/>
              <w:spacing w:after="0"/>
              <w:rPr>
                <w:rFonts w:ascii="Arial" w:cs="Arial" w:eastAsia="Arial" w:hAnsi="Arial"/>
                <w:sz w:val="17"/>
                <w:szCs w:val="17"/>
                <w:color w:val="auto"/>
              </w:rPr>
            </w:pPr>
            <w:r>
              <w:rPr>
                <w:rFonts w:ascii="Arial" w:cs="Arial" w:eastAsia="Arial" w:hAnsi="Arial"/>
                <w:sz w:val="17"/>
                <w:szCs w:val="17"/>
                <w:color w:val="auto"/>
              </w:rPr>
              <w:t>F-</w:t>
            </w:r>
            <w:hyperlink w:anchor="page115">
              <w:r>
                <w:rPr>
                  <w:rFonts w:ascii="Arial" w:cs="Arial" w:eastAsia="Arial" w:hAnsi="Arial"/>
                  <w:sz w:val="17"/>
                  <w:szCs w:val="17"/>
                  <w:color w:val="auto"/>
                </w:rPr>
                <w:t>3</w:t>
              </w:r>
            </w:hyperlink>
          </w:p>
        </w:tc>
        <w:tc>
          <w:tcPr>
            <w:tcW w:w="0" w:type="dxa"/>
            <w:vAlign w:val="bottom"/>
          </w:tcPr>
          <w:p>
            <w:pPr>
              <w:spacing w:after="0"/>
              <w:rPr>
                <w:sz w:val="1"/>
                <w:szCs w:val="1"/>
                <w:color w:val="auto"/>
              </w:rPr>
            </w:pPr>
          </w:p>
        </w:tc>
      </w:tr>
      <w:tr>
        <w:trPr>
          <w:trHeight w:val="228"/>
        </w:trPr>
        <w:tc>
          <w:tcPr>
            <w:tcW w:w="10000" w:type="dxa"/>
            <w:vAlign w:val="bottom"/>
          </w:tcPr>
          <w:p>
            <w:pPr>
              <w:ind w:left="20"/>
              <w:spacing w:after="0"/>
              <w:rPr>
                <w:rFonts w:ascii="Arial" w:cs="Arial" w:eastAsia="Arial" w:hAnsi="Arial"/>
                <w:sz w:val="17"/>
                <w:szCs w:val="17"/>
                <w:color w:val="auto"/>
              </w:rPr>
            </w:pPr>
            <w:hyperlink w:anchor="page116">
              <w:r>
                <w:rPr>
                  <w:rFonts w:ascii="Arial" w:cs="Arial" w:eastAsia="Arial" w:hAnsi="Arial"/>
                  <w:sz w:val="17"/>
                  <w:szCs w:val="17"/>
                  <w:color w:val="auto"/>
                </w:rPr>
                <w:t xml:space="preserve">Consolidated Statements of Convertible Preferred Stock </w:t>
              </w:r>
            </w:hyperlink>
            <w:r>
              <w:rPr>
                <w:rFonts w:ascii="Arial" w:cs="Arial" w:eastAsia="Arial" w:hAnsi="Arial"/>
                <w:sz w:val="17"/>
                <w:szCs w:val="17"/>
                <w:color w:val="auto"/>
              </w:rPr>
              <w:t>and Stockholders’ Equity (Deficit)</w:t>
            </w:r>
          </w:p>
        </w:tc>
        <w:tc>
          <w:tcPr>
            <w:tcW w:w="760" w:type="dxa"/>
            <w:vAlign w:val="bottom"/>
            <w:vMerge w:val="restart"/>
          </w:tcPr>
          <w:p>
            <w:pPr>
              <w:jc w:val="center"/>
              <w:spacing w:after="0"/>
              <w:rPr>
                <w:rFonts w:ascii="Arial" w:cs="Arial" w:eastAsia="Arial" w:hAnsi="Arial"/>
                <w:sz w:val="17"/>
                <w:szCs w:val="17"/>
                <w:color w:val="auto"/>
              </w:rPr>
            </w:pPr>
            <w:r>
              <w:rPr>
                <w:rFonts w:ascii="Arial" w:cs="Arial" w:eastAsia="Arial" w:hAnsi="Arial"/>
                <w:sz w:val="17"/>
                <w:szCs w:val="17"/>
                <w:color w:val="auto"/>
              </w:rPr>
              <w:t>F-</w:t>
            </w:r>
            <w:hyperlink w:anchor="page116">
              <w:r>
                <w:rPr>
                  <w:rFonts w:ascii="Arial" w:cs="Arial" w:eastAsia="Arial" w:hAnsi="Arial"/>
                  <w:sz w:val="17"/>
                  <w:szCs w:val="17"/>
                  <w:color w:val="auto"/>
                </w:rPr>
                <w:t>4</w:t>
              </w:r>
            </w:hyperlink>
          </w:p>
        </w:tc>
        <w:tc>
          <w:tcPr>
            <w:tcW w:w="0" w:type="dxa"/>
            <w:vAlign w:val="bottom"/>
          </w:tcPr>
          <w:p>
            <w:pPr>
              <w:spacing w:after="0"/>
              <w:rPr>
                <w:sz w:val="1"/>
                <w:szCs w:val="1"/>
                <w:color w:val="auto"/>
              </w:rPr>
            </w:pPr>
          </w:p>
        </w:tc>
      </w:tr>
      <w:tr>
        <w:trPr>
          <w:trHeight w:val="201"/>
        </w:trPr>
        <w:tc>
          <w:tcPr>
            <w:tcW w:w="100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0" w:type="dxa"/>
            <w:vAlign w:val="bottom"/>
          </w:tcPr>
          <w:p>
            <w:pPr>
              <w:ind w:left="20"/>
              <w:spacing w:after="0"/>
              <w:rPr>
                <w:rFonts w:ascii="Arial" w:cs="Arial" w:eastAsia="Arial" w:hAnsi="Arial"/>
                <w:sz w:val="17"/>
                <w:szCs w:val="17"/>
                <w:color w:val="auto"/>
              </w:rPr>
            </w:pPr>
            <w:hyperlink w:anchor="page117">
              <w:r>
                <w:rPr>
                  <w:rFonts w:ascii="Arial" w:cs="Arial" w:eastAsia="Arial" w:hAnsi="Arial"/>
                  <w:sz w:val="17"/>
                  <w:szCs w:val="17"/>
                  <w:color w:val="auto"/>
                </w:rPr>
                <w:t>Consolidated Statements of Cash Flows</w:t>
              </w:r>
            </w:hyperlink>
          </w:p>
        </w:tc>
        <w:tc>
          <w:tcPr>
            <w:tcW w:w="760" w:type="dxa"/>
            <w:vAlign w:val="bottom"/>
          </w:tcPr>
          <w:p>
            <w:pPr>
              <w:jc w:val="center"/>
              <w:spacing w:after="0"/>
              <w:rPr>
                <w:rFonts w:ascii="Arial" w:cs="Arial" w:eastAsia="Arial" w:hAnsi="Arial"/>
                <w:sz w:val="17"/>
                <w:szCs w:val="17"/>
                <w:color w:val="auto"/>
              </w:rPr>
            </w:pPr>
            <w:r>
              <w:rPr>
                <w:rFonts w:ascii="Arial" w:cs="Arial" w:eastAsia="Arial" w:hAnsi="Arial"/>
                <w:sz w:val="17"/>
                <w:szCs w:val="17"/>
                <w:color w:val="auto"/>
              </w:rPr>
              <w:t>F-</w:t>
            </w:r>
            <w:hyperlink w:anchor="page117">
              <w:r>
                <w:rPr>
                  <w:rFonts w:ascii="Arial" w:cs="Arial" w:eastAsia="Arial" w:hAnsi="Arial"/>
                  <w:sz w:val="17"/>
                  <w:szCs w:val="17"/>
                  <w:color w:val="auto"/>
                </w:rPr>
                <w:t>5</w:t>
              </w:r>
            </w:hyperlink>
          </w:p>
        </w:tc>
        <w:tc>
          <w:tcPr>
            <w:tcW w:w="0" w:type="dxa"/>
            <w:vAlign w:val="bottom"/>
          </w:tcPr>
          <w:p>
            <w:pPr>
              <w:spacing w:after="0"/>
              <w:rPr>
                <w:sz w:val="1"/>
                <w:szCs w:val="1"/>
                <w:color w:val="auto"/>
              </w:rPr>
            </w:pPr>
          </w:p>
        </w:tc>
      </w:tr>
      <w:tr>
        <w:trPr>
          <w:trHeight w:val="215"/>
        </w:trPr>
        <w:tc>
          <w:tcPr>
            <w:tcW w:w="10000" w:type="dxa"/>
            <w:vAlign w:val="bottom"/>
          </w:tcPr>
          <w:p>
            <w:pPr>
              <w:ind w:left="20"/>
              <w:spacing w:after="0"/>
              <w:rPr>
                <w:rFonts w:ascii="Arial" w:cs="Arial" w:eastAsia="Arial" w:hAnsi="Arial"/>
                <w:sz w:val="17"/>
                <w:szCs w:val="17"/>
                <w:color w:val="auto"/>
              </w:rPr>
            </w:pPr>
            <w:hyperlink w:anchor="page119">
              <w:r>
                <w:rPr>
                  <w:rFonts w:ascii="Arial" w:cs="Arial" w:eastAsia="Arial" w:hAnsi="Arial"/>
                  <w:sz w:val="17"/>
                  <w:szCs w:val="17"/>
                  <w:color w:val="auto"/>
                </w:rPr>
                <w:t>Notes to Consolidated Financial Statements</w:t>
              </w:r>
            </w:hyperlink>
          </w:p>
        </w:tc>
        <w:tc>
          <w:tcPr>
            <w:tcW w:w="760" w:type="dxa"/>
            <w:vAlign w:val="bottom"/>
          </w:tcPr>
          <w:p>
            <w:pPr>
              <w:jc w:val="center"/>
              <w:spacing w:after="0"/>
              <w:rPr>
                <w:rFonts w:ascii="Arial" w:cs="Arial" w:eastAsia="Arial" w:hAnsi="Arial"/>
                <w:sz w:val="17"/>
                <w:szCs w:val="17"/>
                <w:color w:val="auto"/>
              </w:rPr>
            </w:pPr>
            <w:r>
              <w:rPr>
                <w:rFonts w:ascii="Arial" w:cs="Arial" w:eastAsia="Arial" w:hAnsi="Arial"/>
                <w:sz w:val="17"/>
                <w:szCs w:val="17"/>
                <w:color w:val="auto"/>
              </w:rPr>
              <w:t>F-</w:t>
            </w:r>
            <w:hyperlink w:anchor="page119">
              <w:r>
                <w:rPr>
                  <w:rFonts w:ascii="Arial" w:cs="Arial" w:eastAsia="Arial" w:hAnsi="Arial"/>
                  <w:sz w:val="17"/>
                  <w:szCs w:val="17"/>
                  <w:color w:val="auto"/>
                </w:rPr>
                <w:t>7</w:t>
              </w:r>
            </w:hyperlink>
          </w:p>
        </w:tc>
        <w:tc>
          <w:tcPr>
            <w:tcW w:w="0" w:type="dxa"/>
            <w:vAlign w:val="bottom"/>
          </w:tcPr>
          <w:p>
            <w:pPr>
              <w:spacing w:after="0"/>
              <w:rPr>
                <w:sz w:val="1"/>
                <w:szCs w:val="1"/>
                <w:color w:val="auto"/>
              </w:rPr>
            </w:pPr>
          </w:p>
        </w:tc>
      </w:tr>
      <w:tr>
        <w:trPr>
          <w:trHeight w:val="57"/>
        </w:trPr>
        <w:tc>
          <w:tcPr>
            <w:tcW w:w="100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60"/>
          </w:cols>
          <w:pgMar w:left="320" w:top="1257" w:right="819" w:bottom="1440" w:gutter="0" w:footer="0" w:header="0"/>
        </w:sectPr>
      </w:pPr>
    </w:p>
    <w:bookmarkStart w:id="113" w:name="page114"/>
    <w:bookmarkEnd w:id="113"/>
    <w:p>
      <w:pPr>
        <w:ind w:left="26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Keros Therapeutics, Inc.</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00"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have audited the accompanying consolidated balance sheets of Keros Therapeutics, Inc. and subsidiaries (the "Company") as of December 31, 2021 and 2020, the related consolidated statements of operations, convertible preferred stock and stockholders’ equity (deficit),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87"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March 9, 2022</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14" w:name="page115"/>
    <w:bookmarkEnd w:id="114"/>
    <w:p>
      <w:pPr>
        <w:jc w:val="center"/>
        <w:ind w:right="-479"/>
        <w:spacing w:after="0"/>
        <w:rPr>
          <w:sz w:val="20"/>
          <w:szCs w:val="20"/>
          <w:color w:val="auto"/>
        </w:rPr>
      </w:pPr>
      <w:r>
        <w:rPr>
          <w:rFonts w:ascii="Arial" w:cs="Arial" w:eastAsia="Arial" w:hAnsi="Arial"/>
          <w:sz w:val="18"/>
          <w:szCs w:val="18"/>
          <w:b w:val="1"/>
          <w:bCs w:val="1"/>
          <w:color w:val="auto"/>
        </w:rPr>
        <w:t>KEROS THERAPEUTICS, INC.</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Consolidated Balance Sheets</w:t>
      </w:r>
    </w:p>
    <w:p>
      <w:pPr>
        <w:spacing w:after="0" w:line="2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82625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724"/>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99"/>
        </w:trPr>
        <w:tc>
          <w:tcPr>
            <w:tcW w:w="8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6"/>
        </w:trPr>
        <w:tc>
          <w:tcPr>
            <w:tcW w:w="8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Cash and cash equivalents</w:t>
            </w: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265,876</w:t>
            </w:r>
          </w:p>
        </w:tc>
        <w:tc>
          <w:tcPr>
            <w:tcW w:w="0" w:type="dxa"/>
            <w:vAlign w:val="bottom"/>
          </w:tcPr>
          <w:p>
            <w:pPr>
              <w:spacing w:after="0"/>
              <w:rPr>
                <w:sz w:val="1"/>
                <w:szCs w:val="1"/>
                <w:color w:val="auto"/>
              </w:rPr>
            </w:pPr>
          </w:p>
        </w:tc>
      </w:tr>
      <w:tr>
        <w:trPr>
          <w:trHeight w:val="196"/>
        </w:trPr>
        <w:tc>
          <w:tcPr>
            <w:tcW w:w="8020" w:type="dxa"/>
            <w:vAlign w:val="bottom"/>
          </w:tcPr>
          <w:p>
            <w:pPr>
              <w:ind w:left="240"/>
              <w:spacing w:after="0"/>
              <w:rPr>
                <w:sz w:val="20"/>
                <w:szCs w:val="20"/>
                <w:color w:val="auto"/>
              </w:rPr>
            </w:pPr>
            <w:r>
              <w:rPr>
                <w:rFonts w:ascii="Arial" w:cs="Arial" w:eastAsia="Arial" w:hAnsi="Arial"/>
                <w:sz w:val="15"/>
                <w:szCs w:val="15"/>
                <w:color w:val="auto"/>
              </w:rPr>
              <w:t>Accounts receivable</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18,000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Prepaid expenses and other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1,850</w:t>
            </w:r>
          </w:p>
        </w:tc>
        <w:tc>
          <w:tcPr>
            <w:tcW w:w="0" w:type="dxa"/>
            <w:vAlign w:val="bottom"/>
          </w:tcPr>
          <w:p>
            <w:pPr>
              <w:spacing w:after="0"/>
              <w:rPr>
                <w:sz w:val="1"/>
                <w:szCs w:val="1"/>
                <w:color w:val="auto"/>
              </w:rPr>
            </w:pPr>
          </w:p>
        </w:tc>
      </w:tr>
      <w:tr>
        <w:trPr>
          <w:trHeight w:val="190"/>
        </w:trPr>
        <w:tc>
          <w:tcPr>
            <w:tcW w:w="8020" w:type="dxa"/>
            <w:vAlign w:val="bottom"/>
          </w:tcPr>
          <w:p>
            <w:pPr>
              <w:ind w:left="460"/>
              <w:spacing w:after="0"/>
              <w:rPr>
                <w:sz w:val="20"/>
                <w:szCs w:val="20"/>
                <w:color w:val="auto"/>
              </w:rPr>
            </w:pPr>
            <w:r>
              <w:rPr>
                <w:rFonts w:ascii="Arial" w:cs="Arial" w:eastAsia="Arial" w:hAnsi="Arial"/>
                <w:sz w:val="15"/>
                <w:szCs w:val="15"/>
                <w:color w:val="auto"/>
              </w:rPr>
              <w:t>Total current assets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251,440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267,726</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right-of-use 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878</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5"/>
                <w:szCs w:val="15"/>
                <w:color w:val="auto"/>
              </w:rPr>
              <w:t>Property and equipment,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1,335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long term assets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ASSETS</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255,251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269,443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0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LIABILITIES: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ind w:left="240"/>
              <w:spacing w:after="0"/>
              <w:rPr>
                <w:sz w:val="20"/>
                <w:szCs w:val="20"/>
                <w:color w:val="auto"/>
              </w:rPr>
            </w:pPr>
            <w:r>
              <w:rPr>
                <w:rFonts w:ascii="Arial" w:cs="Arial" w:eastAsia="Arial" w:hAnsi="Arial"/>
                <w:sz w:val="15"/>
                <w:szCs w:val="15"/>
                <w:color w:val="auto"/>
              </w:rPr>
              <w:t>Accounts payable</w:t>
            </w: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3,645</w:t>
            </w:r>
          </w:p>
        </w:tc>
        <w:tc>
          <w:tcPr>
            <w:tcW w:w="100" w:type="dxa"/>
            <w:vAlign w:val="bottom"/>
          </w:tcPr>
          <w:p>
            <w:pPr>
              <w:spacing w:after="0"/>
              <w:rPr>
                <w:sz w:val="17"/>
                <w:szCs w:val="17"/>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2,149</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Current portion of operating lease liabilities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423</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5"/>
                <w:szCs w:val="15"/>
                <w:color w:val="auto"/>
              </w:rPr>
              <w:t>Accrued expenses and other current liabilities</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7,339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4,612</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11,846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7,184</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476</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liabilities</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90"/>
        </w:trPr>
        <w:tc>
          <w:tcPr>
            <w:tcW w:w="8020" w:type="dxa"/>
            <w:vAlign w:val="bottom"/>
          </w:tcPr>
          <w:p>
            <w:pPr>
              <w:ind w:left="460"/>
              <w:spacing w:after="0"/>
              <w:rPr>
                <w:sz w:val="20"/>
                <w:szCs w:val="20"/>
                <w:color w:val="auto"/>
              </w:rPr>
            </w:pPr>
            <w:r>
              <w:rPr>
                <w:rFonts w:ascii="Arial" w:cs="Arial" w:eastAsia="Arial" w:hAnsi="Arial"/>
                <w:sz w:val="15"/>
                <w:szCs w:val="15"/>
                <w:color w:val="auto"/>
              </w:rPr>
              <w:t>Total liabilities</w:t>
            </w: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12,077</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rPr>
              <w:t>7,722</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 (Note 12)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020" w:type="dxa"/>
            <w:vAlign w:val="bottom"/>
            <w:shd w:val="clear" w:color="auto" w:fill="CCEEFF"/>
          </w:tcPr>
          <w:p>
            <w:pPr>
              <w:ind w:left="20"/>
              <w:spacing w:after="0" w:line="163" w:lineRule="exact"/>
              <w:rPr>
                <w:sz w:val="20"/>
                <w:szCs w:val="20"/>
                <w:color w:val="auto"/>
              </w:rPr>
            </w:pPr>
            <w:r>
              <w:rPr>
                <w:rFonts w:ascii="Arial" w:cs="Arial" w:eastAsia="Arial" w:hAnsi="Arial"/>
                <w:sz w:val="15"/>
                <w:szCs w:val="15"/>
                <w:color w:val="auto"/>
              </w:rPr>
              <w:t>Common stock, par value of $0.0001 per share; 200,000,000 and 200,000,000 shares authorized as of December 31,</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color w:val="auto"/>
              </w:rPr>
              <w:t>2021 and December 31, 2020, respectively; 23,974,834 and 23,192,866 shares issued and outstanding as of</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December 31, 2021 and December 31, 2020, respectively</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6"/>
        </w:trPr>
        <w:tc>
          <w:tcPr>
            <w:tcW w:w="8020" w:type="dxa"/>
            <w:vAlign w:val="bottom"/>
          </w:tcPr>
          <w:p>
            <w:pPr>
              <w:ind w:left="240"/>
              <w:spacing w:after="0"/>
              <w:rPr>
                <w:sz w:val="20"/>
                <w:szCs w:val="20"/>
                <w:color w:val="auto"/>
              </w:rPr>
            </w:pPr>
            <w:r>
              <w:rPr>
                <w:rFonts w:ascii="Arial" w:cs="Arial" w:eastAsia="Arial" w:hAnsi="Arial"/>
                <w:sz w:val="15"/>
                <w:szCs w:val="15"/>
                <w:color w:val="auto"/>
              </w:rPr>
              <w:t>Additional paid-in capital</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366,927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5"/>
                <w:szCs w:val="15"/>
                <w:color w:val="auto"/>
              </w:rPr>
              <w:t>326,730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40"/>
              <w:spacing w:after="0"/>
              <w:rPr>
                <w:sz w:val="20"/>
                <w:szCs w:val="20"/>
                <w:color w:val="auto"/>
              </w:rPr>
            </w:pPr>
            <w:r>
              <w:rPr>
                <w:rFonts w:ascii="Arial" w:cs="Arial" w:eastAsia="Arial" w:hAnsi="Arial"/>
                <w:sz w:val="15"/>
                <w:szCs w:val="15"/>
                <w:color w:val="auto"/>
              </w:rPr>
              <w:t>Accumulated deficit</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(123,755)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(65,011)</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5"/>
                <w:szCs w:val="15"/>
                <w:color w:val="auto"/>
              </w:rPr>
              <w:t>Total stockholders’ equity</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243,174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261,721</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5"/>
                <w:szCs w:val="15"/>
                <w:color w:val="auto"/>
              </w:rPr>
              <w:t>TOTAL LIABILITIES AND STOCKHOLDERS’ EQUITY</w:t>
            </w: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269,443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See notes to consolidated financial statements.</w:t>
      </w:r>
    </w:p>
    <w:p>
      <w:pPr>
        <w:spacing w:after="0" w:line="36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60"/>
          </w:cols>
          <w:pgMar w:left="320" w:top="855" w:right="819" w:bottom="1440" w:gutter="0" w:footer="0" w:header="0"/>
        </w:sectPr>
      </w:pPr>
    </w:p>
    <w:bookmarkStart w:id="115" w:name="page116"/>
    <w:bookmarkEnd w:id="115"/>
    <w:p>
      <w:pPr>
        <w:jc w:val="center"/>
        <w:ind w:right="-479"/>
        <w:spacing w:after="0"/>
        <w:rPr>
          <w:sz w:val="20"/>
          <w:szCs w:val="20"/>
          <w:color w:val="auto"/>
        </w:rPr>
      </w:pPr>
      <w:r>
        <w:rPr>
          <w:rFonts w:ascii="Arial" w:cs="Arial" w:eastAsia="Arial" w:hAnsi="Arial"/>
          <w:sz w:val="18"/>
          <w:szCs w:val="18"/>
          <w:b w:val="1"/>
          <w:bCs w:val="1"/>
          <w:color w:val="auto"/>
        </w:rPr>
        <w:t>KEROS THERAPEUTICS, INC.</w:t>
      </w:r>
    </w:p>
    <w:p>
      <w:pPr>
        <w:spacing w:after="0" w:line="166" w:lineRule="exact"/>
        <w:rPr>
          <w:sz w:val="20"/>
          <w:szCs w:val="20"/>
          <w:color w:val="auto"/>
        </w:rPr>
      </w:pPr>
    </w:p>
    <w:p>
      <w:pPr>
        <w:jc w:val="center"/>
        <w:ind w:right="-47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8262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YEAR ENDED DECEMBER 31,</w:t>
            </w:r>
          </w:p>
        </w:tc>
      </w:tr>
      <w:tr>
        <w:trPr>
          <w:trHeight w:val="211"/>
        </w:trPr>
        <w:tc>
          <w:tcPr>
            <w:tcW w:w="7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5"/>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2"/>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Research collaboration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8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8"/>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(33,860)</w:t>
            </w:r>
          </w:p>
        </w:tc>
      </w:tr>
      <w:tr>
        <w:trPr>
          <w:trHeight w:val="212"/>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(12,797)</w:t>
            </w:r>
          </w:p>
        </w:tc>
      </w:tr>
      <w:tr>
        <w:trPr>
          <w:trHeight w:val="208"/>
        </w:trPr>
        <w:tc>
          <w:tcPr>
            <w:tcW w:w="78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(76,473)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(46,657)</w:t>
            </w:r>
          </w:p>
        </w:tc>
      </w:tr>
      <w:tr>
        <w:trPr>
          <w:trHeight w:val="208"/>
        </w:trPr>
        <w:tc>
          <w:tcPr>
            <w:tcW w:w="784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(56,373)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(46,657)</w:t>
            </w:r>
          </w:p>
        </w:tc>
      </w:tr>
      <w:tr>
        <w:trPr>
          <w:trHeight w:val="218"/>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2"/>
        </w:trPr>
        <w:tc>
          <w:tcPr>
            <w:tcW w:w="784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8"/>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Research and development incentive income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w:t>
            </w:r>
          </w:p>
        </w:tc>
      </w:tr>
      <w:tr>
        <w:trPr>
          <w:trHeight w:val="212"/>
        </w:trPr>
        <w:tc>
          <w:tcPr>
            <w:tcW w:w="7840" w:type="dxa"/>
            <w:vAlign w:val="bottom"/>
          </w:tcPr>
          <w:p>
            <w:pPr>
              <w:ind w:left="240"/>
              <w:spacing w:after="0"/>
              <w:rPr>
                <w:sz w:val="20"/>
                <w:szCs w:val="20"/>
                <w:color w:val="auto"/>
              </w:rPr>
            </w:pPr>
            <w:r>
              <w:rPr>
                <w:rFonts w:ascii="Arial" w:cs="Arial" w:eastAsia="Arial" w:hAnsi="Arial"/>
                <w:sz w:val="16"/>
                <w:szCs w:val="16"/>
                <w:color w:val="auto"/>
              </w:rPr>
              <w:t>Change in fair value of preferred stock tranche obligation</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(1,490)</w:t>
            </w:r>
          </w:p>
        </w:tc>
      </w:tr>
      <w:tr>
        <w:trPr>
          <w:trHeight w:val="215"/>
        </w:trPr>
        <w:tc>
          <w:tcPr>
            <w:tcW w:w="7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08"/>
        </w:trPr>
        <w:tc>
          <w:tcPr>
            <w:tcW w:w="7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 (expense), net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w:t>
            </w: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(45,533)</w:t>
            </w:r>
          </w:p>
        </w:tc>
      </w:tr>
      <w:tr>
        <w:trPr>
          <w:trHeight w:val="212"/>
        </w:trPr>
        <w:tc>
          <w:tcPr>
            <w:tcW w:w="7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Income tax (provision) benefit</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3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(58,744)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(45,361)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stockholders—basic and diluted</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(58,744)</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(45,361)</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stockholders—basic and diluted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8"/>
        </w:trPr>
        <w:tc>
          <w:tcPr>
            <w:tcW w:w="7840" w:type="dxa"/>
            <w:vAlign w:val="bottom"/>
          </w:tcPr>
          <w:p>
            <w:pPr>
              <w:ind w:left="20"/>
              <w:spacing w:after="0"/>
              <w:rPr>
                <w:sz w:val="20"/>
                <w:szCs w:val="20"/>
                <w:color w:val="auto"/>
              </w:rPr>
            </w:pPr>
            <w:r>
              <w:rPr>
                <w:rFonts w:ascii="Arial" w:cs="Arial" w:eastAsia="Arial" w:hAnsi="Arial"/>
                <w:sz w:val="16"/>
                <w:szCs w:val="16"/>
                <w:color w:val="auto"/>
              </w:rPr>
              <w:t>Weighted-average common stock outstanding—basic and diluted</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23,333,914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15,506,397</w:t>
            </w: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See notes to consolidated financial statements.</w:t>
      </w:r>
    </w:p>
    <w:p>
      <w:pPr>
        <w:spacing w:after="0" w:line="36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60"/>
          </w:cols>
          <w:pgMar w:left="320" w:top="855" w:right="819" w:bottom="1440" w:gutter="0" w:footer="0" w:header="0"/>
        </w:sectPr>
      </w:pPr>
    </w:p>
    <w:bookmarkStart w:id="116" w:name="page117"/>
    <w:bookmarkEnd w:id="116"/>
    <w:p>
      <w:pPr>
        <w:jc w:val="center"/>
        <w:ind w:right="100"/>
        <w:spacing w:after="0"/>
        <w:rPr>
          <w:sz w:val="20"/>
          <w:szCs w:val="20"/>
          <w:color w:val="auto"/>
        </w:rPr>
      </w:pPr>
      <w:r>
        <w:rPr>
          <w:rFonts w:ascii="Arial" w:cs="Arial" w:eastAsia="Arial" w:hAnsi="Arial"/>
          <w:sz w:val="18"/>
          <w:szCs w:val="18"/>
          <w:b w:val="1"/>
          <w:bCs w:val="1"/>
          <w:color w:val="auto"/>
        </w:rPr>
        <w:t>KEROS THERAPEUTICS, INC.</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 (Deficit)</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71964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96455"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9"/>
          </w:tcPr>
          <w:p>
            <w:pPr>
              <w:jc w:val="center"/>
              <w:ind w:right="320"/>
              <w:spacing w:after="0"/>
              <w:rPr>
                <w:sz w:val="20"/>
                <w:szCs w:val="20"/>
                <w:color w:val="auto"/>
              </w:rPr>
            </w:pPr>
            <w:r>
              <w:rPr>
                <w:rFonts w:ascii="Arial" w:cs="Arial" w:eastAsia="Arial" w:hAnsi="Arial"/>
                <w:sz w:val="13"/>
                <w:szCs w:val="13"/>
                <w:b w:val="1"/>
                <w:bCs w:val="1"/>
                <w:color w:val="auto"/>
                <w:w w:val="95"/>
              </w:rPr>
              <w:t>CONVERTIBLE PREFERRED STOCK</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1440" w:type="dxa"/>
            <w:vAlign w:val="bottom"/>
            <w:gridSpan w:val="5"/>
          </w:tcPr>
          <w:p>
            <w:pPr>
              <w:ind w:left="80"/>
              <w:spacing w:after="0" w:line="134" w:lineRule="exact"/>
              <w:rPr>
                <w:sz w:val="20"/>
                <w:szCs w:val="20"/>
                <w:color w:val="auto"/>
              </w:rPr>
            </w:pPr>
            <w:r>
              <w:rPr>
                <w:rFonts w:ascii="Arial" w:cs="Arial" w:eastAsia="Arial" w:hAnsi="Arial"/>
                <w:sz w:val="13"/>
                <w:szCs w:val="13"/>
                <w:b w:val="1"/>
                <w:bCs w:val="1"/>
                <w:color w:val="auto"/>
              </w:rPr>
              <w:t>$0.0001 PAR VALUE</w:t>
            </w:r>
          </w:p>
        </w:tc>
        <w:tc>
          <w:tcPr>
            <w:tcW w:w="1320" w:type="dxa"/>
            <w:vAlign w:val="bottom"/>
            <w:gridSpan w:val="5"/>
          </w:tcPr>
          <w:p>
            <w:pPr>
              <w:jc w:val="center"/>
              <w:ind w:right="60"/>
              <w:spacing w:after="0" w:line="134" w:lineRule="exact"/>
              <w:rPr>
                <w:sz w:val="20"/>
                <w:szCs w:val="20"/>
                <w:color w:val="auto"/>
              </w:rPr>
            </w:pPr>
            <w:r>
              <w:rPr>
                <w:rFonts w:ascii="Arial" w:cs="Arial" w:eastAsia="Arial" w:hAnsi="Arial"/>
                <w:sz w:val="13"/>
                <w:szCs w:val="13"/>
                <w:b w:val="1"/>
                <w:bCs w:val="1"/>
                <w:color w:val="auto"/>
                <w:w w:val="94"/>
              </w:rPr>
              <w:t>$0.0001 PAR</w:t>
            </w:r>
          </w:p>
        </w:tc>
        <w:tc>
          <w:tcPr>
            <w:tcW w:w="1440" w:type="dxa"/>
            <w:vAlign w:val="bottom"/>
            <w:gridSpan w:val="5"/>
          </w:tcPr>
          <w:p>
            <w:pPr>
              <w:jc w:val="center"/>
              <w:ind w:right="80"/>
              <w:spacing w:after="0" w:line="134" w:lineRule="exact"/>
              <w:rPr>
                <w:sz w:val="20"/>
                <w:szCs w:val="20"/>
                <w:color w:val="auto"/>
              </w:rPr>
            </w:pPr>
            <w:r>
              <w:rPr>
                <w:rFonts w:ascii="Arial" w:cs="Arial" w:eastAsia="Arial" w:hAnsi="Arial"/>
                <w:sz w:val="13"/>
                <w:szCs w:val="13"/>
                <w:b w:val="1"/>
                <w:bCs w:val="1"/>
                <w:color w:val="auto"/>
                <w:w w:val="95"/>
              </w:rPr>
              <w:t>$0.0001 PAR VALUE</w:t>
            </w:r>
          </w:p>
        </w:tc>
        <w:tc>
          <w:tcPr>
            <w:tcW w:w="1440" w:type="dxa"/>
            <w:vAlign w:val="bottom"/>
            <w:gridSpan w:val="5"/>
          </w:tcPr>
          <w:p>
            <w:pPr>
              <w:ind w:left="80"/>
              <w:spacing w:after="0" w:line="134" w:lineRule="exact"/>
              <w:rPr>
                <w:sz w:val="20"/>
                <w:szCs w:val="20"/>
                <w:color w:val="auto"/>
              </w:rPr>
            </w:pPr>
            <w:r>
              <w:rPr>
                <w:rFonts w:ascii="Arial" w:cs="Arial" w:eastAsia="Arial" w:hAnsi="Arial"/>
                <w:sz w:val="13"/>
                <w:szCs w:val="13"/>
                <w:b w:val="1"/>
                <w:bCs w:val="1"/>
                <w:color w:val="auto"/>
              </w:rPr>
              <w:t>$0.0001 PAR VALUE</w:t>
            </w:r>
          </w:p>
        </w:tc>
        <w:tc>
          <w:tcPr>
            <w:tcW w:w="1440" w:type="dxa"/>
            <w:vAlign w:val="bottom"/>
            <w:gridSpan w:val="5"/>
          </w:tcPr>
          <w:p>
            <w:pPr>
              <w:ind w:left="160"/>
              <w:spacing w:after="0" w:line="134" w:lineRule="exact"/>
              <w:rPr>
                <w:sz w:val="20"/>
                <w:szCs w:val="20"/>
                <w:color w:val="auto"/>
              </w:rPr>
            </w:pPr>
            <w:r>
              <w:rPr>
                <w:rFonts w:ascii="Arial" w:cs="Arial" w:eastAsia="Arial" w:hAnsi="Arial"/>
                <w:sz w:val="13"/>
                <w:szCs w:val="13"/>
                <w:b w:val="1"/>
                <w:bCs w:val="1"/>
                <w:color w:val="auto"/>
              </w:rPr>
              <w:t>COMMON STOCK</w:t>
            </w:r>
          </w:p>
        </w:tc>
        <w:tc>
          <w:tcPr>
            <w:tcW w:w="9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440" w:type="dxa"/>
            <w:vAlign w:val="bottom"/>
            <w:gridSpan w:val="5"/>
          </w:tcPr>
          <w:p>
            <w:pPr>
              <w:ind w:left="380"/>
              <w:spacing w:after="0" w:line="121" w:lineRule="exact"/>
              <w:rPr>
                <w:sz w:val="20"/>
                <w:szCs w:val="20"/>
                <w:color w:val="auto"/>
              </w:rPr>
            </w:pPr>
            <w:r>
              <w:rPr>
                <w:rFonts w:ascii="Arial" w:cs="Arial" w:eastAsia="Arial" w:hAnsi="Arial"/>
                <w:sz w:val="13"/>
                <w:szCs w:val="13"/>
                <w:b w:val="1"/>
                <w:bCs w:val="1"/>
                <w:color w:val="auto"/>
              </w:rPr>
              <w:t>SERIES A</w:t>
            </w:r>
          </w:p>
        </w:tc>
        <w:tc>
          <w:tcPr>
            <w:tcW w:w="1320" w:type="dxa"/>
            <w:vAlign w:val="bottom"/>
            <w:gridSpan w:val="5"/>
          </w:tcPr>
          <w:p>
            <w:pPr>
              <w:jc w:val="center"/>
              <w:ind w:right="80"/>
              <w:spacing w:after="0" w:line="121" w:lineRule="exact"/>
              <w:rPr>
                <w:sz w:val="20"/>
                <w:szCs w:val="20"/>
                <w:color w:val="auto"/>
              </w:rPr>
            </w:pPr>
            <w:r>
              <w:rPr>
                <w:rFonts w:ascii="Arial" w:cs="Arial" w:eastAsia="Arial" w:hAnsi="Arial"/>
                <w:sz w:val="13"/>
                <w:szCs w:val="13"/>
                <w:b w:val="1"/>
                <w:bCs w:val="1"/>
                <w:color w:val="auto"/>
                <w:w w:val="96"/>
              </w:rPr>
              <w:t>VALUE SERIES A-1</w:t>
            </w:r>
          </w:p>
        </w:tc>
        <w:tc>
          <w:tcPr>
            <w:tcW w:w="1440" w:type="dxa"/>
            <w:vAlign w:val="bottom"/>
            <w:gridSpan w:val="5"/>
          </w:tcPr>
          <w:p>
            <w:pPr>
              <w:jc w:val="center"/>
              <w:ind w:right="60"/>
              <w:spacing w:after="0" w:line="121" w:lineRule="exact"/>
              <w:rPr>
                <w:sz w:val="20"/>
                <w:szCs w:val="20"/>
                <w:color w:val="auto"/>
              </w:rPr>
            </w:pPr>
            <w:r>
              <w:rPr>
                <w:rFonts w:ascii="Arial" w:cs="Arial" w:eastAsia="Arial" w:hAnsi="Arial"/>
                <w:sz w:val="13"/>
                <w:szCs w:val="13"/>
                <w:b w:val="1"/>
                <w:bCs w:val="1"/>
                <w:color w:val="auto"/>
                <w:w w:val="96"/>
              </w:rPr>
              <w:t>SERIES B-1</w:t>
            </w:r>
          </w:p>
        </w:tc>
        <w:tc>
          <w:tcPr>
            <w:tcW w:w="1440" w:type="dxa"/>
            <w:vAlign w:val="bottom"/>
            <w:gridSpan w:val="5"/>
          </w:tcPr>
          <w:p>
            <w:pPr>
              <w:ind w:left="380"/>
              <w:spacing w:after="0" w:line="121" w:lineRule="exact"/>
              <w:rPr>
                <w:sz w:val="20"/>
                <w:szCs w:val="20"/>
                <w:color w:val="auto"/>
              </w:rPr>
            </w:pPr>
            <w:r>
              <w:rPr>
                <w:rFonts w:ascii="Arial" w:cs="Arial" w:eastAsia="Arial" w:hAnsi="Arial"/>
                <w:sz w:val="13"/>
                <w:szCs w:val="13"/>
                <w:b w:val="1"/>
                <w:bCs w:val="1"/>
                <w:color w:val="auto"/>
              </w:rPr>
              <w:t>SERIES C</w:t>
            </w:r>
          </w:p>
        </w:tc>
        <w:tc>
          <w:tcPr>
            <w:tcW w:w="1440" w:type="dxa"/>
            <w:vAlign w:val="bottom"/>
            <w:gridSpan w:val="5"/>
          </w:tcPr>
          <w:p>
            <w:pPr>
              <w:ind w:left="80"/>
              <w:spacing w:after="0" w:line="121" w:lineRule="exact"/>
              <w:rPr>
                <w:sz w:val="20"/>
                <w:szCs w:val="20"/>
                <w:color w:val="auto"/>
              </w:rPr>
            </w:pPr>
            <w:r>
              <w:rPr>
                <w:rFonts w:ascii="Arial" w:cs="Arial" w:eastAsia="Arial" w:hAnsi="Arial"/>
                <w:sz w:val="13"/>
                <w:szCs w:val="13"/>
                <w:b w:val="1"/>
                <w:bCs w:val="1"/>
                <w:color w:val="auto"/>
              </w:rPr>
              <w:t>$0.0001 PAR VALUE</w:t>
            </w:r>
          </w:p>
        </w:tc>
        <w:tc>
          <w:tcPr>
            <w:tcW w:w="9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PAID-IN</w:t>
            </w:r>
          </w:p>
        </w:tc>
        <w:tc>
          <w:tcPr>
            <w:tcW w:w="1100" w:type="dxa"/>
            <w:vAlign w:val="bottom"/>
            <w:gridSpan w:val="3"/>
          </w:tcPr>
          <w:p>
            <w:pPr>
              <w:ind w:left="20"/>
              <w:spacing w:after="0" w:line="54" w:lineRule="exact"/>
              <w:rPr>
                <w:sz w:val="20"/>
                <w:szCs w:val="20"/>
                <w:color w:val="auto"/>
              </w:rPr>
            </w:pPr>
            <w:r>
              <w:rPr>
                <w:rFonts w:ascii="Arial" w:cs="Arial" w:eastAsia="Arial" w:hAnsi="Arial"/>
                <w:sz w:val="6"/>
                <w:szCs w:val="6"/>
                <w:b w:val="1"/>
                <w:bCs w:val="1"/>
                <w:color w:val="auto"/>
              </w:rPr>
              <w:t>ACCUMULATED</w:t>
            </w:r>
          </w:p>
        </w:tc>
        <w:tc>
          <w:tcPr>
            <w:tcW w:w="1100" w:type="dxa"/>
            <w:vAlign w:val="bottom"/>
            <w:gridSpan w:val="2"/>
          </w:tcPr>
          <w:p>
            <w:pPr>
              <w:ind w:left="20"/>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3440" w:type="dxa"/>
            <w:vAlign w:val="bottom"/>
            <w:gridSpan w:val="13"/>
          </w:tcPr>
          <w:p>
            <w:pPr>
              <w:ind w:left="20"/>
              <w:spacing w:after="0"/>
              <w:rPr>
                <w:sz w:val="20"/>
                <w:szCs w:val="20"/>
                <w:color w:val="auto"/>
              </w:rPr>
            </w:pPr>
            <w:r>
              <w:rPr>
                <w:rFonts w:ascii="Arial" w:cs="Arial" w:eastAsia="Arial" w:hAnsi="Arial"/>
                <w:sz w:val="13"/>
                <w:szCs w:val="13"/>
                <w:b w:val="1"/>
                <w:bCs w:val="1"/>
                <w:color w:val="auto"/>
              </w:rPr>
              <w:t>AMOUNT  SHARES  AMOUNT   SHARES   AMOUNT</w:t>
            </w: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w w:val="95"/>
              </w:rPr>
              <w:t>EQUITY (DEFICIT)</w:t>
            </w:r>
          </w:p>
        </w:tc>
        <w:tc>
          <w:tcPr>
            <w:tcW w:w="0" w:type="dxa"/>
            <w:vAlign w:val="bottom"/>
          </w:tcPr>
          <w:p>
            <w:pPr>
              <w:spacing w:after="0"/>
              <w:rPr>
                <w:sz w:val="1"/>
                <w:szCs w:val="1"/>
                <w:color w:val="auto"/>
              </w:rPr>
            </w:pPr>
          </w:p>
        </w:tc>
      </w:tr>
      <w:tr>
        <w:trPr>
          <w:trHeight w:val="105"/>
        </w:trPr>
        <w:tc>
          <w:tcPr>
            <w:tcW w:w="1160" w:type="dxa"/>
            <w:vAlign w:val="bottom"/>
            <w:tcBorders>
              <w:top w:val="single" w:sz="8" w:color="CCEEFF"/>
            </w:tcBorders>
            <w:shd w:val="clear" w:color="auto" w:fill="CCEEFF"/>
          </w:tcPr>
          <w:p>
            <w:pPr>
              <w:ind w:left="20"/>
              <w:spacing w:after="0" w:line="105" w:lineRule="exact"/>
              <w:rPr>
                <w:sz w:val="20"/>
                <w:szCs w:val="20"/>
                <w:color w:val="auto"/>
              </w:rPr>
            </w:pPr>
            <w:r>
              <w:rPr>
                <w:rFonts w:ascii="Arial" w:cs="Arial" w:eastAsia="Arial" w:hAnsi="Arial"/>
                <w:sz w:val="11"/>
                <w:szCs w:val="11"/>
                <w:b w:val="1"/>
                <w:bCs w:val="1"/>
                <w:color w:val="auto"/>
              </w:rPr>
              <w:t>BALANCE,</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4,607,652</w:t>
            </w: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9,891</w:t>
            </w: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368,612</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944</w:t>
            </w: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1,579,043</w:t>
            </w: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9,106</w:t>
            </w: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right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2,429,705</w:t>
            </w: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(19,650)</w:t>
            </w: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(19,446)</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CCEEFF"/>
            </w:tcBorders>
            <w:shd w:val="clear" w:color="auto" w:fill="CCEEFF"/>
          </w:tcPr>
          <w:p>
            <w:pPr>
              <w:ind w:left="180"/>
              <w:spacing w:after="0" w:line="148" w:lineRule="exact"/>
              <w:rPr>
                <w:sz w:val="20"/>
                <w:szCs w:val="20"/>
                <w:color w:val="auto"/>
              </w:rPr>
            </w:pPr>
            <w:r>
              <w:rPr>
                <w:rFonts w:ascii="Arial" w:cs="Arial" w:eastAsia="Arial" w:hAnsi="Arial"/>
                <w:sz w:val="13"/>
                <w:szCs w:val="13"/>
                <w:b w:val="1"/>
                <w:bCs w:val="1"/>
                <w:color w:val="auto"/>
                <w:w w:val="99"/>
              </w:rPr>
              <w:t>January 1, 2020</w:t>
            </w: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auto"/>
            </w:tcBorders>
            <w:vMerge w:val="continue"/>
            <w:shd w:val="clear" w:color="auto" w:fill="CCEEFF"/>
          </w:tcPr>
          <w:p>
            <w:pPr>
              <w:spacing w:after="0"/>
              <w:rPr>
                <w:sz w:val="14"/>
                <w:szCs w:val="14"/>
                <w:color w:val="auto"/>
              </w:rPr>
            </w:pPr>
          </w:p>
        </w:tc>
        <w:tc>
          <w:tcPr>
            <w:tcW w:w="5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bottom w:val="single" w:sz="8" w:color="CCEEFF"/>
            </w:tcBorders>
            <w:vMerge w:val="restart"/>
          </w:tcPr>
          <w:p>
            <w:pPr>
              <w:ind w:left="20"/>
              <w:spacing w:after="0" w:line="115" w:lineRule="exact"/>
              <w:rPr>
                <w:sz w:val="20"/>
                <w:szCs w:val="20"/>
                <w:color w:val="auto"/>
              </w:rPr>
            </w:pPr>
            <w:r>
              <w:rPr>
                <w:rFonts w:ascii="Arial" w:cs="Arial" w:eastAsia="Arial" w:hAnsi="Arial"/>
                <w:sz w:val="13"/>
                <w:szCs w:val="13"/>
                <w:color w:val="auto"/>
              </w:rPr>
              <w:t>Issuance of Series</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C convertible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preferred stock,</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net of issuance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tcPr>
          <w:p>
            <w:pPr>
              <w:ind w:left="180"/>
              <w:spacing w:after="0"/>
              <w:rPr>
                <w:sz w:val="20"/>
                <w:szCs w:val="20"/>
                <w:color w:val="auto"/>
              </w:rPr>
            </w:pPr>
            <w:r>
              <w:rPr>
                <w:rFonts w:ascii="Arial" w:cs="Arial" w:eastAsia="Arial" w:hAnsi="Arial"/>
                <w:sz w:val="13"/>
                <w:szCs w:val="13"/>
                <w:color w:val="auto"/>
              </w:rPr>
              <w:t>costs of $227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4,169,822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55,781</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7"/>
        </w:trPr>
        <w:tc>
          <w:tcPr>
            <w:tcW w:w="1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Settlement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preferred stock</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tranche liability</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6,446</w:t>
            </w: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3"/>
                <w:szCs w:val="13"/>
                <w:color w:val="auto"/>
              </w:rPr>
              <w:t>Conversion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convertible</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preferred stock</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upon initial</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tcPr>
          <w:p>
            <w:pPr>
              <w:ind w:left="180"/>
              <w:spacing w:after="0"/>
              <w:rPr>
                <w:sz w:val="20"/>
                <w:szCs w:val="20"/>
                <w:color w:val="auto"/>
              </w:rPr>
            </w:pPr>
            <w:r>
              <w:rPr>
                <w:rFonts w:ascii="Arial" w:cs="Arial" w:eastAsia="Arial" w:hAnsi="Arial"/>
                <w:sz w:val="13"/>
                <w:szCs w:val="13"/>
                <w:color w:val="auto"/>
              </w:rPr>
              <w:t>public offering</w:t>
            </w:r>
          </w:p>
        </w:tc>
        <w:tc>
          <w:tcPr>
            <w:tcW w:w="680" w:type="dxa"/>
            <w:vAlign w:val="bottom"/>
          </w:tcPr>
          <w:p>
            <w:pPr>
              <w:jc w:val="right"/>
              <w:spacing w:after="0"/>
              <w:rPr>
                <w:sz w:val="20"/>
                <w:szCs w:val="20"/>
                <w:color w:val="auto"/>
              </w:rPr>
            </w:pPr>
            <w:r>
              <w:rPr>
                <w:rFonts w:ascii="Arial" w:cs="Arial" w:eastAsia="Arial" w:hAnsi="Arial"/>
                <w:sz w:val="13"/>
                <w:szCs w:val="13"/>
                <w:color w:val="auto"/>
                <w:w w:val="96"/>
              </w:rPr>
              <w:t>(4,607,652)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(9,891)</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(368,612)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(944)</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6"/>
              </w:rPr>
              <w:t>(1,579,043)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(9,106)</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w w:val="96"/>
              </w:rPr>
              <w:t>(4,169,822)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4"/>
              </w:rPr>
              <w:t>(55,781)</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5"/>
              </w:rPr>
              <w:t>10,725,129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75,721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75,722</w:t>
            </w:r>
          </w:p>
        </w:tc>
        <w:tc>
          <w:tcPr>
            <w:tcW w:w="0" w:type="dxa"/>
            <w:vAlign w:val="bottom"/>
          </w:tcPr>
          <w:p>
            <w:pPr>
              <w:spacing w:after="0"/>
              <w:rPr>
                <w:sz w:val="1"/>
                <w:szCs w:val="1"/>
                <w:color w:val="auto"/>
              </w:rPr>
            </w:pPr>
          </w:p>
        </w:tc>
      </w:tr>
      <w:tr>
        <w:trPr>
          <w:trHeight w:val="137"/>
        </w:trPr>
        <w:tc>
          <w:tcPr>
            <w:tcW w:w="1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Initial public</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offering, net of</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underwriting</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discounts,</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commissions and</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offering costs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6,900,000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100,123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100,123</w:t>
            </w: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3"/>
                <w:szCs w:val="13"/>
                <w:color w:val="auto"/>
              </w:rPr>
              <w:t>Issuance of</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common stock,</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net of</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underwriting</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discounts,</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commissions</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and offering</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tcPr>
          <w:p>
            <w:pPr>
              <w:ind w:left="180"/>
              <w:spacing w:after="0"/>
              <w:rPr>
                <w:sz w:val="20"/>
                <w:szCs w:val="20"/>
                <w:color w:val="auto"/>
              </w:rPr>
            </w:pPr>
            <w:r>
              <w:rPr>
                <w:rFonts w:ascii="Arial" w:cs="Arial" w:eastAsia="Arial" w:hAnsi="Arial"/>
                <w:sz w:val="13"/>
                <w:szCs w:val="13"/>
                <w:color w:val="auto"/>
              </w:rPr>
              <w:t>costs of $9,390</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2,990,000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140,110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140,110</w:t>
            </w:r>
          </w:p>
        </w:tc>
        <w:tc>
          <w:tcPr>
            <w:tcW w:w="0" w:type="dxa"/>
            <w:vAlign w:val="bottom"/>
          </w:tcPr>
          <w:p>
            <w:pPr>
              <w:spacing w:after="0"/>
              <w:rPr>
                <w:sz w:val="1"/>
                <w:szCs w:val="1"/>
                <w:color w:val="auto"/>
              </w:rPr>
            </w:pPr>
          </w:p>
        </w:tc>
      </w:tr>
      <w:tr>
        <w:trPr>
          <w:trHeight w:val="137"/>
        </w:trPr>
        <w:tc>
          <w:tcPr>
            <w:tcW w:w="1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Exercise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common stock</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options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3"/>
                <w:szCs w:val="13"/>
                <w:color w:val="auto"/>
                <w:w w:val="97"/>
              </w:rPr>
              <w:t>Vesting of restricted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60" w:type="dxa"/>
            <w:vAlign w:val="bottom"/>
          </w:tcPr>
          <w:p>
            <w:pPr>
              <w:ind w:left="20"/>
              <w:spacing w:after="0"/>
              <w:rPr>
                <w:sz w:val="20"/>
                <w:szCs w:val="20"/>
                <w:color w:val="auto"/>
              </w:rPr>
            </w:pPr>
            <w:r>
              <w:rPr>
                <w:rFonts w:ascii="Arial" w:cs="Arial" w:eastAsia="Arial" w:hAnsi="Arial"/>
                <w:sz w:val="13"/>
                <w:szCs w:val="13"/>
                <w:color w:val="auto"/>
              </w:rPr>
              <w:t>stock</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34,557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1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Stock-based</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compensation</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4,097</w:t>
            </w:r>
          </w:p>
        </w:tc>
        <w:tc>
          <w:tcPr>
            <w:tcW w:w="0" w:type="dxa"/>
            <w:vAlign w:val="bottom"/>
          </w:tcPr>
          <w:p>
            <w:pPr>
              <w:spacing w:after="0"/>
              <w:rPr>
                <w:sz w:val="1"/>
                <w:szCs w:val="1"/>
                <w:color w:val="auto"/>
              </w:rPr>
            </w:pPr>
          </w:p>
        </w:tc>
      </w:tr>
      <w:tr>
        <w:trPr>
          <w:trHeight w:val="168"/>
        </w:trPr>
        <w:tc>
          <w:tcPr>
            <w:tcW w:w="1160" w:type="dxa"/>
            <w:vAlign w:val="bottom"/>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(45,361)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(45,361)</w:t>
            </w:r>
          </w:p>
        </w:tc>
        <w:tc>
          <w:tcPr>
            <w:tcW w:w="0" w:type="dxa"/>
            <w:vAlign w:val="bottom"/>
          </w:tcPr>
          <w:p>
            <w:pPr>
              <w:spacing w:after="0"/>
              <w:rPr>
                <w:sz w:val="1"/>
                <w:szCs w:val="1"/>
                <w:color w:val="auto"/>
              </w:rPr>
            </w:pPr>
          </w:p>
        </w:tc>
      </w:tr>
      <w:tr>
        <w:trPr>
          <w:trHeight w:val="107"/>
        </w:trPr>
        <w:tc>
          <w:tcPr>
            <w:tcW w:w="1160" w:type="dxa"/>
            <w:vAlign w:val="bottom"/>
            <w:tcBorders>
              <w:top w:val="single" w:sz="8" w:color="CCEEFF"/>
            </w:tcBorders>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w:t>
            </w: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b w:val="1"/>
                <w:bCs w:val="1"/>
                <w:color w:val="auto"/>
              </w:rPr>
              <w:t>December 31,</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tcBorders>
              <w:right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23,192,866</w:t>
            </w: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326,730</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(65,011)</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261,721</w:t>
            </w:r>
          </w:p>
        </w:tc>
        <w:tc>
          <w:tcPr>
            <w:tcW w:w="0" w:type="dxa"/>
            <w:vAlign w:val="bottom"/>
          </w:tcPr>
          <w:p>
            <w:pPr>
              <w:spacing w:after="0"/>
              <w:rPr>
                <w:sz w:val="1"/>
                <w:szCs w:val="1"/>
                <w:color w:val="auto"/>
              </w:rPr>
            </w:pPr>
          </w:p>
        </w:tc>
      </w:tr>
      <w:tr>
        <w:trPr>
          <w:trHeight w:val="168"/>
        </w:trPr>
        <w:tc>
          <w:tcPr>
            <w:tcW w:w="1160" w:type="dxa"/>
            <w:vAlign w:val="bottom"/>
            <w:shd w:val="clear" w:color="auto" w:fill="CCEEFF"/>
          </w:tcPr>
          <w:p>
            <w:pPr>
              <w:ind w:left="180"/>
              <w:spacing w:after="0" w:line="148" w:lineRule="exact"/>
              <w:rPr>
                <w:sz w:val="20"/>
                <w:szCs w:val="20"/>
                <w:color w:val="auto"/>
              </w:rPr>
            </w:pPr>
            <w:r>
              <w:rPr>
                <w:rFonts w:ascii="Arial" w:cs="Arial" w:eastAsia="Arial" w:hAnsi="Arial"/>
                <w:sz w:val="13"/>
                <w:szCs w:val="13"/>
                <w:b w:val="1"/>
                <w:bCs w:val="1"/>
                <w:color w:val="auto"/>
              </w:rPr>
              <w:t>2020</w:t>
            </w:r>
          </w:p>
        </w:tc>
        <w:tc>
          <w:tcPr>
            <w:tcW w:w="7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540" w:type="dxa"/>
            <w:vAlign w:val="bottom"/>
            <w:tcBorders>
              <w:right w:val="single" w:sz="8" w:color="auto"/>
            </w:tcBorders>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bottom w:val="single" w:sz="8" w:color="CCEEFF"/>
            </w:tcBorders>
            <w:vMerge w:val="restart"/>
          </w:tcPr>
          <w:p>
            <w:pPr>
              <w:ind w:left="20"/>
              <w:spacing w:after="0" w:line="115" w:lineRule="exact"/>
              <w:rPr>
                <w:sz w:val="20"/>
                <w:szCs w:val="20"/>
                <w:color w:val="auto"/>
              </w:rPr>
            </w:pPr>
            <w:r>
              <w:rPr>
                <w:rFonts w:ascii="Arial" w:cs="Arial" w:eastAsia="Arial" w:hAnsi="Arial"/>
                <w:sz w:val="13"/>
                <w:szCs w:val="13"/>
                <w:color w:val="auto"/>
              </w:rPr>
              <w:t>Issuance of</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16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common stock</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under the ATM</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agreement, net</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rPr>
              <w:t>of commissions</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color w:val="auto"/>
                <w:w w:val="99"/>
              </w:rPr>
              <w:t>and offering cost</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60" w:type="dxa"/>
            <w:vAlign w:val="bottom"/>
          </w:tcPr>
          <w:p>
            <w:pPr>
              <w:ind w:left="180"/>
              <w:spacing w:after="0"/>
              <w:rPr>
                <w:sz w:val="20"/>
                <w:szCs w:val="20"/>
                <w:color w:val="auto"/>
              </w:rPr>
            </w:pPr>
            <w:r>
              <w:rPr>
                <w:rFonts w:ascii="Arial" w:cs="Arial" w:eastAsia="Arial" w:hAnsi="Arial"/>
                <w:sz w:val="13"/>
                <w:szCs w:val="13"/>
                <w:color w:val="auto"/>
              </w:rPr>
              <w:t>of $475</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520,000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28,096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28,096</w:t>
            </w:r>
          </w:p>
        </w:tc>
        <w:tc>
          <w:tcPr>
            <w:tcW w:w="0" w:type="dxa"/>
            <w:vAlign w:val="bottom"/>
          </w:tcPr>
          <w:p>
            <w:pPr>
              <w:spacing w:after="0"/>
              <w:rPr>
                <w:sz w:val="1"/>
                <w:szCs w:val="1"/>
                <w:color w:val="auto"/>
              </w:rPr>
            </w:pPr>
          </w:p>
        </w:tc>
      </w:tr>
      <w:tr>
        <w:trPr>
          <w:trHeight w:val="137"/>
        </w:trPr>
        <w:tc>
          <w:tcPr>
            <w:tcW w:w="1160" w:type="dxa"/>
            <w:vAlign w:val="bottom"/>
            <w:shd w:val="clear" w:color="auto" w:fill="CCEEFF"/>
          </w:tcPr>
          <w:p>
            <w:pPr>
              <w:ind w:left="20"/>
              <w:spacing w:after="0" w:line="138" w:lineRule="exact"/>
              <w:rPr>
                <w:sz w:val="20"/>
                <w:szCs w:val="20"/>
                <w:color w:val="auto"/>
              </w:rPr>
            </w:pPr>
            <w:r>
              <w:rPr>
                <w:rFonts w:ascii="Arial" w:cs="Arial" w:eastAsia="Arial" w:hAnsi="Arial"/>
                <w:sz w:val="13"/>
                <w:szCs w:val="13"/>
                <w:color w:val="auto"/>
              </w:rPr>
              <w:t>Exercise of</w:t>
            </w: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6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rPr>
              <w:t>common stock</w:t>
            </w: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options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3"/>
                <w:szCs w:val="13"/>
                <w:color w:val="auto"/>
              </w:rPr>
              <w:t>Stock-based</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160" w:type="dxa"/>
            <w:vAlign w:val="bottom"/>
          </w:tcPr>
          <w:p>
            <w:pPr>
              <w:ind w:left="180"/>
              <w:spacing w:after="0"/>
              <w:rPr>
                <w:sz w:val="20"/>
                <w:szCs w:val="20"/>
                <w:color w:val="auto"/>
              </w:rPr>
            </w:pPr>
            <w:r>
              <w:rPr>
                <w:rFonts w:ascii="Arial" w:cs="Arial" w:eastAsia="Arial" w:hAnsi="Arial"/>
                <w:sz w:val="13"/>
                <w:szCs w:val="13"/>
                <w:color w:val="auto"/>
              </w:rPr>
              <w:t>compensation</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4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11,722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11,722</w:t>
            </w:r>
          </w:p>
        </w:tc>
        <w:tc>
          <w:tcPr>
            <w:tcW w:w="0" w:type="dxa"/>
            <w:vAlign w:val="bottom"/>
          </w:tcPr>
          <w:p>
            <w:pPr>
              <w:spacing w:after="0"/>
              <w:rPr>
                <w:sz w:val="1"/>
                <w:szCs w:val="1"/>
                <w:color w:val="auto"/>
              </w:rPr>
            </w:pPr>
          </w:p>
        </w:tc>
      </w:tr>
      <w:tr>
        <w:trPr>
          <w:trHeight w:val="183"/>
        </w:trPr>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(58,744)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(58,744)</w:t>
            </w:r>
          </w:p>
        </w:tc>
        <w:tc>
          <w:tcPr>
            <w:tcW w:w="0" w:type="dxa"/>
            <w:vAlign w:val="bottom"/>
          </w:tcPr>
          <w:p>
            <w:pPr>
              <w:spacing w:after="0"/>
              <w:rPr>
                <w:sz w:val="1"/>
                <w:szCs w:val="1"/>
                <w:color w:val="auto"/>
              </w:rPr>
            </w:pPr>
          </w:p>
        </w:tc>
      </w:tr>
      <w:tr>
        <w:trPr>
          <w:trHeight w:val="101"/>
        </w:trPr>
        <w:tc>
          <w:tcPr>
            <w:tcW w:w="1160" w:type="dxa"/>
            <w:vAlign w:val="bottom"/>
          </w:tcPr>
          <w:p>
            <w:pPr>
              <w:ind w:left="20"/>
              <w:spacing w:after="0" w:line="101" w:lineRule="exact"/>
              <w:rPr>
                <w:sz w:val="20"/>
                <w:szCs w:val="20"/>
                <w:color w:val="auto"/>
              </w:rPr>
            </w:pPr>
            <w:r>
              <w:rPr>
                <w:rFonts w:ascii="Arial" w:cs="Arial" w:eastAsia="Arial" w:hAnsi="Arial"/>
                <w:sz w:val="11"/>
                <w:szCs w:val="11"/>
                <w:b w:val="1"/>
                <w:bCs w:val="1"/>
                <w:color w:val="auto"/>
              </w:rPr>
              <w:t>BALANCE,</w:t>
            </w: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60" w:type="dxa"/>
            <w:vAlign w:val="bottom"/>
          </w:tcPr>
          <w:p>
            <w:pPr>
              <w:ind w:left="180"/>
              <w:spacing w:after="0" w:line="121" w:lineRule="exact"/>
              <w:rPr>
                <w:sz w:val="20"/>
                <w:szCs w:val="20"/>
                <w:color w:val="auto"/>
              </w:rPr>
            </w:pPr>
            <w:r>
              <w:rPr>
                <w:rFonts w:ascii="Arial" w:cs="Arial" w:eastAsia="Arial" w:hAnsi="Arial"/>
                <w:sz w:val="13"/>
                <w:szCs w:val="13"/>
                <w:b w:val="1"/>
                <w:bCs w:val="1"/>
                <w:color w:val="auto"/>
              </w:rPr>
              <w:t>December 31,</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540" w:type="dxa"/>
            <w:vAlign w:val="bottom"/>
            <w:tcBorders>
              <w:right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5"/>
              </w:rPr>
              <w:t>23,974,834</w:t>
            </w:r>
          </w:p>
        </w:tc>
        <w:tc>
          <w:tcPr>
            <w:tcW w:w="80" w:type="dxa"/>
            <w:vAlign w:val="bottom"/>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366,927</w:t>
            </w:r>
          </w:p>
        </w:tc>
        <w:tc>
          <w:tcPr>
            <w:tcW w:w="80" w:type="dxa"/>
            <w:vAlign w:val="bottom"/>
          </w:tcPr>
          <w:p>
            <w:pPr>
              <w:spacing w:after="0"/>
              <w:rPr>
                <w:sz w:val="10"/>
                <w:szCs w:val="10"/>
                <w:color w:val="auto"/>
              </w:rPr>
            </w:pP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(123,755)</w:t>
            </w:r>
          </w:p>
        </w:tc>
        <w:tc>
          <w:tcPr>
            <w:tcW w:w="8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243,174</w:t>
            </w:r>
          </w:p>
        </w:tc>
        <w:tc>
          <w:tcPr>
            <w:tcW w:w="0" w:type="dxa"/>
            <w:vAlign w:val="bottom"/>
          </w:tcPr>
          <w:p>
            <w:pPr>
              <w:spacing w:after="0"/>
              <w:rPr>
                <w:sz w:val="1"/>
                <w:szCs w:val="1"/>
                <w:color w:val="auto"/>
              </w:rPr>
            </w:pPr>
          </w:p>
        </w:tc>
      </w:tr>
      <w:tr>
        <w:trPr>
          <w:trHeight w:val="148"/>
        </w:trPr>
        <w:tc>
          <w:tcPr>
            <w:tcW w:w="1160" w:type="dxa"/>
            <w:vAlign w:val="bottom"/>
          </w:tcPr>
          <w:p>
            <w:pPr>
              <w:ind w:left="180"/>
              <w:spacing w:after="0" w:line="148" w:lineRule="exact"/>
              <w:rPr>
                <w:sz w:val="20"/>
                <w:szCs w:val="20"/>
                <w:color w:val="auto"/>
              </w:rPr>
            </w:pPr>
            <w:r>
              <w:rPr>
                <w:rFonts w:ascii="Arial" w:cs="Arial" w:eastAsia="Arial" w:hAnsi="Arial"/>
                <w:sz w:val="13"/>
                <w:szCs w:val="13"/>
                <w:b w:val="1"/>
                <w:bCs w:val="1"/>
                <w:color w:val="auto"/>
              </w:rPr>
              <w:t>2021</w:t>
            </w:r>
          </w:p>
        </w:tc>
        <w:tc>
          <w:tcPr>
            <w:tcW w:w="7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notes to consolidated financial statements.</w:t>
      </w: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85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KEROS THERAPEUTICS,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1"/>
        </w:trPr>
        <w:tc>
          <w:tcPr>
            <w:tcW w:w="86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5"/>
        </w:trPr>
        <w:tc>
          <w:tcPr>
            <w:tcW w:w="868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CASH FLOWS FROM OPERATING ACTIVITIES: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(58,744)</w:t>
            </w:r>
          </w:p>
        </w:tc>
        <w:tc>
          <w:tcPr>
            <w:tcW w:w="100" w:type="dxa"/>
            <w:vAlign w:val="bottom"/>
          </w:tcPr>
          <w:p>
            <w:pPr>
              <w:spacing w:after="0"/>
              <w:rPr>
                <w:sz w:val="18"/>
                <w:szCs w:val="18"/>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(45,361)</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240"/>
              <w:spacing w:after="0"/>
              <w:rPr>
                <w:sz w:val="20"/>
                <w:szCs w:val="20"/>
                <w:color w:val="auto"/>
              </w:rPr>
            </w:pPr>
            <w:r>
              <w:rPr>
                <w:rFonts w:ascii="Arial" w:cs="Arial" w:eastAsia="Arial" w:hAnsi="Arial"/>
                <w:sz w:val="17"/>
                <w:szCs w:val="17"/>
                <w:color w:val="auto"/>
              </w:rPr>
              <w:t>Depreciation expense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Loss on disposal of fixed asset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8680" w:type="dxa"/>
            <w:vAlign w:val="bottom"/>
          </w:tcPr>
          <w:p>
            <w:pPr>
              <w:ind w:left="240"/>
              <w:spacing w:after="0"/>
              <w:rPr>
                <w:sz w:val="20"/>
                <w:szCs w:val="20"/>
                <w:color w:val="auto"/>
              </w:rPr>
            </w:pPr>
            <w:r>
              <w:rPr>
                <w:rFonts w:ascii="Arial" w:cs="Arial" w:eastAsia="Arial" w:hAnsi="Arial"/>
                <w:sz w:val="17"/>
                <w:szCs w:val="17"/>
                <w:color w:val="auto"/>
              </w:rPr>
              <w:t>Stock-based compensation expense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11,722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4,097</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Non-cash lease expense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13"/>
        </w:trPr>
        <w:tc>
          <w:tcPr>
            <w:tcW w:w="8680" w:type="dxa"/>
            <w:vAlign w:val="bottom"/>
          </w:tcPr>
          <w:p>
            <w:pPr>
              <w:ind w:left="240"/>
              <w:spacing w:after="0"/>
              <w:rPr>
                <w:sz w:val="20"/>
                <w:szCs w:val="20"/>
                <w:color w:val="auto"/>
              </w:rPr>
            </w:pPr>
            <w:r>
              <w:rPr>
                <w:rFonts w:ascii="Arial" w:cs="Arial" w:eastAsia="Arial" w:hAnsi="Arial"/>
                <w:sz w:val="17"/>
                <w:szCs w:val="17"/>
                <w:color w:val="auto"/>
              </w:rPr>
              <w:t>Changes in fair value of preferred stock tranche obligation</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1,490</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80" w:type="dxa"/>
            <w:vAlign w:val="bottom"/>
          </w:tcPr>
          <w:p>
            <w:pPr>
              <w:ind w:left="460"/>
              <w:spacing w:after="0"/>
              <w:rPr>
                <w:sz w:val="20"/>
                <w:szCs w:val="20"/>
                <w:color w:val="auto"/>
              </w:rPr>
            </w:pPr>
            <w:r>
              <w:rPr>
                <w:rFonts w:ascii="Arial" w:cs="Arial" w:eastAsia="Arial" w:hAnsi="Arial"/>
                <w:sz w:val="17"/>
                <w:szCs w:val="17"/>
                <w:color w:val="auto"/>
              </w:rPr>
              <w:t>Accounts receivable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Research and development incentive receivable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13"/>
        </w:trPr>
        <w:tc>
          <w:tcPr>
            <w:tcW w:w="8680" w:type="dxa"/>
            <w:vAlign w:val="bottom"/>
          </w:tcPr>
          <w:p>
            <w:pPr>
              <w:ind w:left="46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(1,469)</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Deferred IPO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0" w:type="dxa"/>
            <w:vAlign w:val="bottom"/>
          </w:tcPr>
          <w:p>
            <w:pPr>
              <w:spacing w:after="0"/>
              <w:rPr>
                <w:sz w:val="1"/>
                <w:szCs w:val="1"/>
                <w:color w:val="auto"/>
              </w:rPr>
            </w:pPr>
          </w:p>
        </w:tc>
      </w:tr>
      <w:tr>
        <w:trPr>
          <w:trHeight w:val="213"/>
        </w:trPr>
        <w:tc>
          <w:tcPr>
            <w:tcW w:w="868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Right-of-use assets and operating lease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13"/>
        </w:trPr>
        <w:tc>
          <w:tcPr>
            <w:tcW w:w="8680" w:type="dxa"/>
            <w:vAlign w:val="bottom"/>
          </w:tcPr>
          <w:p>
            <w:pPr>
              <w:ind w:left="460"/>
              <w:spacing w:after="0"/>
              <w:rPr>
                <w:sz w:val="20"/>
                <w:szCs w:val="20"/>
                <w:color w:val="auto"/>
              </w:rPr>
            </w:pPr>
            <w:r>
              <w:rPr>
                <w:rFonts w:ascii="Arial" w:cs="Arial" w:eastAsia="Arial" w:hAnsi="Arial"/>
                <w:sz w:val="17"/>
                <w:szCs w:val="17"/>
                <w:color w:val="auto"/>
              </w:rPr>
              <w:t>Accrued expenses and other current liabilities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2,590</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06"/>
        </w:trPr>
        <w:tc>
          <w:tcPr>
            <w:tcW w:w="86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Net cash used in operating activities</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(62,148)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(36,894)</w:t>
            </w:r>
          </w:p>
        </w:tc>
        <w:tc>
          <w:tcPr>
            <w:tcW w:w="0" w:type="dxa"/>
            <w:vAlign w:val="bottom"/>
          </w:tcPr>
          <w:p>
            <w:pPr>
              <w:spacing w:after="0"/>
              <w:rPr>
                <w:sz w:val="1"/>
                <w:szCs w:val="1"/>
                <w:color w:val="auto"/>
              </w:rPr>
            </w:pPr>
          </w:p>
        </w:tc>
      </w:tr>
      <w:tr>
        <w:trPr>
          <w:trHeight w:val="197"/>
        </w:trPr>
        <w:tc>
          <w:tcPr>
            <w:tcW w:w="868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CASH FLOWS FROM INVESTING ACTIVITIES:</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of property and equipment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193"/>
        </w:trPr>
        <w:tc>
          <w:tcPr>
            <w:tcW w:w="8680" w:type="dxa"/>
            <w:vAlign w:val="bottom"/>
          </w:tcPr>
          <w:p>
            <w:pPr>
              <w:ind w:left="20"/>
              <w:spacing w:after="0" w:line="191" w:lineRule="exact"/>
              <w:rPr>
                <w:sz w:val="20"/>
                <w:szCs w:val="20"/>
                <w:color w:val="auto"/>
              </w:rPr>
            </w:pPr>
            <w:r>
              <w:rPr>
                <w:rFonts w:ascii="Arial" w:cs="Arial" w:eastAsia="Arial" w:hAnsi="Arial"/>
                <w:sz w:val="17"/>
                <w:szCs w:val="17"/>
                <w:color w:val="auto"/>
              </w:rPr>
              <w:t>CASH FLOWS FROM FINANCING ACTIVITIES: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common stock, net of offering cost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8680" w:type="dxa"/>
            <w:vAlign w:val="bottom"/>
          </w:tcPr>
          <w:p>
            <w:pPr>
              <w:ind w:left="20"/>
              <w:spacing w:after="0"/>
              <w:rPr>
                <w:sz w:val="20"/>
                <w:szCs w:val="20"/>
                <w:color w:val="auto"/>
              </w:rPr>
            </w:pPr>
            <w:r>
              <w:rPr>
                <w:rFonts w:ascii="Arial" w:cs="Arial" w:eastAsia="Arial" w:hAnsi="Arial"/>
                <w:sz w:val="17"/>
                <w:szCs w:val="17"/>
                <w:color w:val="auto"/>
              </w:rPr>
              <w:t>Proceeds from issuance of Series C preferred stock</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56,000</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Series C preferred stock issuance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28"/>
        </w:trPr>
        <w:tc>
          <w:tcPr>
            <w:tcW w:w="8680" w:type="dxa"/>
            <w:vAlign w:val="bottom"/>
          </w:tcPr>
          <w:p>
            <w:pPr>
              <w:ind w:left="20"/>
              <w:spacing w:after="0"/>
              <w:rPr>
                <w:sz w:val="20"/>
                <w:szCs w:val="20"/>
                <w:color w:val="auto"/>
              </w:rPr>
            </w:pPr>
            <w:r>
              <w:rPr>
                <w:rFonts w:ascii="Arial" w:cs="Arial" w:eastAsia="Arial" w:hAnsi="Arial"/>
                <w:sz w:val="17"/>
                <w:szCs w:val="17"/>
                <w:color w:val="auto"/>
              </w:rPr>
              <w:t>Proceeds from issuance of common stock, from the initial public offering, net of underwriting discounts of $7,728</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102,672</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initial public offering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(2,549)</w:t>
            </w:r>
          </w:p>
        </w:tc>
        <w:tc>
          <w:tcPr>
            <w:tcW w:w="0" w:type="dxa"/>
            <w:vAlign w:val="bottom"/>
          </w:tcPr>
          <w:p>
            <w:pPr>
              <w:spacing w:after="0"/>
              <w:rPr>
                <w:sz w:val="1"/>
                <w:szCs w:val="1"/>
                <w:color w:val="auto"/>
              </w:rPr>
            </w:pPr>
          </w:p>
        </w:tc>
      </w:tr>
      <w:tr>
        <w:trPr>
          <w:trHeight w:val="213"/>
        </w:trPr>
        <w:tc>
          <w:tcPr>
            <w:tcW w:w="8680" w:type="dxa"/>
            <w:vAlign w:val="bottom"/>
          </w:tcPr>
          <w:p>
            <w:pPr>
              <w:ind w:left="20"/>
              <w:spacing w:after="0"/>
              <w:rPr>
                <w:sz w:val="20"/>
                <w:szCs w:val="20"/>
                <w:color w:val="auto"/>
              </w:rPr>
            </w:pPr>
            <w:r>
              <w:rPr>
                <w:rFonts w:ascii="Arial" w:cs="Arial" w:eastAsia="Arial" w:hAnsi="Arial"/>
                <w:sz w:val="17"/>
                <w:szCs w:val="17"/>
                <w:color w:val="auto"/>
              </w:rPr>
              <w:t>Proceeds from issuance of common stock, from follow-on financing, net of underwriting discounts of $8,970</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140,530</w:t>
            </w:r>
          </w:p>
        </w:tc>
        <w:tc>
          <w:tcPr>
            <w:tcW w:w="0" w:type="dxa"/>
            <w:vAlign w:val="bottom"/>
          </w:tcPr>
          <w:p>
            <w:pPr>
              <w:spacing w:after="0"/>
              <w:rPr>
                <w:sz w:val="1"/>
                <w:szCs w:val="1"/>
                <w:color w:val="auto"/>
              </w:rPr>
            </w:pPr>
          </w:p>
        </w:tc>
      </w:tr>
      <w:tr>
        <w:trPr>
          <w:trHeight w:val="217"/>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 of follow-on financing offering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13"/>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Proceeds from exercise of stock options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cash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296,044</w:t>
            </w:r>
          </w:p>
        </w:tc>
        <w:tc>
          <w:tcPr>
            <w:tcW w:w="0" w:type="dxa"/>
            <w:vAlign w:val="bottom"/>
          </w:tcPr>
          <w:p>
            <w:pPr>
              <w:spacing w:after="0"/>
              <w:rPr>
                <w:sz w:val="1"/>
                <w:szCs w:val="1"/>
                <w:color w:val="auto"/>
              </w:rPr>
            </w:pPr>
          </w:p>
        </w:tc>
      </w:tr>
      <w:tr>
        <w:trPr>
          <w:trHeight w:val="206"/>
        </w:trPr>
        <w:tc>
          <w:tcPr>
            <w:tcW w:w="8680" w:type="dxa"/>
            <w:vAlign w:val="bottom"/>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(34,622)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258,856</w:t>
            </w:r>
          </w:p>
        </w:tc>
        <w:tc>
          <w:tcPr>
            <w:tcW w:w="0" w:type="dxa"/>
            <w:vAlign w:val="bottom"/>
          </w:tcPr>
          <w:p>
            <w:pPr>
              <w:spacing w:after="0"/>
              <w:rPr>
                <w:sz w:val="1"/>
                <w:szCs w:val="1"/>
                <w:color w:val="auto"/>
              </w:rPr>
            </w:pPr>
          </w:p>
        </w:tc>
      </w:tr>
      <w:tr>
        <w:trPr>
          <w:trHeight w:val="215"/>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year</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265,991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7,135</w:t>
            </w:r>
          </w:p>
        </w:tc>
        <w:tc>
          <w:tcPr>
            <w:tcW w:w="0" w:type="dxa"/>
            <w:vAlign w:val="bottom"/>
          </w:tcPr>
          <w:p>
            <w:pPr>
              <w:spacing w:after="0"/>
              <w:rPr>
                <w:sz w:val="1"/>
                <w:szCs w:val="1"/>
                <w:color w:val="auto"/>
              </w:rPr>
            </w:pPr>
          </w:p>
        </w:tc>
      </w:tr>
      <w:tr>
        <w:trPr>
          <w:trHeight w:val="210"/>
        </w:trPr>
        <w:tc>
          <w:tcPr>
            <w:tcW w:w="868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231,369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265,991</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 of preferred stock tranche obligation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80" w:type="dxa"/>
            <w:vAlign w:val="bottom"/>
          </w:tcPr>
          <w:p>
            <w:pPr>
              <w:ind w:left="20"/>
              <w:spacing w:after="0" w:line="189" w:lineRule="exact"/>
              <w:rPr>
                <w:sz w:val="20"/>
                <w:szCs w:val="20"/>
                <w:color w:val="auto"/>
              </w:rPr>
            </w:pPr>
            <w:r>
              <w:rPr>
                <w:rFonts w:ascii="Arial" w:cs="Arial" w:eastAsia="Arial" w:hAnsi="Arial"/>
                <w:sz w:val="17"/>
                <w:szCs w:val="17"/>
                <w:color w:val="auto"/>
              </w:rPr>
              <w:t>Property and equipment purchases still in accounts payable</w:t>
            </w:r>
          </w:p>
        </w:tc>
        <w:tc>
          <w:tcPr>
            <w:tcW w:w="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6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7"/>
                <w:szCs w:val="17"/>
                <w:color w:val="auto"/>
              </w:rPr>
              <w:t>Issuance cost still in accrued and accounts payable</w:t>
            </w:r>
          </w:p>
        </w:tc>
        <w:tc>
          <w:tcPr>
            <w:tcW w:w="18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5"/>
              <w:spacing w:after="0" w:line="181"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80" w:type="dxa"/>
            <w:vAlign w:val="bottom"/>
          </w:tcPr>
          <w:p>
            <w:pPr>
              <w:ind w:left="20"/>
              <w:spacing w:after="0" w:line="189" w:lineRule="exact"/>
              <w:rPr>
                <w:sz w:val="20"/>
                <w:szCs w:val="20"/>
                <w:color w:val="auto"/>
              </w:rPr>
            </w:pPr>
            <w:r>
              <w:rPr>
                <w:rFonts w:ascii="Arial" w:cs="Arial" w:eastAsia="Arial" w:hAnsi="Arial"/>
                <w:sz w:val="17"/>
                <w:szCs w:val="17"/>
                <w:color w:val="auto"/>
              </w:rPr>
              <w:t>Conversion of preferred stock into common stock upon closing of initial public offering</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75,714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cash and cash equivalents and restricted cash as of each of the periods shown above: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7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r>
      <w:tr>
        <w:trPr>
          <w:trHeight w:val="208"/>
        </w:trPr>
        <w:tc>
          <w:tcPr>
            <w:tcW w:w="784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265,876</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r>
      <w:tr>
        <w:trPr>
          <w:trHeight w:val="233"/>
        </w:trPr>
        <w:tc>
          <w:tcPr>
            <w:tcW w:w="7840" w:type="dxa"/>
            <w:vAlign w:val="bottom"/>
            <w:tcBorders>
              <w:bottom w:val="single" w:sz="8" w:color="CCEEFF"/>
            </w:tcBorders>
            <w:shd w:val="clear" w:color="auto" w:fill="CCEEFF"/>
          </w:tcPr>
          <w:p>
            <w:pPr>
              <w:ind w:left="240"/>
              <w:spacing w:after="0" w:line="193" w:lineRule="exact"/>
              <w:rPr>
                <w:sz w:val="20"/>
                <w:szCs w:val="20"/>
                <w:color w:val="auto"/>
              </w:rPr>
            </w:pPr>
            <w:r>
              <w:rPr>
                <w:rFonts w:ascii="Arial" w:cs="Arial" w:eastAsia="Arial" w:hAnsi="Arial"/>
                <w:sz w:val="17"/>
                <w:szCs w:val="17"/>
                <w:color w:val="auto"/>
              </w:rPr>
              <w:t>Total cash, cash equivalents and restricted cash</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231,369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265,991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574675</wp:posOffset>
            </wp:positionV>
            <wp:extent cx="68262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7"/>
          <w:szCs w:val="17"/>
          <w:color w:val="auto"/>
        </w:rPr>
        <w:t>See notes to consolidated financial statements.</w:t>
      </w:r>
    </w:p>
    <w:p>
      <w:pPr>
        <w:spacing w:after="0" w:line="36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60"/>
          </w:cols>
          <w:pgMar w:left="320" w:top="958" w:right="81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KEROS THERAPEUTICS, INC.</w:t>
      </w:r>
    </w:p>
    <w:p>
      <w:pPr>
        <w:spacing w:after="0" w:line="166"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BASIS OF PRESENTATION</w:t>
      </w:r>
    </w:p>
    <w:p>
      <w:pPr>
        <w:spacing w:after="0" w:line="105"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Keros Therapeutics, Inc. (“Keros” or the “Company”) was incorporated in 2015 as a Delaware corporation. Its principal offices are in Lexington, Massachusetts. The Company is a clinical-stage biopharmaceutical company focused on the discovery, development and commercialization of novel treatments for patients suffering from hematological and musculoskeletal disorders with high unmet medical need.</w:t>
      </w:r>
    </w:p>
    <w:p>
      <w:pPr>
        <w:spacing w:after="0" w:line="14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Company’s lead protein therapeutic product candidate, KER-050, is an engineered ligand trap comprised of a modified ligand-binding domain of the transforming growth factor-beta (“TGF-ß”) receptor known as activin receptor type IIA that is fused to the portion of the human antibody known as the Fc domain. KER-050 is being developed for the treatment of low blood cell counts (“cytopenias”), including anemia and thrombocytopenia, in patients with myelodysplastic syndromes (“MDS”) and in patients with myelofibrosis. The Company has initiated a Phase 2 clinical trial in patients with MDS and reported preliminary data from Part 1 of this trial most recently in December 2021.</w:t>
      </w:r>
    </w:p>
    <w:p>
      <w:pPr>
        <w:spacing w:after="0" w:line="167"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The Company’s lead small molecule product candidate, KER-047, is designed to selectively and potently inhibit activin receptor-like kinase-2 (“ALK2”), a TGF-ß receptor. KER-047 is being developed for the treatment of anemia resulting from iron imbalance as a direct consequence of elevated ALK2 signaling, including the Company’s initial target, iron-refractory iron deficiency anemia (“IRIDA”). In December 2020, the Company reported topline data from its completed Phase 1 clinical trial of KER-047 in healthy volunteers.</w:t>
      </w:r>
    </w:p>
    <w:p>
      <w:pPr>
        <w:spacing w:after="0" w:line="16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Company’s third product candidate, KER-012, is designed to bind to and inhibit the signaling of TGF-ß ligands that suppress bone growth, including activin A and activin B, to potentially promote bone growth. KER-012 is being developed for the treatment of pulmonary arterial hypertension (“PAH”) and for the treatment of disorders associated with bone loss, such as osteoporosis and osteogenesis imperfecta. In September 2021, the Company commenced a Phase 1 clinical trial of KER-012 in healthy volunteers.</w:t>
      </w:r>
    </w:p>
    <w:p>
      <w:pPr>
        <w:spacing w:after="0" w:line="15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Since its inception in 2015, the Company has devoted the majority of its resources to business planning, research and development of its product candidates, including conducting clinical trials and preclinical studies, raising capital and recruiting management and technical staff to support these operations. To date, the Company has not generated any revenue from product sales as none of its product candidates have been approved for commercialization.</w:t>
      </w:r>
    </w:p>
    <w:p>
      <w:pPr>
        <w:spacing w:after="0" w:line="16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May 2021, the Company filed a registration statement on Form S-3, which was automatically effective upon filing. Pursuant to this registration statement, the Company may issue up to $150.0 million in common stock in sales deemed to be an “at the market offering,” as defined by the Securities Act, and, so long as the Company qualifies as a “well-known seasoned issuer” as defined in Rule 405 of the Securities Act, an unspecified amount of shares of the Company common stock, preferred stock, debt securities and warrants.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5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Company’s consolidated financial statements have been prepared on the basis of the Company continuing as a going concern for the next 12 months. Management believes that the Company’s existing $230.0 million in cash and cash equivalents, will allow the Company to continue its operations for at least the next 12 months. In the absence of a significant source of recurring revenue, the continued viability of the Company beyond that point is dependent on its ability to continue to raise additional capital to finance its operations. If the Company is unable to obtain additional funding, the Company may be forced to delay, reduce or eliminate some or all of its research and development programs, product portfolio expansion or commercialization efforts, which could adversely affect its business prospects, or the Company may be unable to continue operations.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accompanying consolidated financial statements are prepared in conformity with accounting principles generally accepted in the United States of America (“U.S. GAAP”) and include the accounts of the Company and its wholly owned subsidiaries, Keros Therapeutics Australia Pty Ltd (“Keros Australia”) and Keros Security Corporation, a Massachusetts securities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65"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The accompanying consolidated financial statements include the accounts of the Company, Keros Australia and Keros Security Corporation. All intercompany accounts and transactions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5" w:lineRule="exact"/>
        <w:rPr>
          <w:sz w:val="20"/>
          <w:szCs w:val="20"/>
          <w:color w:val="auto"/>
        </w:rPr>
      </w:pPr>
    </w:p>
    <w:p>
      <w:pPr>
        <w:ind w:right="480"/>
        <w:spacing w:after="0" w:line="257"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liabilities, revenue, and expenses, and the disclosure of contingent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55" w:right="379" w:bottom="1440" w:gutter="0" w:footer="0" w:header="0"/>
        </w:sectPr>
      </w:pPr>
    </w:p>
    <w:bookmarkStart w:id="120" w:name="page121"/>
    <w:bookmarkEnd w:id="120"/>
    <w:p>
      <w:pPr>
        <w:ind w:right="80"/>
        <w:spacing w:after="0" w:line="248" w:lineRule="auto"/>
        <w:rPr>
          <w:sz w:val="20"/>
          <w:szCs w:val="20"/>
          <w:color w:val="auto"/>
        </w:rPr>
      </w:pPr>
      <w:r>
        <w:rPr>
          <w:rFonts w:ascii="Arial" w:cs="Arial" w:eastAsia="Arial" w:hAnsi="Arial"/>
          <w:sz w:val="17"/>
          <w:szCs w:val="17"/>
          <w:color w:val="auto"/>
        </w:rPr>
        <w:t>assets and liabilities as of and during the reporting period. The Company bases its estimates and assumptions on historical experience when available and on various factors that it believes to be reasonable under the circumstances.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Significant estimates and assumptions reflected in these consolidated financial statements include, but are not limited to, useful lives assigned to property and equipment, the fair values of common and preferred stock and the fair value of the preferred stock tranche obligation. The Company assesses estimates on an ongoing basis; however, actual results could materially differ from those estimates.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6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1—Quoted prices in active markets for identical assets or liabilities.</w:t>
      </w:r>
    </w:p>
    <w:p>
      <w:pPr>
        <w:spacing w:after="0" w:line="6" w:lineRule="exact"/>
        <w:rPr>
          <w:sz w:val="20"/>
          <w:szCs w:val="20"/>
          <w:color w:val="auto"/>
        </w:rPr>
      </w:pPr>
    </w:p>
    <w:p>
      <w:pPr>
        <w:ind w:left="320" w:right="280"/>
        <w:spacing w:after="0" w:line="247" w:lineRule="auto"/>
        <w:rPr>
          <w:sz w:val="20"/>
          <w:szCs w:val="20"/>
          <w:color w:val="auto"/>
        </w:rPr>
      </w:pPr>
      <w:r>
        <w:rPr>
          <w:rFonts w:ascii="Arial" w:cs="Arial" w:eastAsia="Arial" w:hAnsi="Arial"/>
          <w:sz w:val="17"/>
          <w:szCs w:val="17"/>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ind w:left="320" w:right="100"/>
        <w:spacing w:after="0" w:line="257" w:lineRule="auto"/>
        <w:rPr>
          <w:sz w:val="20"/>
          <w:szCs w:val="20"/>
          <w:color w:val="auto"/>
        </w:rPr>
      </w:pPr>
      <w:r>
        <w:rPr>
          <w:rFonts w:ascii="Arial" w:cs="Arial" w:eastAsia="Arial" w:hAnsi="Arial"/>
          <w:sz w:val="17"/>
          <w:szCs w:val="17"/>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45"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5"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An entity may choose to measure many financial instruments and certain other items at fair value at specified election dates. Subsequent unrealized gains and losses on items for which the fair value option has been elected will be reported in earnings. The Company had no financial instruments measured at level 3 as of December 31,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51"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Cash and cash equivalents consist of standard checking accounts and money market funds. The Company considers all highly liquid investments with an original maturity of 90 days or less at the date of purchase to be cash equivalents.</w:t>
      </w:r>
    </w:p>
    <w:p>
      <w:pPr>
        <w:spacing w:after="0" w:line="158"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The Company’s cash equivalents, which are funds held in a money market account, are measured at fair value on a recurring basis. The carrying amount of cash equivalents was $230.0 million and $262.0 million as of December 31, 2021 and 2020, respectively, which approximates fair value and was determined based upon Level 1 inputs. The money market account is valued using quoted market prices with no valuation adjustments applied and is categorized as Level 1.</w:t>
      </w:r>
    </w:p>
    <w:p>
      <w:pPr>
        <w:spacing w:after="0" w:line="165"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The Company had restricted cash of $1.3 million and $0.1 million in the form of a certificate of deposit related to its operating leases in Lexington, Massachusetts as of December 31, 2021 and 2020,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6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Financial instruments that potentially subject us to significant concentration of credit risk consist primarily of cash and cash equivalents. The Company may maintain deposits in financial institutions in excess of government insured limits. The Company believes that it is not exposed to significant credit risk as its deposits are held at financial institutions that management believes to be of high credit quality and the Company has not experienced any losses on these deposits. As of December 31, 2021 and 2020, the Company’s cash and cash equivalents were held with three financial institutions. The Company believes that the market risk arising from its holdings of these financial instruments is mitigated based on the fact that many of these securities are either government-backed or of high credit rating.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51" w:lineRule="exact"/>
        <w:rPr>
          <w:sz w:val="20"/>
          <w:szCs w:val="20"/>
          <w:color w:val="auto"/>
        </w:rPr>
      </w:pPr>
    </w:p>
    <w:p>
      <w:pPr>
        <w:ind w:right="500"/>
        <w:spacing w:after="0" w:line="257" w:lineRule="auto"/>
        <w:rPr>
          <w:sz w:val="20"/>
          <w:szCs w:val="20"/>
          <w:color w:val="auto"/>
        </w:rPr>
      </w:pPr>
      <w:r>
        <w:rPr>
          <w:rFonts w:ascii="Arial" w:cs="Arial" w:eastAsia="Arial" w:hAnsi="Arial"/>
          <w:sz w:val="17"/>
          <w:szCs w:val="17"/>
          <w:color w:val="auto"/>
        </w:rPr>
        <w:t>Property and equipment are recorded at cost. Expenditures for repairs and maintenance are expensed as incurred. When assets are retired or disposed of, the assets and related accumulated depreciation are derecognized from the accounts, and</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121" w:name="page122"/>
    <w:bookmarkEnd w:id="121"/>
    <w:p>
      <w:pPr>
        <w:ind w:right="380"/>
        <w:spacing w:after="0" w:line="257" w:lineRule="auto"/>
        <w:rPr>
          <w:sz w:val="20"/>
          <w:szCs w:val="20"/>
          <w:color w:val="auto"/>
        </w:rPr>
      </w:pPr>
      <w:r>
        <w:rPr>
          <w:rFonts w:ascii="Arial" w:cs="Arial" w:eastAsia="Arial" w:hAnsi="Arial"/>
          <w:sz w:val="17"/>
          <w:szCs w:val="17"/>
          <w:color w:val="auto"/>
        </w:rPr>
        <w:t>any resulting gain or loss is included in the determination of net loss. Depreciation is calculated using the straight-line method over the estimated useful lives of the related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8262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60" w:type="dxa"/>
            <w:vAlign w:val="bottom"/>
            <w:tcBorders>
              <w:bottom w:val="single" w:sz="8" w:color="CCEEFF"/>
            </w:tcBorders>
          </w:tcPr>
          <w:p>
            <w:pPr>
              <w:spacing w:after="0"/>
              <w:rPr>
                <w:sz w:val="16"/>
                <w:szCs w:val="16"/>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208"/>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50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 years</w:t>
            </w:r>
          </w:p>
        </w:tc>
      </w:tr>
      <w:tr>
        <w:trPr>
          <w:trHeight w:val="213"/>
        </w:trPr>
        <w:tc>
          <w:tcPr>
            <w:tcW w:w="576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5000" w:type="dxa"/>
            <w:vAlign w:val="bottom"/>
          </w:tcPr>
          <w:p>
            <w:pPr>
              <w:jc w:val="center"/>
              <w:spacing w:after="0"/>
              <w:rPr>
                <w:sz w:val="20"/>
                <w:szCs w:val="20"/>
                <w:color w:val="auto"/>
              </w:rPr>
            </w:pPr>
            <w:r>
              <w:rPr>
                <w:rFonts w:ascii="Arial" w:cs="Arial" w:eastAsia="Arial" w:hAnsi="Arial"/>
                <w:sz w:val="17"/>
                <w:szCs w:val="17"/>
                <w:color w:val="auto"/>
              </w:rPr>
              <w:t>5 years</w:t>
            </w:r>
          </w:p>
        </w:tc>
      </w:tr>
      <w:tr>
        <w:trPr>
          <w:trHeight w:val="217"/>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w:t>
            </w:r>
          </w:p>
        </w:tc>
        <w:tc>
          <w:tcPr>
            <w:tcW w:w="50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 years</w:t>
            </w:r>
          </w:p>
        </w:tc>
      </w:tr>
      <w:tr>
        <w:trPr>
          <w:trHeight w:val="211"/>
        </w:trPr>
        <w:tc>
          <w:tcPr>
            <w:tcW w:w="576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5000" w:type="dxa"/>
            <w:vAlign w:val="bottom"/>
          </w:tcPr>
          <w:p>
            <w:pPr>
              <w:jc w:val="center"/>
              <w:spacing w:after="0"/>
              <w:rPr>
                <w:sz w:val="20"/>
                <w:szCs w:val="20"/>
                <w:color w:val="auto"/>
              </w:rPr>
            </w:pPr>
            <w:r>
              <w:rPr>
                <w:rFonts w:ascii="Arial" w:cs="Arial" w:eastAsia="Arial" w:hAnsi="Arial"/>
                <w:sz w:val="17"/>
                <w:szCs w:val="17"/>
                <w:color w:val="auto"/>
                <w:w w:val="99"/>
              </w:rPr>
              <w:t>lesser of useful life or remaining lease term</w:t>
            </w:r>
          </w:p>
        </w:tc>
      </w:tr>
      <w:tr>
        <w:trPr>
          <w:trHeight w:val="57"/>
        </w:trPr>
        <w:tc>
          <w:tcPr>
            <w:tcW w:w="5760" w:type="dxa"/>
            <w:vAlign w:val="bottom"/>
            <w:tcBorders>
              <w:bottom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5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Company evaluates its long-lived assets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 the fair value of the assets. Assets to be disposed of are reported at the lower of the carrying amount or fair value less costs to sell. To date, no impairments have been recognized for these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47"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 xml:space="preserve">The Company accounts for its leases under Accounting Standards Codification (“ASC”) Topic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At the inception of an arrangement, the Company determines whether the arrangement is or contains a lease based on the unique facts and circumstances present in the arrangement. Leases with a term greater than 12 months are recognized on the balance sheet as ROU assets and current and non-current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material leases on a quarterly basis.</w:t>
      </w:r>
    </w:p>
    <w:p>
      <w:pPr>
        <w:spacing w:after="0" w:line="136"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Operating lease liabilities and their corresponding ROU assets are recorded based on the present value of future lease payments over the expected remaining lease term. Lease cost for operating leases is recognized on a straight-line basis over the lease term as an operating expense. Certain adjustments to the ROU asset may be required for items such as lease prepayments or incentives received.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 In transition to ASC 842, the Company utilized the remaining lease term of its lease in determining the appropriate incremental borrowing rate.</w:t>
      </w:r>
    </w:p>
    <w:p>
      <w:pPr>
        <w:spacing w:after="0" w:line="170"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For all asset classes of its leases, the Company has elected to account for the lease and non-lease components together for existing classes of underlying assets.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5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As permitted under Delaware law, the Company indemnifies its officers, directors, consultants and employees for certain events or occurrences that happen by reason of the relationship with, or position held at, the Company. Through December 31, 2021,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liabilities have been established.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65"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Research and development costs are charged to expense as incurred. Research and development costs consist of expenses incurred in performing research and development activities, including salaries and benefits, materials and supplies, preclinical expenses, stock-based compensation expense, depreciation of equipment, contract services, facilities, and other outside expenses. Costs for external development activities are recognized based on an evaluation of the progress to completion of specific tasks using information provided to the Company by its vendors. Payments for these activities are based on the terms of the individual arrangements, which may differ from the pattern of costs incurred, and are reflected in the consolidated financial statements as prepaid expense or accrued research and development expense.</w:t>
      </w:r>
    </w:p>
    <w:p>
      <w:pPr>
        <w:spacing w:after="0" w:line="15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Nonrefundable advance payments for goods or services to be received in the future for use in research and development activities are recorded as prepaid expenses and expensed as the related goods are delivered or the services are performed.</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i w:val="1"/>
          <w:iCs w:val="1"/>
          <w:color w:val="auto"/>
        </w:rPr>
        <w:t>Research and Development Incentive</w:t>
      </w:r>
    </w:p>
    <w:p>
      <w:pPr>
        <w:spacing w:after="0" w:line="5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Australian research and development tax incentive program provides tax offsets to eligible companies that engage in research and development activities and has two core components:</w:t>
      </w:r>
    </w:p>
    <w:p>
      <w:pPr>
        <w:spacing w:after="0" w:line="158" w:lineRule="exact"/>
        <w:rPr>
          <w:sz w:val="20"/>
          <w:szCs w:val="20"/>
          <w:color w:val="auto"/>
        </w:rPr>
      </w:pPr>
    </w:p>
    <w:p>
      <w:pPr>
        <w:ind w:left="660" w:right="140" w:hanging="331"/>
        <w:spacing w:after="0" w:line="247" w:lineRule="auto"/>
        <w:tabs>
          <w:tab w:leader="none" w:pos="6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43.5% refundable tax offset for certain eligible research and development entities with an aggregated turnover of less than $20.0 million per annum; and</w:t>
      </w:r>
    </w:p>
    <w:p>
      <w:pPr>
        <w:ind w:left="660" w:right="280" w:hanging="331"/>
        <w:spacing w:after="0" w:line="257" w:lineRule="auto"/>
        <w:tabs>
          <w:tab w:leader="none" w:pos="653" w:val="left"/>
        </w:tabs>
        <w:numPr>
          <w:ilvl w:val="0"/>
          <w:numId w:val="75"/>
        </w:numPr>
        <w:rPr>
          <w:rFonts w:ascii="Arial" w:cs="Arial" w:eastAsia="Arial" w:hAnsi="Arial"/>
          <w:sz w:val="17"/>
          <w:szCs w:val="17"/>
          <w:color w:val="auto"/>
        </w:rPr>
      </w:pPr>
      <w:r>
        <w:rPr>
          <w:rFonts w:ascii="Arial" w:cs="Arial" w:eastAsia="Arial" w:hAnsi="Arial"/>
          <w:sz w:val="17"/>
          <w:szCs w:val="17"/>
          <w:color w:val="auto"/>
        </w:rPr>
        <w:t>38.5% non-refundable tax offset for all other eligible research and development entities. Unused offset amounts may be able to be carried forward for use in future income years.</w:t>
      </w:r>
    </w:p>
    <w:p>
      <w:pPr>
        <w:spacing w:after="0" w:line="158" w:lineRule="exact"/>
        <w:rPr>
          <w:sz w:val="20"/>
          <w:szCs w:val="20"/>
          <w:color w:val="auto"/>
        </w:rPr>
      </w:pPr>
    </w:p>
    <w:p>
      <w:pPr>
        <w:jc w:val="both"/>
        <w:ind w:right="460"/>
        <w:spacing w:after="0" w:line="252" w:lineRule="auto"/>
        <w:rPr>
          <w:sz w:val="20"/>
          <w:szCs w:val="20"/>
          <w:color w:val="auto"/>
        </w:rPr>
      </w:pPr>
      <w:r>
        <w:rPr>
          <w:rFonts w:ascii="Arial" w:cs="Arial" w:eastAsia="Arial" w:hAnsi="Arial"/>
          <w:sz w:val="17"/>
          <w:szCs w:val="17"/>
          <w:color w:val="auto"/>
        </w:rPr>
        <w:t>The Company is eligible to participate in an Australian research and development tax incentive program under which the Company is eligible to receive a cash refund from the Australian Taxation Office for a percentage of the research and development costs expended by the Company in Australia.</w:t>
      </w:r>
    </w:p>
    <w:p>
      <w:pPr>
        <w:spacing w:after="0" w:line="149"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The Company’s estimate of the cash refund it expects to receive related to the Australian research and development tax incentive program is included in other assets in the accompanying consolidated balance sheet and such amounts are recorded as research and development incentive income in the statement of operations. The Company recognizes research and development incentive income when there is reasonable assurance that the income will be received, the relevant expenditure has been incurred, and the consideration can be reliably measured. The Company has no research and development incentive receivable and other income from Australian research and development incentives of $0.0 million and $2.5 million for the years ended December 31, 2021 and 2020, respectively, related to refundable research and development incentive income payments in Australia.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5"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To date, the Company has earned revenue under the license agreement with Novo Nordisk A/S, which was terminated in October 2020, the license agreement with Neurona Therapeutics, Inc. (“Neurona”) (see Note 13) and the license agreement with Hansoh (Shanghai) Healthtech Co., Ltd. (“Hansoh”) (see Note 13).</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 xml:space="preserve">The Company recognizes revenue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The Company enters into certain agreements that are within the scope of ASC 606, under which the Company licenses, may license or grants an option to license rights to certain of the Company’s product candidates and performs research and development services in connection with such arrangements. The terms of these arrangements typically include payment of one or more of the following: non-refundable, upfront fees; reimbursement of research and development costs; development, clinical, regulatory and commercial sales milestone payments, and royalties on net sales of licensed products.</w:t>
      </w:r>
    </w:p>
    <w:p>
      <w:pPr>
        <w:spacing w:after="0" w:line="16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Under ASC 606, an entity recognizes revenue when its customer obtains control of promised goods or services, in an amount that reflects the consideration which the entity expects to receive in exchange for those goods or services. To determine the appropriate amount of revenue to be recognized for arrangements determined to be within the scope of ASC 606, the Company performs the following five steps: (i) identification of the promised goods or services in the contract; (ii) determination of whether the promised goods or services are performance obligations including whether they are distinct; (iii) measurement of the transaction price, including the constraint on variable consideration; (iv) allocation of the transaction price to the performance obligations; and (v) recognition of revenue when (or as) the Company satisfies each performance obligation. The Company only applies the five-step model to contracts when it is probable that the entity will collect consideration it is entitled to in exchange for the goods or services it transfers to the customer.</w:t>
      </w:r>
    </w:p>
    <w:p>
      <w:pPr>
        <w:spacing w:after="0" w:line="16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The promised goods or services in the Company’s arrangements typically consist of a license, or option to license, rights to the Company’s intellectual property or research and development services. The Company provides options to additional items in such arrangements, which are accounted for as separate contracts when the customer elects to exercise such options, unless the option provides a material right to the customer. Performance obligations are promised goods or services in a contract to transfer a distinct good or service to the customer and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customer to develop the intellectual property on its own or whether the required expertise is readily available and whether the goods or services are integral or dependent to other goods or services in the contract.</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 estimates the transaction price based on the amount expected to be received for transferring the promised goods or services in the contract. The consideration may include fixed consideration and variable consideration. At the inception of each arrangement that includes variable consideration, the Company evaluates the amount of potential payment and the likelihood that the payments will be received. The Company utilizes either the most likely amount method or expected value method to estimate the amount expected to be received based on which method best predicts the amount expected to be received. The amount of variable consideration that is included in the transaction price may be constrained and is included in the transaction price only to the extent that it is probable that a significant reversal in the amount of the cumulative revenue recognized will not occur in a future period.</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3" w:name="page124"/>
    <w:bookmarkEnd w:id="123"/>
    <w:p>
      <w:pPr>
        <w:ind w:right="20"/>
        <w:spacing w:after="0" w:line="249" w:lineRule="auto"/>
        <w:rPr>
          <w:sz w:val="20"/>
          <w:szCs w:val="20"/>
          <w:color w:val="auto"/>
        </w:rPr>
      </w:pPr>
      <w:r>
        <w:rPr>
          <w:rFonts w:ascii="Arial" w:cs="Arial" w:eastAsia="Arial" w:hAnsi="Arial"/>
          <w:sz w:val="17"/>
          <w:szCs w:val="17"/>
          <w:color w:val="auto"/>
        </w:rPr>
        <w:t>The Company’s contracts often include development and regulatory milestone payments that are assessed under the most likely amount method and constrained if it is probable that a significant revenue reversal would occur. Milestone payments that are not within the Company’s control or the licensee’s control, such as regulatory approvals, are not considered probable of being achieved until those approvals are received. At the end of each reporting period, the Company re-evaluates the probability of achievement of such development and clinical milestones and any related constraint, and if necessary, adjusts its estimate of the overall transaction price. Any such adjustments are recorded on a cumulative catch-up basis, which would affect collaboration and other research and development revenue in the period of adjustment.</w:t>
      </w:r>
    </w:p>
    <w:p>
      <w:pPr>
        <w:spacing w:after="0" w:line="15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For arrangements that include sales-based royalties, including milestone payments based on the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the Company’s collaboration or strategic alliance arrangements.</w:t>
      </w:r>
    </w:p>
    <w:p>
      <w:pPr>
        <w:spacing w:after="0" w:line="165"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Company allocates the transaction price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Variable consideration is allocated specifically to one or more performance obligations in a contract when the terms of the variable consideration relate to the satisfaction of the performance obligation and the resulting amounts allocated are consistent with the amounts the Company would expect to receive for the satisfaction of each performance obligation.</w:t>
      </w:r>
    </w:p>
    <w:p>
      <w:pPr>
        <w:spacing w:after="0" w:line="166"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color w:val="auto"/>
        </w:rPr>
        <w:t>The consideration allocated to each performance obligation is recognized as revenue when control is transferred for the related goods or services. For performance obligations which consist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The Company evaluates the measure of progress each reporting period and, if necessary, adjusts the measure of performance and related revenue recognition.</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until the Company performs its obligations under these arrangements. Amounts are recorded as accounts receivable when the Company’s right to consideration is unconditional.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65" w:lineRule="exact"/>
        <w:rPr>
          <w:sz w:val="20"/>
          <w:szCs w:val="20"/>
          <w:color w:val="auto"/>
        </w:rPr>
      </w:pPr>
    </w:p>
    <w:p>
      <w:pPr>
        <w:ind w:right="800"/>
        <w:spacing w:after="0" w:line="257" w:lineRule="auto"/>
        <w:rPr>
          <w:sz w:val="20"/>
          <w:szCs w:val="20"/>
          <w:color w:val="auto"/>
        </w:rPr>
      </w:pPr>
      <w:r>
        <w:rPr>
          <w:rFonts w:ascii="Arial" w:cs="Arial" w:eastAsia="Arial" w:hAnsi="Arial"/>
          <w:sz w:val="17"/>
          <w:szCs w:val="17"/>
          <w:color w:val="auto"/>
        </w:rPr>
        <w:t>The functional currency for the Company’s wholly owned foreign subsidiary, Keros Australia, is the United States dollar. All foreign currency transaction gains and losses are recognized in the consolidated statement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65"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made available for evaluation by the chief operating decision maker (“CODM”) in making decisions regarding resource allocation and assessing performance. The CODM is the Company’s chief executive officer. The Company manages its operations as a single segment for the purposes of assessing performance and making operating decisions. The Company’s singular concentration is focused on the discovery and development of breakthrough therapeutics for hematological and musculoskeletal disorders with high unmet medical need.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Prior to the Company’s initial public offering (“IPO”) in April 2020, due to the absence of an active market for the Company’s common stock,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Company utilized methodologies in accordance with the framework of the American Institute of Certified Public Accountants Technical Practice Aid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Prior to the IPO,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fair value of the shares of common stock underlying the stock-based awards were determined by the Company's board of directors (the "Board") with</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input from management. Since there was no public market for the common stock prior to April 8, 2020, the Board had determined the fair value of the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common stock at the time of grant of the stock-based award by considering a number of objective and subjective factors, including having valuations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of the common stock performed by a third-party valuation specialist. Following the closing of the initial public offering, the fair value of the Company’s</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common stock is determined based on the quoted market price of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6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 has classified convertible preferred stock, referred to as preferred stock, as temporary equity in the accompanying consolidated balance sheet due to terms that allow for redemption of the shares in cash upon certain change in control events that are outside of the Company’s control, including sale or transfer of control of the Company as holders of the preferred stock could cause redemption of the shares in these situations. Subsequent adjustments of the carrying values to the ultimate redemption values will be made only when it becomes probable that such a liquidation event will occur.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4" w:name="page125"/>
    <w:bookmarkEnd w:id="124"/>
    <w:p>
      <w:pPr>
        <w:ind w:right="380"/>
        <w:spacing w:after="0" w:line="275" w:lineRule="auto"/>
        <w:rPr>
          <w:sz w:val="20"/>
          <w:szCs w:val="20"/>
          <w:color w:val="auto"/>
        </w:rPr>
      </w:pPr>
      <w:r>
        <w:rPr>
          <w:rFonts w:ascii="Arial" w:cs="Arial" w:eastAsia="Arial" w:hAnsi="Arial"/>
          <w:sz w:val="16"/>
          <w:szCs w:val="16"/>
          <w:color w:val="auto"/>
        </w:rPr>
        <w:t>On April 13, 2020, upon the closing of the Company's IPO, all outstanding shares of Preferred Stock converted into 10,725,129 shares of the Company's common stock. Additionally, effective April 13, 2020, the Company's amended and restated certificate of incorporation authorized the issuance of 10,000,000 shares of preferred stock. There were no outstanding shares of convertible preferred stock as of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Stock-Based </w:t>
      </w:r>
      <w:r>
        <w:rPr>
          <w:rFonts w:ascii="Arial" w:cs="Arial" w:eastAsia="Arial" w:hAnsi="Arial"/>
          <w:sz w:val="16"/>
          <w:szCs w:val="16"/>
          <w:b w:val="1"/>
          <w:bCs w:val="1"/>
          <w:i w:val="1"/>
          <w:iCs w:val="1"/>
          <w:color w:val="auto"/>
        </w:rPr>
        <w:t>Compensation</w:t>
      </w:r>
    </w:p>
    <w:p>
      <w:pPr>
        <w:spacing w:after="0" w:line="6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Company accounts for all stock-based payment awards granted to employees and non-employees as stock-based compensation expense at fair value. The Company’s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Stock-based compensation costs for non-employees are recognized as expense over the vesting period on a straight-line basis. Stock-based compensation expense is classified in the accompanying consolidated statement of operations based on the function to which the related services are provided. The Company recognizes stock-based compensation expense for the portion of awards that have vested. Forfeitures are recorded as they occur.</w:t>
      </w:r>
    </w:p>
    <w:p>
      <w:pPr>
        <w:spacing w:after="0" w:line="170"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fair value of each stock option grant is estimated on the date of grant using the Black-Scholes option-pricing model. The Company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6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The Company recognizes deferred tax assets and liabilities for the expected future tax consequences of events that have been included in the Company’s consolidated financial statements and tax returns. Deferred tax assets and liabilities are determined based upon the differences between the financial statement carrying amounts and the tax bases of existing assets and liabilities and for loss and credit carryforwards, using enacted tax rates expected to be in effect in the year in which the differences are expected to reverse. Deferred tax assets are reduced by a valuation allowance if it is more likely than not that these assets may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51" w:lineRule="exact"/>
        <w:rPr>
          <w:sz w:val="20"/>
          <w:szCs w:val="20"/>
          <w:color w:val="auto"/>
        </w:rPr>
      </w:pPr>
    </w:p>
    <w:p>
      <w:pPr>
        <w:ind w:right="1080"/>
        <w:spacing w:after="0" w:line="257" w:lineRule="auto"/>
        <w:rPr>
          <w:sz w:val="20"/>
          <w:szCs w:val="20"/>
          <w:color w:val="auto"/>
        </w:rPr>
      </w:pPr>
      <w:r>
        <w:rPr>
          <w:rFonts w:ascii="Arial" w:cs="Arial" w:eastAsia="Arial" w:hAnsi="Arial"/>
          <w:sz w:val="17"/>
          <w:szCs w:val="17"/>
          <w:color w:val="auto"/>
        </w:rPr>
        <w:t>Comprehensive loss is defined as the change in equity of a business enterprise during a period from transactions and other events and circumstances from non-owner sources. Comprehensive loss is equal to net loss for all periods presented.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6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Basic net loss per share and diluted net loss per share are computed using the weighted-average number of shares of common stock outstanding for the period. Net loss per share attributable to common stockholders is calculated using the two-class method, which is an earnings allocation formula that determines net loss per share for the holders of shares of the Company’s common stock and participating securities. The Company’s preferred stock contains participation rights in any dividend paid by the Company and is deemed to be a participating security. The participating securities do not include a contractual obligation to share in losses of the Company and are not included in the calculation of net loss per share in the periods in which a net loss is recorded.</w:t>
      </w:r>
    </w:p>
    <w:p>
      <w:pPr>
        <w:spacing w:after="0" w:line="15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Diluted net loss per share is computed using the more dilutive of (a) the two-class method or (b) the if-converted method. The Company allocates earnings first to preferred stockholders based on dividend rights and then to common and preferred stockholders based on ownership interests. The weighted-average number of shares of common stock included in the computation of diluted net loss gives effect to all potentially dilutive common stock equivalent shares, including outstanding stock options and preferred stock.</w:t>
      </w:r>
    </w:p>
    <w:p>
      <w:pPr>
        <w:spacing w:after="0" w:line="165" w:lineRule="exact"/>
        <w:rPr>
          <w:sz w:val="20"/>
          <w:szCs w:val="20"/>
          <w:color w:val="auto"/>
        </w:rPr>
      </w:pPr>
    </w:p>
    <w:p>
      <w:pPr>
        <w:jc w:val="both"/>
        <w:ind w:right="100"/>
        <w:spacing w:after="0" w:line="252" w:lineRule="auto"/>
        <w:rPr>
          <w:sz w:val="20"/>
          <w:szCs w:val="20"/>
          <w:color w:val="auto"/>
        </w:rPr>
      </w:pPr>
      <w:r>
        <w:rPr>
          <w:rFonts w:ascii="Arial" w:cs="Arial" w:eastAsia="Arial" w:hAnsi="Arial"/>
          <w:sz w:val="17"/>
          <w:szCs w:val="17"/>
          <w:color w:val="auto"/>
        </w:rPr>
        <w:t>The Company’s potentially dilutive securities, which include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color w:val="auto"/>
        </w:rPr>
        <w:t>is the same. The Company excluded the following from the computation of diluted net loss per share attributable to common stockholders as of</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and 2020, because including them would have had an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306070</wp:posOffset>
            </wp:positionV>
            <wp:extent cx="68262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80" w:type="dxa"/>
            <w:vAlign w:val="bottom"/>
          </w:tcPr>
          <w:p>
            <w:pPr>
              <w:spacing w:after="0"/>
              <w:rPr>
                <w:sz w:val="15"/>
                <w:szCs w:val="15"/>
                <w:color w:val="auto"/>
              </w:rPr>
            </w:pPr>
          </w:p>
        </w:tc>
        <w:tc>
          <w:tcPr>
            <w:tcW w:w="1380" w:type="dxa"/>
            <w:vAlign w:val="bottom"/>
            <w:tcBorders>
              <w:top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2020</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2,810,684</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2,499,603</w:t>
            </w:r>
          </w:p>
        </w:tc>
      </w:tr>
      <w:tr>
        <w:trPr>
          <w:trHeight w:val="208"/>
        </w:trPr>
        <w:tc>
          <w:tcPr>
            <w:tcW w:w="78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2,810,684</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2,499,603</w:t>
            </w:r>
          </w:p>
        </w:tc>
      </w:tr>
      <w:tr>
        <w:trPr>
          <w:trHeight w:val="22"/>
        </w:trPr>
        <w:tc>
          <w:tcPr>
            <w:tcW w:w="7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65"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On January 1, 2021, the Company adopted Financial Accounting Standards Board Accounting Standards Update No. 2019-12, Income Taxes Simplifying the Accounting for Income Taxes ("ASU No. 2019-12"). ASU No. 2019-12 eliminates certain exceptions related to the approach for intraperiod tax allocation, the methodology for calculating income taxes in an interim period and the recognition of deferred tax liabilities for outside basis differences. ASU No. 2019-12 also simplifies aspects of the accounting for franchise taxes, enacted changes in tax laws or rates and clarifies the accounting for transactions that result in a step-up in the tax basis of goodwill. The adoption of this standard did not have an impact on the Company’s consolidated financial statements and related disclosures.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51"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 a result of the continuing global COVID-19 pandemic, the Company has implemented business continuity plans designed to address and mitigate the impact of the COVID-19 pandemic on its employees and its business operations, including its preclinical studies and clinical trials, supply chains and third-party providers. Additionally, in response to ongoing COVID-19 pandemic, the Company closed its principal executive office in March 2020. Currently, the Company’s administrative employees continue to work outside of the principal executive office, and the Company maintains a limited the number of staff in any given research laboratory. The Company anticipates that the COVID-19 pandemic will continue to have an impact on the development timelines for several of its preclinical and clinical programs. The extent to which the COVID-19 pandemic impacts the Company’s business, its clinical development, its regulatory efforts, its corporate development objectives and the value of and market for its common stock will depend on future developments which are highly uncertain and cannot be predicted with confidence at this time, including, without limitation: the ultimate duration of the pandemic; travel restrictions; home quarantine orders; social distancing and business closure requirements in the United States, Australia, New Zealand and other countries; and the effectiveness of actions taken globally to mitigate the spread of the COVID-19 virus. The overall disruption of global healthcare systems and the other risks and uncertainties associated with the pandemic could have a material adverse effect on the Company’s business, financial condition, results of operations and growth prospects. As of the date of issuance of these financial statements, the Company is not aware of any specific event or circumstance that would require the Company to update its estimates, assumptions and judgments or revise the carrying value of its assets or liabilities. Actual results could differ from those estimates, and any such differences may be material to the Company’s financial statements.</w:t>
      </w:r>
    </w:p>
    <w:p>
      <w:pPr>
        <w:spacing w:after="0" w:line="17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In addition, the Company is subject to other challenges and risks specific to its business and its ability to execute on its business plan and strategy, as well as risks and uncertainties common to companies in the biopharmaceutical industry with research and development operations, including, without limitation, risks and uncertainties associated with: obtaining regulatory approval of its product candidates; delays or problems in obtaining clinical supply, loss of single source suppliers or failure to comply with manufacturing regulations; product development and the inherent uncertainty of clinical success; the challenges of protecting and enhancing its intellectual property rights; the challenges of complying with applicable regulatory requirements; and identifying, acquiring or in-licensing additional products or product candidates. In addition, to the extent the ongoing COVID-19 pandemic adversely affects the Company’s business and results of operations, it may also have the effect of heightening many of the other risks and uncertainties discussed above.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3. FAIR VALUE MEASUREMENTS</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indicates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68262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68262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121285</wp:posOffset>
            </wp:positionV>
            <wp:extent cx="68262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QUOTED PRICES</w:t>
            </w: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SIGNIFICANT OTHER</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ACTIVE MARKETS</w:t>
            </w:r>
          </w:p>
        </w:tc>
        <w:tc>
          <w:tcPr>
            <w:tcW w:w="1600" w:type="dxa"/>
            <w:vAlign w:val="bottom"/>
            <w:gridSpan w:val="3"/>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FOR IDENTICAL</w:t>
            </w: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1"/>
                <w:szCs w:val="11"/>
                <w:color w:val="auto"/>
              </w:rPr>
            </w:pPr>
          </w:p>
        </w:tc>
        <w:tc>
          <w:tcPr>
            <w:tcW w:w="138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ind w:right="522"/>
              <w:spacing w:after="0" w:line="148"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58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rPr>
              <w:t>ASSETS (LEVEL 1)</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INPUTS (LEVEL 2)</w:t>
            </w:r>
          </w:p>
        </w:tc>
        <w:tc>
          <w:tcPr>
            <w:tcW w:w="120" w:type="dxa"/>
            <w:vAlign w:val="bottom"/>
          </w:tcPr>
          <w:p>
            <w:pPr>
              <w:spacing w:after="0"/>
              <w:rPr>
                <w:sz w:val="12"/>
                <w:szCs w:val="12"/>
                <w:color w:val="auto"/>
              </w:rPr>
            </w:pPr>
          </w:p>
        </w:tc>
        <w:tc>
          <w:tcPr>
            <w:tcW w:w="1380" w:type="dxa"/>
            <w:vAlign w:val="bottom"/>
          </w:tcPr>
          <w:p>
            <w:pPr>
              <w:jc w:val="center"/>
              <w:ind w:right="62"/>
              <w:spacing w:after="0" w:line="148" w:lineRule="exact"/>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i w:val="1"/>
                <w:iCs w:val="1"/>
                <w:color w:val="auto"/>
              </w:rPr>
              <w:t>Asset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Money market funds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230,042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230,042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4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Total financial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230,042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230,042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QUOTED PRICES</w:t>
            </w:r>
          </w:p>
        </w:tc>
        <w:tc>
          <w:tcPr>
            <w:tcW w:w="1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SIGNIFICANT OTHER</w:t>
            </w: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SIGNIFICANT OTHER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ACTIVE MARKETS</w:t>
            </w:r>
          </w:p>
        </w:tc>
        <w:tc>
          <w:tcPr>
            <w:tcW w:w="1600" w:type="dxa"/>
            <w:vAlign w:val="bottom"/>
            <w:gridSpan w:val="3"/>
            <w:vMerge w:val="continue"/>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FOR IDENTICAL</w:t>
            </w: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1"/>
                <w:szCs w:val="11"/>
                <w:color w:val="auto"/>
              </w:rPr>
            </w:pPr>
          </w:p>
        </w:tc>
        <w:tc>
          <w:tcPr>
            <w:tcW w:w="138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right"/>
              <w:ind w:right="522"/>
              <w:spacing w:after="0" w:line="148"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58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rPr>
              <w:t>ASSETS (LEVEL 1)</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rPr>
              <w:t>INPUTS (LEVEL 2)</w:t>
            </w:r>
          </w:p>
        </w:tc>
        <w:tc>
          <w:tcPr>
            <w:tcW w:w="120" w:type="dxa"/>
            <w:vAlign w:val="bottom"/>
          </w:tcPr>
          <w:p>
            <w:pPr>
              <w:spacing w:after="0"/>
              <w:rPr>
                <w:sz w:val="12"/>
                <w:szCs w:val="12"/>
                <w:color w:val="auto"/>
              </w:rPr>
            </w:pPr>
          </w:p>
        </w:tc>
        <w:tc>
          <w:tcPr>
            <w:tcW w:w="1380" w:type="dxa"/>
            <w:vAlign w:val="bottom"/>
          </w:tcPr>
          <w:p>
            <w:pPr>
              <w:jc w:val="center"/>
              <w:ind w:right="62"/>
              <w:spacing w:after="0" w:line="148" w:lineRule="exact"/>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4460" w:type="dxa"/>
            <w:vAlign w:val="bottom"/>
            <w:gridSpan w:val="2"/>
            <w:shd w:val="clear" w:color="auto" w:fill="CCEEFF"/>
          </w:tcPr>
          <w:p>
            <w:pPr>
              <w:spacing w:after="0" w:line="181" w:lineRule="exact"/>
              <w:rPr>
                <w:sz w:val="20"/>
                <w:szCs w:val="20"/>
                <w:color w:val="auto"/>
              </w:rPr>
            </w:pPr>
            <w:r>
              <w:rPr>
                <w:rFonts w:ascii="Arial" w:cs="Arial" w:eastAsia="Arial" w:hAnsi="Arial"/>
                <w:sz w:val="17"/>
                <w:szCs w:val="17"/>
                <w:i w:val="1"/>
                <w:iCs w:val="1"/>
                <w:color w:val="auto"/>
              </w:rPr>
              <w:t>Asset</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Money market funds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262,043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262,043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7"/>
                <w:szCs w:val="17"/>
                <w:color w:val="auto"/>
              </w:rPr>
              <w:t>Total financial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262,043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262,043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ind w:left="1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There have been no transfers between fair value levels during the years ended December 31, 2021 and 2020. The carrying values of other current assets, accounts payable and accrued expenses approximate their fair values due to the short-term nature of these assets and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Tranche Obligation</w:t>
      </w:r>
    </w:p>
    <w:p>
      <w:pPr>
        <w:spacing w:after="0" w:line="6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The Company determined that its obligation to issue, and the Company’s investors’ obligation to purchase additional shares of convertible preferred stock at a fixed price (i.e. the issuance price) in subsequent tranches following the initial closings of the series A, series A-1, and series B-1 convertible preferred stock (respectively, the “Series A Preferred Stock,” “Series A-1 Preferred Stock,” and “Series B-1 Preferred Stock”, which are referred to collectively with the series B-2 convertible preferred stock (the “Series B-2 Preferred Stock”) and the series C convertible preferred stock (the “Series C Preferred Stock”) as the “Preferred Stock”) financings represented a freestanding financial instrument (the “Preferred Stock Tranche Obligation”). The freestanding financial instrument was classified as a liability on the Company’s consolidated balance sheets and initially recorded at fair value, with changes in fair value for each reporting period recognized in other expense, net in the consolidated statement of operations.</w:t>
      </w:r>
    </w:p>
    <w:p>
      <w:pPr>
        <w:spacing w:after="0" w:line="156"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The Board determined it was probable that the Series B-2 Preferred Stock milestone would be met, and the stockholders and the Board subsequently waived the milestone and the issuance of the Series B-2 Preferred Stock on March 2, 2020. Instead of issuing the Series B-2 Preferred Stock upon this waiver, the Company instead closed its convertible Series C Preferred Stock financing (“Series C financing”). The associated Preferred Stock Tranche Obligation was remeasured prior to settlement, with the associated $1.5 million increase in fair value recorded in the Company’s consolidated statement of operations as other expense, net. As the Series C financing was executed with related parties, the Company recognized the settlement of the Preferred Stock Tranche Obligation of $6.4 million as a capital contribution in additional paid-in capital in the Company’s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reflects the significant quantitative inputs used in the valuation of the Preferred Stock Tranche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68262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w:t>
            </w:r>
          </w:p>
        </w:tc>
        <w:tc>
          <w:tcPr>
            <w:tcW w:w="200" w:type="dxa"/>
            <w:vAlign w:val="bottom"/>
          </w:tcPr>
          <w:p>
            <w:pPr>
              <w:spacing w:after="0"/>
              <w:rPr>
                <w:sz w:val="14"/>
                <w:szCs w:val="14"/>
                <w:color w:val="auto"/>
              </w:rPr>
            </w:pPr>
          </w:p>
        </w:tc>
        <w:tc>
          <w:tcPr>
            <w:tcW w:w="202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488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480" w:type="dxa"/>
            <w:vAlign w:val="bottom"/>
          </w:tcPr>
          <w:p>
            <w:pPr>
              <w:spacing w:after="0"/>
              <w:rPr>
                <w:sz w:val="15"/>
                <w:szCs w:val="15"/>
                <w:color w:val="auto"/>
              </w:rPr>
            </w:pPr>
          </w:p>
        </w:tc>
      </w:tr>
      <w:tr>
        <w:trPr>
          <w:trHeight w:val="208"/>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Stand-alone Series B-1 Preferred Stock price (spot price)</w:t>
            </w:r>
          </w:p>
        </w:tc>
        <w:tc>
          <w:tcPr>
            <w:tcW w:w="2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7.28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7.28</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7"/>
                <w:szCs w:val="17"/>
                <w:color w:val="auto"/>
              </w:rPr>
              <w:t>Estimated future value of Series B-2 Preferred Stock</w:t>
            </w:r>
          </w:p>
        </w:tc>
        <w:tc>
          <w:tcPr>
            <w:tcW w:w="2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39"/>
              <w:spacing w:after="0"/>
              <w:rPr>
                <w:sz w:val="20"/>
                <w:szCs w:val="20"/>
                <w:color w:val="auto"/>
              </w:rPr>
            </w:pPr>
            <w:r>
              <w:rPr>
                <w:rFonts w:ascii="Arial" w:cs="Arial" w:eastAsia="Arial" w:hAnsi="Arial"/>
                <w:sz w:val="17"/>
                <w:szCs w:val="17"/>
                <w:color w:val="auto"/>
              </w:rPr>
              <w:t>8.14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39"/>
              <w:spacing w:after="0"/>
              <w:rPr>
                <w:sz w:val="20"/>
                <w:szCs w:val="20"/>
                <w:color w:val="auto"/>
              </w:rPr>
            </w:pPr>
            <w:r>
              <w:rPr>
                <w:rFonts w:ascii="Arial" w:cs="Arial" w:eastAsia="Arial" w:hAnsi="Arial"/>
                <w:sz w:val="17"/>
                <w:szCs w:val="17"/>
                <w:color w:val="auto"/>
              </w:rPr>
              <w:t>8.14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7"/>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2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15.50 %</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7"/>
                <w:szCs w:val="17"/>
                <w:color w:val="auto"/>
              </w:rPr>
              <w:t>Time to liquidity (years)</w:t>
            </w:r>
          </w:p>
        </w:tc>
        <w:tc>
          <w:tcPr>
            <w:tcW w:w="2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7"/>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Probability of tranche closing</w:t>
            </w:r>
          </w:p>
        </w:tc>
        <w:tc>
          <w:tcPr>
            <w:tcW w:w="2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54"/>
        </w:trPr>
        <w:tc>
          <w:tcPr>
            <w:tcW w:w="48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r>
      <w:tr>
        <w:trPr>
          <w:trHeight w:val="647"/>
        </w:trPr>
        <w:tc>
          <w:tcPr>
            <w:tcW w:w="4880" w:type="dxa"/>
            <w:vAlign w:val="bottom"/>
          </w:tcPr>
          <w:p>
            <w:pPr>
              <w:spacing w:after="0"/>
              <w:rPr>
                <w:sz w:val="24"/>
                <w:szCs w:val="24"/>
                <w:color w:val="auto"/>
              </w:rPr>
            </w:pPr>
          </w:p>
        </w:tc>
        <w:tc>
          <w:tcPr>
            <w:tcW w:w="2720" w:type="dxa"/>
            <w:vAlign w:val="bottom"/>
            <w:gridSpan w:val="2"/>
          </w:tcPr>
          <w:p>
            <w:pPr>
              <w:jc w:val="right"/>
              <w:ind w:right="1800"/>
              <w:spacing w:after="0"/>
              <w:rPr>
                <w:sz w:val="20"/>
                <w:szCs w:val="20"/>
                <w:color w:val="auto"/>
              </w:rPr>
            </w:pPr>
            <w:r>
              <w:rPr>
                <w:rFonts w:ascii="Arial" w:cs="Arial" w:eastAsia="Arial" w:hAnsi="Arial"/>
                <w:sz w:val="17"/>
                <w:szCs w:val="17"/>
                <w:color w:val="auto"/>
              </w:rPr>
              <w:t>F-14</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9"/>
        </w:trPr>
        <w:tc>
          <w:tcPr>
            <w:tcW w:w="48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27" w:name="page128"/>
    <w:bookmarkEnd w:id="127"/>
    <w:p>
      <w:pPr>
        <w:ind w:right="40"/>
        <w:spacing w:after="0" w:line="257" w:lineRule="auto"/>
        <w:rPr>
          <w:sz w:val="20"/>
          <w:szCs w:val="20"/>
          <w:color w:val="auto"/>
        </w:rPr>
      </w:pPr>
      <w:r>
        <w:rPr>
          <w:rFonts w:ascii="Arial" w:cs="Arial" w:eastAsia="Arial" w:hAnsi="Arial"/>
          <w:sz w:val="17"/>
          <w:szCs w:val="17"/>
          <w:color w:val="auto"/>
        </w:rPr>
        <w:t>The purchase price of the Preferred Stock at initial issuance, and all subsequent issuances was higher than the fair value of the Company’s common stock.</w:t>
      </w:r>
    </w:p>
    <w:p>
      <w:pPr>
        <w:spacing w:after="0" w:line="145"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following table sets forth a summary of changes in the fair value of the Company’s Preferred Stock Tranche Obligation for which fair value was determined by Level 3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682625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6826250" cy="1447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6826250" cy="14478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826250" cy="1365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6826250" cy="13652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Change in fair value</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Balance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6826250" cy="1365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6826250" cy="136525"/>
                    </a:xfrm>
                    <a:prstGeom prst="rect">
                      <a:avLst/>
                    </a:prstGeom>
                    <a:noFill/>
                  </pic:spPr>
                </pic:pic>
              </a:graphicData>
            </a:graphic>
          </wp:anchor>
        </w:drawing>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Change in fair value</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Settlement of tranche obligation</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Balance as of December 31, 2020</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PREFERRED</w:t>
      </w:r>
    </w:p>
    <w:p>
      <w:pPr>
        <w:jc w:val="center"/>
        <w:ind w:right="440"/>
        <w:spacing w:after="0" w:line="200" w:lineRule="auto"/>
        <w:rPr>
          <w:sz w:val="20"/>
          <w:szCs w:val="20"/>
          <w:color w:val="auto"/>
        </w:rPr>
      </w:pPr>
      <w:r>
        <w:rPr>
          <w:rFonts w:ascii="Arial" w:cs="Arial" w:eastAsia="Arial" w:hAnsi="Arial"/>
          <w:sz w:val="14"/>
          <w:szCs w:val="14"/>
          <w:b w:val="1"/>
          <w:bCs w:val="1"/>
          <w:color w:val="auto"/>
        </w:rPr>
        <w:t>STOCK</w:t>
      </w:r>
    </w:p>
    <w:p>
      <w:pPr>
        <w:jc w:val="center"/>
        <w:ind w:right="440"/>
        <w:spacing w:after="0" w:line="200" w:lineRule="auto"/>
        <w:rPr>
          <w:sz w:val="20"/>
          <w:szCs w:val="20"/>
          <w:color w:val="auto"/>
        </w:rPr>
      </w:pPr>
      <w:r>
        <w:rPr>
          <w:rFonts w:ascii="Arial" w:cs="Arial" w:eastAsia="Arial" w:hAnsi="Arial"/>
          <w:sz w:val="14"/>
          <w:szCs w:val="14"/>
          <w:b w:val="1"/>
          <w:bCs w:val="1"/>
          <w:color w:val="auto"/>
        </w:rPr>
        <w:t>TRANCHE</w:t>
      </w:r>
    </w:p>
    <w:p>
      <w:pPr>
        <w:jc w:val="center"/>
        <w:ind w:right="440"/>
        <w:spacing w:after="0"/>
        <w:rPr>
          <w:sz w:val="20"/>
          <w:szCs w:val="20"/>
          <w:color w:val="auto"/>
        </w:rPr>
      </w:pPr>
      <w:r>
        <w:rPr>
          <w:rFonts w:ascii="Arial" w:cs="Arial" w:eastAsia="Arial" w:hAnsi="Arial"/>
          <w:sz w:val="14"/>
          <w:szCs w:val="14"/>
          <w:b w:val="1"/>
          <w:bCs w:val="1"/>
          <w:color w:val="auto"/>
        </w:rPr>
        <w:t>OBLIGATION</w:t>
      </w:r>
    </w:p>
    <w:p>
      <w:pPr>
        <w:spacing w:after="0" w:line="29" w:lineRule="exact"/>
        <w:rPr>
          <w:sz w:val="20"/>
          <w:szCs w:val="20"/>
          <w:color w:val="auto"/>
        </w:rPr>
      </w:pPr>
    </w:p>
    <w:p>
      <w:pPr>
        <w:ind w:left="900" w:hanging="894"/>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2,392</w:t>
      </w:r>
    </w:p>
    <w:p>
      <w:pPr>
        <w:spacing w:after="0" w:line="19"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2,564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8947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4,956</w:t>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1,490</w:t>
      </w:r>
    </w:p>
    <w:p>
      <w:pPr>
        <w:spacing w:after="0" w:line="19" w:lineRule="exact"/>
        <w:rPr>
          <w:sz w:val="20"/>
          <w:szCs w:val="20"/>
          <w:color w:val="auto"/>
        </w:rPr>
      </w:pPr>
    </w:p>
    <w:p>
      <w:pPr>
        <w:jc w:val="right"/>
        <w:ind w:right="460"/>
        <w:spacing w:after="0"/>
        <w:rPr>
          <w:sz w:val="20"/>
          <w:szCs w:val="20"/>
          <w:color w:val="auto"/>
        </w:rPr>
      </w:pPr>
      <w:r>
        <w:rPr>
          <w:rFonts w:ascii="Arial" w:cs="Arial" w:eastAsia="Arial" w:hAnsi="Arial"/>
          <w:sz w:val="17"/>
          <w:szCs w:val="17"/>
          <w:color w:val="auto"/>
        </w:rPr>
        <w:t>(6,446)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8947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13" w:lineRule="exact"/>
        <w:rPr>
          <w:sz w:val="20"/>
          <w:szCs w:val="20"/>
          <w:color w:val="auto"/>
        </w:rPr>
      </w:pPr>
    </w:p>
    <w:p>
      <w:pPr>
        <w:ind w:left="1160" w:hanging="1154"/>
        <w:spacing w:after="0"/>
        <w:tabs>
          <w:tab w:leader="none" w:pos="11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8947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33020</wp:posOffset>
            </wp:positionV>
            <wp:extent cx="8947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40" w:space="720"/>
            <w:col w:w="1840"/>
          </w:cols>
          <w:pgMar w:left="320" w:top="871" w:right="379" w:bottom="1440" w:gutter="0" w:footer="0" w:header="0"/>
          <w:type w:val="continuous"/>
        </w:sectPr>
      </w:pPr>
    </w:p>
    <w:p>
      <w:pPr>
        <w:spacing w:after="0" w:line="12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Fluctuations in the fair value of the Company’s Preferred Stock is the primary cause for the significant changes in fair value of the Preferred Stock Tranche Obligation. In 2020 and 2019, the enterprise value of the Company was determined using the Market Approach, specifically the Subject Company Transaction Method, which considers all share class rights and preferences, as of the date of the most recent financing. As part of the Company’s strategy, during 2019, the Company began considering the pursuit of longer-term liquidity options including a potential initial public offering, which caused an increase in the value of the Series B-1 Preferred Stock while reducing the value of the Preferred Stock Tranche Obligation.</w:t>
      </w:r>
    </w:p>
    <w:p>
      <w:pPr>
        <w:spacing w:after="0" w:line="13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Subsequently, in March 2020, the Company determined it was probable that the milestone criteria necessary to close the subsequent tranche would be met; as such, the value of the Preferred Stock Tranche Obligation increased. The Board then waived the milestone in favor of issuing the Series C Preferred Stock in March 2020 (see Note 8), and in doing so, the Preferred Stock Tranche Obligation was fully settled and reduced to $0 on the Company's consolidated balance sheet.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as of December 31, 2021 and 2020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8262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1"/>
        </w:trPr>
        <w:tc>
          <w:tcPr>
            <w:tcW w:w="78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service contracts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1,613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Income tax credit receivable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sales tax</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R&amp;D payroll tax credit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Insurance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prepaid expenses and other current assets</w:t>
            </w:r>
          </w:p>
        </w:tc>
        <w:tc>
          <w:tcPr>
            <w:tcW w:w="90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3,398</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as of December 31, 2021 and 2020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8262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1"/>
        </w:trPr>
        <w:tc>
          <w:tcPr>
            <w:tcW w:w="78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equipment and software</w:t>
            </w:r>
          </w:p>
        </w:tc>
        <w:tc>
          <w:tcPr>
            <w:tcW w:w="900" w:type="dxa"/>
            <w:vAlign w:val="bottom"/>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1,821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1,106</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Leasehold improvements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2,181</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1,445</w:t>
            </w: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90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1,335</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$0.4 million and $0.3 million for each of the years ended December 31, 2021 and 2020, respectively.</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as of December 31, 2021 and 2020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8262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181"/>
        </w:trPr>
        <w:tc>
          <w:tcPr>
            <w:tcW w:w="78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external R&amp;D costs</w:t>
            </w:r>
          </w:p>
        </w:tc>
        <w:tc>
          <w:tcPr>
            <w:tcW w:w="900" w:type="dxa"/>
            <w:vAlign w:val="bottom"/>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Accrued external manufacturing costs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3,259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2,265</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 and benefits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2,373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Accrued tax</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185</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legal and consultants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accrued expenses and other current liabilities</w:t>
            </w:r>
          </w:p>
        </w:tc>
        <w:tc>
          <w:tcPr>
            <w:tcW w:w="90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7,339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LICENSE AGREEMENTS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Massachusetts General Hospital</w:t>
      </w:r>
    </w:p>
    <w:p>
      <w:pPr>
        <w:spacing w:after="0" w:line="65"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On April 5, 2016, the Company entered into an exclusive patent license agreement with The General Hospital Corporation d/b/a Massachusetts General Hospital (“MGH”). Under the license agreement with MGH (as amended in May 2017 and February 2018, the “MGH Agreement”), the Company obtained an exclusive, worldwide license, with the right to sublicense, under certain patents and technical information of MGH, to make, have made, use, have used, sell, have sold, lease, have leased, import, have imported or otherwise transfer licensed products and processes for use in the treatment, diagnosis, palliation and prevention of diseases and disorders in humans and animals. The Company is required to use commercially reasonable efforts to develop and commercialize licensed products and processes and must achieve certain required diligence milestones.</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Under the terms of the MGH Agreement, the Company paid an initial license payment of $0.1 million in 2016, and reimbursed MGH approximately $0.3 million of prior patent prosecution expenses related to the licensed patents in 2017. The Company also issued MGH an aggregate of 358,674 shares of its common stock. Additionally, the Company is required to pay a low-five digit to mid-five digit annual maintenance fee prior to the first commercial sale of its first product or process, a mid-five digit annual maintenance fee after the first commercial sale of its first product or process that is creditable against royalties, certain clinical and regulatory milestone payments for the first three products or indications to achieve such milestones, which milestone payments are $8.6 million in the aggregate, and certain commercial milestone payments for the first three products or indications to achieve such milestones, which milestone payments are $18.0 million in the aggregate. We made payments of $50,000 and $300,000 in 2020 and 2021, respectively, for the achievement of the clinical and regulatory milestones of (i) filing of an IND in the first country and (ii) the completion of a Phase 1 clinical trial, respectively. The Company is also obligated to pay tiered royalties on net sales of licensed products ranging in the low-single digits to mid-single digits. The royalty rates are subject to up to a maximum 50% reduction for lack of a valid claim, in the event that it is necessary for the Company to obtain a license to any third-party intellectual property related to the licensed products, and generic competition. The obligation to pay royalties under the MGH Agreement expires on a licensed product-by-licensed product and country-by-country basis upon the later of expiry of the last valid claim of the licensed patents that cover such licensed product in such country or ten years from the first commercial sale of such product in such country. The Company is also obligated to pay a percentage of non-royalty-related payments received by it from sublicensees ranging in the low-double digits and a change of control fee equal to a low-single digit percentage of the payments received as part of any completed transaction up to a low seven-digit amount.</w:t>
      </w:r>
    </w:p>
    <w:p>
      <w:pPr>
        <w:spacing w:after="0" w:line="163"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MGH Agreement expires upon expiry of the last remaining royalty obligation for a licensed product or process. Under the MGH Agreement, MGH may terminate the agreement upon the Company’s uncured material breach or insolvency, a challenge by the Company of the licensed patents and certain other specified breaches of the MGH Agreement. The Company may terminate the agreement for any reason upon specified prior written notice to MGH.</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Neurona Agreement</w:t>
      </w:r>
    </w:p>
    <w:p>
      <w:pPr>
        <w:spacing w:after="0" w:line="65"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On June 22, 2021, the Company entered into a license agreement with Neurona. Refer to Note 13, Revenue from Contracts with Customers, for more information regarding this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Hansoh Agreement</w:t>
      </w:r>
    </w:p>
    <w:p>
      <w:pPr>
        <w:spacing w:after="0" w:line="65"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On December 12, 2021, the Company entered into a license agreement with Hansoh. Refer to Note 13, Revenue from Contracts with Customers, for more information regarding this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92"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On March 2, 2020, the Company authorized the sale and issuance of up to 9,049,783 shares of Series C Preferred Stock, par value $0.0001 per share, of which 4,169,822 shares were sold at a purchase price of $13.43 per share for gross proceeds of</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29" w:name="page130"/>
    <w:bookmarkEnd w:id="129"/>
    <w:p>
      <w:pPr>
        <w:jc w:val="both"/>
        <w:ind w:right="40"/>
        <w:spacing w:after="0" w:line="252" w:lineRule="auto"/>
        <w:rPr>
          <w:sz w:val="20"/>
          <w:szCs w:val="20"/>
          <w:color w:val="auto"/>
        </w:rPr>
      </w:pPr>
      <w:r>
        <w:rPr>
          <w:rFonts w:ascii="Arial" w:cs="Arial" w:eastAsia="Arial" w:hAnsi="Arial"/>
          <w:sz w:val="17"/>
          <w:szCs w:val="17"/>
          <w:color w:val="auto"/>
        </w:rPr>
        <w:t>$56.0 million. Issuance costs were approximately $0.2 million. As part of the Company's Series C Preferred Stock issuance, 3,078,968 of the shares were issued to affiliates of members of the Board. All issued shares reflect the reverse stock split effected March 31, 2020 while the Board authorized shares reflect the original number of shares authorized pre-split.</w:t>
      </w:r>
    </w:p>
    <w:p>
      <w:pPr>
        <w:spacing w:after="0" w:line="149"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On April 13, 2020, upon the closing of the Company's IPO, all outstanding shares of Preferred Stock converted into 10,725,129 shares of the Company's common stock. Additionally, effective April 13, 2020, the Company's amended and restated certificate of incorporation authorized the issuance of 10,000,000 shares of preferred stock. There were no outstanding shares of Preferred Stock as of December 31, 2021 and 2020.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92"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As of December 31, 2021, the Company’s certificate of incorporation authorized the Company to issue 200,000,000 shares of $0.0001 par value common stock.</w:t>
      </w:r>
    </w:p>
    <w:p>
      <w:pPr>
        <w:spacing w:after="0" w:line="158" w:lineRule="exact"/>
        <w:rPr>
          <w:sz w:val="20"/>
          <w:szCs w:val="20"/>
          <w:color w:val="auto"/>
        </w:rPr>
      </w:pPr>
    </w:p>
    <w:p>
      <w:pPr>
        <w:ind w:right="320"/>
        <w:spacing w:after="0" w:line="249" w:lineRule="auto"/>
        <w:rPr>
          <w:sz w:val="20"/>
          <w:szCs w:val="20"/>
          <w:color w:val="auto"/>
        </w:rPr>
      </w:pPr>
      <w:r>
        <w:rPr>
          <w:rFonts w:ascii="Arial" w:cs="Arial" w:eastAsia="Arial" w:hAnsi="Arial"/>
          <w:sz w:val="17"/>
          <w:szCs w:val="17"/>
          <w:color w:val="auto"/>
        </w:rPr>
        <w:t>On April 13, 2020, the Company completed its IPO, in which the Company issued and sold 6,900,000 shares of its common stock, which includes 900,000 shares issued and sold pursuant to the full exercise of the underwriters’ option to purchase additional shares, at a public offering price of $16.00 per share, for aggregate gross proceeds of $110.4 million. The Company received approximately $100.1 million in net proceeds after deducting underwriting discounts and commissions and offering costs. In connection with the IPO, all outstanding shares of Preferred Stock automatically converted into 10,725,129 shares of common stock at the applicable conversion ratio then in effect.</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connection with the IPO, the Board and stockholders approved an amended and restated certificate of incorporation to, among other things, effect a one-for-2.1703 reverse stock split of its issued and outstanding shares of common stock and convertible preferred stock, as well as to effect a proportional adjustment to the existing conversion ratios for the Company’s convertible preferred stock. The reverse stock split was effected on March 31, 2020. Accordingly, all share and per share amounts of common stock for all periods presented in the accompanying audited consolidated financial statements and notes thereto have been retroactively adjusted, where applicable, to reflect this reverse stock split and adjustment of preferred stock conversion ratios.</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November 17, 2020, the Company completed an underwritten public offering in which the Company issued and sold 2,990,000 shares of common stock at a public offering price of $50.00 per share, which includes 390,000 shares of common stock issued pursuant to the exercise in full of the over-allotment option by the underwriters. The aggregate gross proceeds to the Company from the public offering were approximately $149.5 million. The Company received approximately $140.1 million in net proceeds after deducting underwriting discounts and commissions and offering costs.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For the year ended December 31, 2021, the Company raised gross proceeds of $28.6 million pursuant to the ATM Offering through the sale of</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520,000 shares of common stock at a weighted average price of $55.00 per share. The net proceeds from the ATM Offering were approximately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$28.1 million after deducting sales agent commissions of $0.4 million and offering expenses of $0.1 million. As of December 31, 2021, the Company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was eligible to offer and sell, from time to time, shares of its common stock for an aggregate offering amount of up to the remaining $121.4 million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available under the ATM Offering.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rights and privileges of the holders of common stock as of December 31, 2021:</w:t>
      </w:r>
    </w:p>
    <w:p>
      <w:pPr>
        <w:spacing w:after="0" w:line="149"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i w:val="1"/>
          <w:iCs w:val="1"/>
          <w:color w:val="auto"/>
        </w:rPr>
        <w:t xml:space="preserve">Liquidation Preference: </w:t>
      </w:r>
      <w:r>
        <w:rPr>
          <w:rFonts w:ascii="Arial" w:cs="Arial" w:eastAsia="Arial" w:hAnsi="Arial"/>
          <w:sz w:val="17"/>
          <w:szCs w:val="17"/>
          <w:color w:val="auto"/>
        </w:rPr>
        <w:t>In the event of liquidation, dissolution or winding up, holders of common stock will be entitled to share ratably in the net</w:t>
      </w:r>
      <w:r>
        <w:rPr>
          <w:rFonts w:ascii="Arial" w:cs="Arial" w:eastAsia="Arial" w:hAnsi="Arial"/>
          <w:sz w:val="17"/>
          <w:szCs w:val="17"/>
          <w:i w:val="1"/>
          <w:iCs w:val="1"/>
          <w:color w:val="auto"/>
        </w:rPr>
        <w:t xml:space="preserve"> </w:t>
      </w:r>
      <w:r>
        <w:rPr>
          <w:rFonts w:ascii="Arial" w:cs="Arial" w:eastAsia="Arial" w:hAnsi="Arial"/>
          <w:sz w:val="17"/>
          <w:szCs w:val="17"/>
          <w:color w:val="auto"/>
        </w:rPr>
        <w:t>assets legally available for distribution to stockholders after the payment of all debts and other liabilities and the satisfaction of any liquidation preference granted to the holders of any then-outstanding shares of preferred stock.</w:t>
      </w:r>
    </w:p>
    <w:p>
      <w:pPr>
        <w:spacing w:after="0" w:line="136" w:lineRule="exact"/>
        <w:rPr>
          <w:sz w:val="20"/>
          <w:szCs w:val="20"/>
          <w:color w:val="auto"/>
        </w:rPr>
      </w:pPr>
    </w:p>
    <w:p>
      <w:pPr>
        <w:jc w:val="both"/>
        <w:ind w:right="220"/>
        <w:spacing w:after="0" w:line="263"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Subject to preferences that may be applicable to any then-outstanding preferred stock, holders of common stock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ratably those dividends, if any, as may be declared from time to time by the Board out of legally available funds. As of December 31, 2021, no cash dividends have been declared or paid.</w:t>
      </w:r>
    </w:p>
    <w:p>
      <w:pPr>
        <w:spacing w:after="0" w:line="136"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Each holder of common stock is entitled to one vote for each share on all matters submitted to a vote of the stockholders,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election of directors. Under the Company's amended and restated certificate of incorporation and amended and restated bylaws,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2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Rights and Preferences</w:t>
      </w:r>
      <w:r>
        <w:rPr>
          <w:rFonts w:ascii="Arial" w:cs="Arial" w:eastAsia="Arial" w:hAnsi="Arial"/>
          <w:sz w:val="17"/>
          <w:szCs w:val="17"/>
          <w:color w:val="auto"/>
        </w:rPr>
        <w:t>: Holders of common stock have no preemptive, conversion or subscription rights and there are no redemption or sinking fund</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color w:val="auto"/>
        </w:rPr>
        <w:t>As of December 31, 2021 and 2020, the Company has reserved the following shares of common stock for the potential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8262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20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81"/>
        </w:trPr>
        <w:tc>
          <w:tcPr>
            <w:tcW w:w="7880" w:type="dxa"/>
            <w:vAlign w:val="bottom"/>
          </w:tcPr>
          <w:p>
            <w:pPr>
              <w:spacing w:after="0"/>
              <w:rPr>
                <w:sz w:val="15"/>
                <w:szCs w:val="15"/>
                <w:color w:val="auto"/>
              </w:rPr>
            </w:pPr>
          </w:p>
        </w:tc>
        <w:tc>
          <w:tcPr>
            <w:tcW w:w="138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jc w:val="right"/>
              <w:ind w:right="460"/>
              <w:spacing w:after="0"/>
              <w:rPr>
                <w:sz w:val="20"/>
                <w:szCs w:val="20"/>
                <w:color w:val="auto"/>
              </w:rPr>
            </w:pPr>
            <w:r>
              <w:rPr>
                <w:rFonts w:ascii="Arial" w:cs="Arial" w:eastAsia="Arial" w:hAnsi="Arial"/>
                <w:sz w:val="14"/>
                <w:szCs w:val="14"/>
                <w:b w:val="1"/>
                <w:bCs w:val="1"/>
                <w:color w:val="auto"/>
              </w:rPr>
              <w:t>2020</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2,810,684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2,499,603</w:t>
            </w:r>
          </w:p>
        </w:tc>
      </w:tr>
      <w:tr>
        <w:trPr>
          <w:trHeight w:val="210"/>
        </w:trPr>
        <w:tc>
          <w:tcPr>
            <w:tcW w:w="7880" w:type="dxa"/>
            <w:vAlign w:val="bottom"/>
          </w:tcPr>
          <w:p>
            <w:pPr>
              <w:ind w:left="20"/>
              <w:spacing w:after="0"/>
              <w:rPr>
                <w:sz w:val="20"/>
                <w:szCs w:val="20"/>
                <w:color w:val="auto"/>
              </w:rPr>
            </w:pPr>
            <w:r>
              <w:rPr>
                <w:rFonts w:ascii="Arial" w:cs="Arial" w:eastAsia="Arial" w:hAnsi="Arial"/>
                <w:sz w:val="17"/>
                <w:szCs w:val="17"/>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2,810,684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2,499,603</w:t>
            </w:r>
          </w:p>
        </w:tc>
      </w:tr>
      <w:tr>
        <w:trPr>
          <w:trHeight w:val="20"/>
        </w:trPr>
        <w:tc>
          <w:tcPr>
            <w:tcW w:w="78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8120" w:firstLine="7"/>
        <w:spacing w:after="0" w:line="376" w:lineRule="auto"/>
        <w:tabs>
          <w:tab w:leader="none" w:pos="298"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5"/>
          <w:szCs w:val="15"/>
          <w:b w:val="1"/>
          <w:bCs w:val="1"/>
          <w:i w:val="1"/>
          <w:iCs w:val="1"/>
          <w:color w:val="auto"/>
        </w:rPr>
        <w:t>2017 Stock Incentive Plan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Board adopted the 2017 Stock Incentive Plan (the "2017 Plan") in February 2017, and the stockholders approved the 2017 Plan in March 2017.</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The 2017 Plan was most recently amended in March 2020.</w:t>
      </w:r>
    </w:p>
    <w:p>
      <w:pPr>
        <w:spacing w:after="0" w:line="167"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As of December 31, 2021, there were an aggregate of 727,742 shares of common stock issuable upon the exercise of outstanding options under the 2017 Plan. Any options or awards outstanding under the 2017 Plan remain outstanding and effective.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2020 Equity Incentive Plan</w:t>
      </w:r>
    </w:p>
    <w:p>
      <w:pPr>
        <w:spacing w:after="0" w:line="20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April 2020, the 2020 Equity Incentive Plan (the "2020 Plan") became effective, and, as a result, no further awards will be made under the 2017 Plan. The 2020 Plan provides for the grant of stock options qualifying as incentive stock options ("ISOs"), to employees and for the grant of nonstatutory stock options ("NSOs"), restricted stock awards, restricted stock unit awards, stock appreciation rights, performance stock awards and other forms of stock compensation to employees, consultants and directors. The 2020 Plan also provides for the grant of performance cash awards to employees, consultants and directors. Any previously granted awards under the 2017 Plan will remain outstanding in accordance with their respective terms.</w:t>
      </w:r>
    </w:p>
    <w:p>
      <w:pPr>
        <w:spacing w:after="0" w:line="152" w:lineRule="exact"/>
        <w:rPr>
          <w:sz w:val="20"/>
          <w:szCs w:val="20"/>
          <w:color w:val="auto"/>
        </w:rPr>
      </w:pPr>
    </w:p>
    <w:p>
      <w:pPr>
        <w:ind w:right="260"/>
        <w:spacing w:after="0" w:line="249" w:lineRule="auto"/>
        <w:rPr>
          <w:sz w:val="20"/>
          <w:szCs w:val="20"/>
          <w:color w:val="auto"/>
        </w:rPr>
      </w:pPr>
      <w:r>
        <w:rPr>
          <w:rFonts w:ascii="Arial" w:cs="Arial" w:eastAsia="Arial" w:hAnsi="Arial"/>
          <w:sz w:val="17"/>
          <w:szCs w:val="17"/>
          <w:color w:val="auto"/>
        </w:rPr>
        <w:t>Under the 2020 Plan, there is an annual increase on January 1 of each year from January 1, 2021 continuing through January 1, 2030, by 4.0% of the total number of shares of common stock outstanding on December 31 of the preceding calendar year, or a lesser number of shares as may be determined by the Board. On January 1, 2021, the Company increased the number of shares available for future grant under the 2020 Plan by 927,714 shares. On January 1, 2022, the Company increased the number of shares available for future grant under the 2020 Plan by 958,993 shares. The awards granted under the 2020 Plan typically vest over a four-year period and have a 10-year contractual term.</w:t>
      </w:r>
    </w:p>
    <w:p>
      <w:pPr>
        <w:spacing w:after="0" w:line="167" w:lineRule="exact"/>
        <w:rPr>
          <w:sz w:val="20"/>
          <w:szCs w:val="20"/>
          <w:color w:val="auto"/>
        </w:rPr>
      </w:pPr>
    </w:p>
    <w:p>
      <w:pPr>
        <w:jc w:val="both"/>
        <w:ind w:right="160"/>
        <w:spacing w:after="0" w:line="252" w:lineRule="auto"/>
        <w:rPr>
          <w:sz w:val="20"/>
          <w:szCs w:val="20"/>
          <w:color w:val="auto"/>
        </w:rPr>
      </w:pPr>
      <w:r>
        <w:rPr>
          <w:rFonts w:ascii="Arial" w:cs="Arial" w:eastAsia="Arial" w:hAnsi="Arial"/>
          <w:sz w:val="17"/>
          <w:szCs w:val="17"/>
          <w:color w:val="auto"/>
        </w:rPr>
        <w:t>As of December 31, 2021, there were an aggregate of 2,082,942 shares of common stock issuable upon the exercise of outstanding options under the 2020 Plan. Additionally, there were an aggregate of 894,104 shares reserved for future issuance under the 2020 Plan, including shares forfeited from the 2017 Plan.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5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assumptions that the Company used in the Black-Scholes option-pricing model to determine the grant-date fair value of stock options granted for the years ended December 31, 2021 and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68262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4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764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r>
      <w:tr>
        <w:trPr>
          <w:trHeight w:val="208"/>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risk-free interest rate</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0.88 %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0.53 %</w:t>
            </w:r>
          </w:p>
        </w:tc>
      </w:tr>
      <w:tr>
        <w:trPr>
          <w:trHeight w:val="213"/>
        </w:trPr>
        <w:tc>
          <w:tcPr>
            <w:tcW w:w="764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1500" w:type="dxa"/>
            <w:vAlign w:val="bottom"/>
          </w:tcPr>
          <w:p>
            <w:pPr>
              <w:jc w:val="right"/>
              <w:ind w:right="140"/>
              <w:spacing w:after="0"/>
              <w:rPr>
                <w:sz w:val="20"/>
                <w:szCs w:val="20"/>
                <w:color w:val="auto"/>
              </w:rPr>
            </w:pPr>
            <w:r>
              <w:rPr>
                <w:rFonts w:ascii="Arial" w:cs="Arial" w:eastAsia="Arial" w:hAnsi="Arial"/>
                <w:sz w:val="17"/>
                <w:szCs w:val="17"/>
                <w:color w:val="auto"/>
              </w:rPr>
              <w:t>6.05</w:t>
            </w:r>
          </w:p>
        </w:tc>
        <w:tc>
          <w:tcPr>
            <w:tcW w:w="100" w:type="dxa"/>
            <w:vAlign w:val="bottom"/>
          </w:tcPr>
          <w:p>
            <w:pPr>
              <w:spacing w:after="0"/>
              <w:rPr>
                <w:sz w:val="18"/>
                <w:szCs w:val="18"/>
                <w:color w:val="auto"/>
              </w:rPr>
            </w:pPr>
          </w:p>
        </w:tc>
        <w:tc>
          <w:tcPr>
            <w:tcW w:w="1520" w:type="dxa"/>
            <w:vAlign w:val="bottom"/>
          </w:tcPr>
          <w:p>
            <w:pPr>
              <w:jc w:val="right"/>
              <w:ind w:right="158"/>
              <w:spacing w:after="0"/>
              <w:rPr>
                <w:sz w:val="20"/>
                <w:szCs w:val="20"/>
                <w:color w:val="auto"/>
              </w:rPr>
            </w:pPr>
            <w:r>
              <w:rPr>
                <w:rFonts w:ascii="Arial" w:cs="Arial" w:eastAsia="Arial" w:hAnsi="Arial"/>
                <w:sz w:val="17"/>
                <w:szCs w:val="17"/>
                <w:color w:val="auto"/>
              </w:rPr>
              <w:t>6.06</w:t>
            </w:r>
          </w:p>
        </w:tc>
      </w:tr>
      <w:tr>
        <w:trPr>
          <w:trHeight w:val="217"/>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99.10 %</w:t>
            </w:r>
          </w:p>
        </w:tc>
      </w:tr>
      <w:tr>
        <w:trPr>
          <w:trHeight w:val="211"/>
        </w:trPr>
        <w:tc>
          <w:tcPr>
            <w:tcW w:w="76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500" w:type="dxa"/>
            <w:vAlign w:val="bottom"/>
          </w:tcPr>
          <w:p>
            <w:pPr>
              <w:jc w:val="right"/>
              <w:spacing w:after="0"/>
              <w:rPr>
                <w:sz w:val="20"/>
                <w:szCs w:val="20"/>
                <w:color w:val="auto"/>
              </w:rPr>
            </w:pPr>
            <w:r>
              <w:rPr>
                <w:rFonts w:ascii="Arial" w:cs="Arial" w:eastAsia="Arial" w:hAnsi="Arial"/>
                <w:sz w:val="17"/>
                <w:szCs w:val="17"/>
                <w:color w:val="auto"/>
              </w:rPr>
              <w:t>0.00 %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0.00 %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t>A summary of option activity during the years ended December 31, 2021 and 2020 is as follows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82625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9"/>
              </w:rPr>
              <w:t>WEIGHTED-</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1"/>
                <w:szCs w:val="11"/>
                <w:color w:val="auto"/>
              </w:rPr>
            </w:pPr>
          </w:p>
        </w:tc>
        <w:tc>
          <w:tcPr>
            <w:tcW w:w="124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4"/>
        </w:trPr>
        <w:tc>
          <w:tcPr>
            <w:tcW w:w="478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jc w:val="center"/>
              <w:ind w:right="118"/>
              <w:spacing w:after="0" w:line="135" w:lineRule="exact"/>
              <w:rPr>
                <w:sz w:val="20"/>
                <w:szCs w:val="20"/>
                <w:color w:val="auto"/>
              </w:rPr>
            </w:pPr>
            <w:r>
              <w:rPr>
                <w:rFonts w:ascii="Arial" w:cs="Arial" w:eastAsia="Arial" w:hAnsi="Arial"/>
                <w:sz w:val="14"/>
                <w:szCs w:val="14"/>
                <w:b w:val="1"/>
                <w:bCs w:val="1"/>
                <w:color w:val="auto"/>
                <w:w w:val="98"/>
              </w:rPr>
              <w:t>AVERAGE</w:t>
            </w: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780" w:type="dxa"/>
            <w:vAlign w:val="bottom"/>
          </w:tcPr>
          <w:p>
            <w:pPr>
              <w:spacing w:after="0"/>
              <w:rPr>
                <w:sz w:val="15"/>
                <w:szCs w:val="15"/>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OPTIONS</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TERM (IN YEARS)</w:t>
            </w:r>
          </w:p>
        </w:tc>
        <w:tc>
          <w:tcPr>
            <w:tcW w:w="1460" w:type="dxa"/>
            <w:vAlign w:val="bottom"/>
            <w:gridSpan w:val="2"/>
          </w:tcPr>
          <w:p>
            <w:pPr>
              <w:jc w:val="right"/>
              <w:ind w:right="18"/>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8"/>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January 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2,499,603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11.77</w:t>
            </w:r>
          </w:p>
        </w:tc>
        <w:tc>
          <w:tcPr>
            <w:tcW w:w="1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147,103</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7"/>
                <w:szCs w:val="17"/>
                <w:color w:val="auto"/>
              </w:rPr>
              <w:t>Granted</w:t>
            </w:r>
          </w:p>
        </w:tc>
        <w:tc>
          <w:tcPr>
            <w:tcW w:w="1380" w:type="dxa"/>
            <w:vAlign w:val="bottom"/>
          </w:tcPr>
          <w:p>
            <w:pPr>
              <w:jc w:val="right"/>
              <w:spacing w:after="0"/>
              <w:rPr>
                <w:sz w:val="20"/>
                <w:szCs w:val="20"/>
                <w:color w:val="auto"/>
              </w:rPr>
            </w:pPr>
            <w:r>
              <w:rPr>
                <w:rFonts w:ascii="Arial" w:cs="Arial" w:eastAsia="Arial" w:hAnsi="Arial"/>
                <w:sz w:val="17"/>
                <w:szCs w:val="17"/>
                <w:color w:val="auto"/>
              </w:rPr>
              <w:t>750,408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60.32</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(261,968)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13,276</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7"/>
                <w:szCs w:val="17"/>
                <w:color w:val="auto"/>
              </w:rPr>
              <w:t>Cancelled or forfeited</w:t>
            </w:r>
          </w:p>
        </w:tc>
        <w:tc>
          <w:tcPr>
            <w:tcW w:w="1380" w:type="dxa"/>
            <w:vAlign w:val="bottom"/>
          </w:tcPr>
          <w:p>
            <w:pPr>
              <w:jc w:val="right"/>
              <w:spacing w:after="0"/>
              <w:rPr>
                <w:sz w:val="20"/>
                <w:szCs w:val="20"/>
                <w:color w:val="auto"/>
              </w:rPr>
            </w:pPr>
            <w:r>
              <w:rPr>
                <w:rFonts w:ascii="Arial" w:cs="Arial" w:eastAsia="Arial" w:hAnsi="Arial"/>
                <w:sz w:val="17"/>
                <w:szCs w:val="17"/>
                <w:color w:val="auto"/>
              </w:rPr>
              <w:t>(175,984)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28.67</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50.77</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as of December 31, 2021</w:t>
            </w:r>
          </w:p>
        </w:tc>
        <w:tc>
          <w:tcPr>
            <w:tcW w:w="1380" w:type="dxa"/>
            <w:vAlign w:val="bottom"/>
          </w:tcPr>
          <w:p>
            <w:pPr>
              <w:jc w:val="right"/>
              <w:spacing w:after="0"/>
              <w:rPr>
                <w:sz w:val="20"/>
                <w:szCs w:val="20"/>
                <w:color w:val="auto"/>
              </w:rPr>
            </w:pPr>
            <w:r>
              <w:rPr>
                <w:rFonts w:ascii="Arial" w:cs="Arial" w:eastAsia="Arial" w:hAnsi="Arial"/>
                <w:sz w:val="17"/>
                <w:szCs w:val="17"/>
                <w:color w:val="auto"/>
              </w:rPr>
              <w:t>2,810,684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24.62</w:t>
            </w:r>
          </w:p>
        </w:tc>
        <w:tc>
          <w:tcPr>
            <w:tcW w:w="1640" w:type="dxa"/>
            <w:vAlign w:val="bottom"/>
          </w:tcPr>
          <w:p>
            <w:pPr>
              <w:jc w:val="right"/>
              <w:spacing w:after="0"/>
              <w:rPr>
                <w:sz w:val="20"/>
                <w:szCs w:val="20"/>
                <w:color w:val="auto"/>
              </w:rPr>
            </w:pPr>
            <w:r>
              <w:rPr>
                <w:rFonts w:ascii="Arial" w:cs="Arial" w:eastAsia="Arial" w:hAnsi="Arial"/>
                <w:sz w:val="17"/>
                <w:szCs w:val="17"/>
                <w:color w:val="auto"/>
              </w:rPr>
              <w:t>8.11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11,383</w:t>
            </w:r>
          </w:p>
        </w:tc>
        <w:tc>
          <w:tcPr>
            <w:tcW w:w="0" w:type="dxa"/>
            <w:vAlign w:val="bottom"/>
          </w:tcPr>
          <w:p>
            <w:pPr>
              <w:spacing w:after="0"/>
              <w:rPr>
                <w:sz w:val="1"/>
                <w:szCs w:val="1"/>
                <w:color w:val="auto"/>
              </w:rPr>
            </w:pPr>
          </w:p>
        </w:tc>
      </w:tr>
      <w:tr>
        <w:trPr>
          <w:trHeight w:val="228"/>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 as of December 31, 2021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9,524</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45"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weighted-average grant date fair value price per share of options granted during each of the years ended December 31, 2021 and 2020 was $42.29 and $15.57, respectively. As of December 31, 2021, there was $35.3 million of unrecognized stock-based compensation expense related to unvested stock options. The unrecognized stock-based compensation expense is estimated to be recognized over a period of 2.60 years.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options vested during the year ended December 31, 2021 was $10.1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Restricted Common Stock</w:t>
      </w:r>
    </w:p>
    <w:p>
      <w:pPr>
        <w:spacing w:after="0" w:line="51"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The Company has granted shares of restricted common stock with time-based vesting conditions. A summary of restricted stock activity under the 2017 Plan during the years ended December 31, 2021 and 2020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682625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25"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880" w:type="dxa"/>
            <w:vAlign w:val="bottom"/>
            <w:tcBorders>
              <w:bottom w:val="single" w:sz="8" w:color="CCEEFF"/>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r>
      <w:tr>
        <w:trPr>
          <w:trHeight w:val="208"/>
        </w:trPr>
        <w:tc>
          <w:tcPr>
            <w:tcW w:w="788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Unvested at the beginning of the year</w:t>
            </w:r>
          </w:p>
        </w:tc>
        <w:tc>
          <w:tcPr>
            <w:tcW w:w="10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34,557</w:t>
            </w:r>
          </w:p>
        </w:tc>
      </w:tr>
      <w:tr>
        <w:trPr>
          <w:trHeight w:val="213"/>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Vested or released</w:t>
            </w: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(34,557)</w:t>
            </w:r>
          </w:p>
        </w:tc>
      </w:tr>
      <w:tr>
        <w:trPr>
          <w:trHeight w:val="228"/>
        </w:trPr>
        <w:tc>
          <w:tcPr>
            <w:tcW w:w="788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Unvested at the end of the year</w:t>
            </w:r>
          </w:p>
        </w:tc>
        <w:tc>
          <w:tcPr>
            <w:tcW w:w="10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7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there was $0 of unrecognized stock-based compensation expense related to unvested restricted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total fair value of restricted stock vested during the year ended December 31, 2020 was not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51" w:lineRule="exact"/>
        <w:rPr>
          <w:sz w:val="20"/>
          <w:szCs w:val="20"/>
          <w:color w:val="auto"/>
        </w:rPr>
      </w:pPr>
    </w:p>
    <w:p>
      <w:pPr>
        <w:ind w:right="700"/>
        <w:spacing w:after="0" w:line="257" w:lineRule="auto"/>
        <w:rPr>
          <w:sz w:val="20"/>
          <w:szCs w:val="20"/>
          <w:color w:val="auto"/>
        </w:rPr>
      </w:pPr>
      <w:r>
        <w:rPr>
          <w:rFonts w:ascii="Arial" w:cs="Arial" w:eastAsia="Arial" w:hAnsi="Arial"/>
          <w:sz w:val="17"/>
          <w:szCs w:val="17"/>
          <w:color w:val="auto"/>
        </w:rPr>
        <w:t>Total stock-based compensation expense recorded as research and development and general and administrative expenses, respectively, for employees, directors and non-employees during the years ended December 31, 2021 and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68262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430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r>
      <w:tr>
        <w:trPr>
          <w:trHeight w:val="208"/>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w:t>
            </w:r>
          </w:p>
        </w:tc>
        <w:tc>
          <w:tcPr>
            <w:tcW w:w="480" w:type="dxa"/>
            <w:vAlign w:val="bottom"/>
          </w:tcPr>
          <w:p>
            <w:pPr>
              <w:spacing w:after="0"/>
              <w:rPr>
                <w:sz w:val="18"/>
                <w:szCs w:val="18"/>
                <w:color w:val="auto"/>
              </w:rPr>
            </w:pPr>
          </w:p>
        </w:tc>
      </w:tr>
      <w:tr>
        <w:trPr>
          <w:trHeight w:val="21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2,775</w:t>
            </w:r>
          </w:p>
        </w:tc>
        <w:tc>
          <w:tcPr>
            <w:tcW w:w="480" w:type="dxa"/>
            <w:vAlign w:val="bottom"/>
          </w:tcPr>
          <w:p>
            <w:pPr>
              <w:spacing w:after="0"/>
              <w:rPr>
                <w:sz w:val="18"/>
                <w:szCs w:val="18"/>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stock-based compensation expense</w:t>
            </w:r>
          </w:p>
        </w:tc>
        <w:tc>
          <w:tcPr>
            <w:tcW w:w="3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4,097</w:t>
            </w:r>
          </w:p>
        </w:tc>
        <w:tc>
          <w:tcPr>
            <w:tcW w:w="480" w:type="dxa"/>
            <w:vAlign w:val="bottom"/>
          </w:tcPr>
          <w:p>
            <w:pPr>
              <w:spacing w:after="0"/>
              <w:rPr>
                <w:sz w:val="20"/>
                <w:szCs w:val="20"/>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28"/>
        </w:trPr>
        <w:tc>
          <w:tcPr>
            <w:tcW w:w="4300" w:type="dxa"/>
            <w:vAlign w:val="bottom"/>
          </w:tcPr>
          <w:p>
            <w:pPr>
              <w:spacing w:after="0"/>
              <w:rPr>
                <w:sz w:val="24"/>
                <w:szCs w:val="24"/>
                <w:color w:val="auto"/>
              </w:rPr>
            </w:pPr>
          </w:p>
        </w:tc>
        <w:tc>
          <w:tcPr>
            <w:tcW w:w="3820" w:type="dxa"/>
            <w:vAlign w:val="bottom"/>
            <w:gridSpan w:val="2"/>
          </w:tcPr>
          <w:p>
            <w:pPr>
              <w:jc w:val="right"/>
              <w:ind w:right="2320"/>
              <w:spacing w:after="0"/>
              <w:rPr>
                <w:sz w:val="20"/>
                <w:szCs w:val="20"/>
                <w:color w:val="auto"/>
              </w:rPr>
            </w:pPr>
            <w:r>
              <w:rPr>
                <w:rFonts w:ascii="Arial" w:cs="Arial" w:eastAsia="Arial" w:hAnsi="Arial"/>
                <w:sz w:val="17"/>
                <w:szCs w:val="17"/>
                <w:color w:val="auto"/>
              </w:rPr>
              <w:t>F-19</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9"/>
        </w:trPr>
        <w:tc>
          <w:tcPr>
            <w:tcW w:w="43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11. INCOME TAXES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from income taxes for the years ended December 31, 2021 and 2020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8262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7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(31,898)</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(13,635)</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provision from income taxes</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(56,733)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(45,533)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income tax provision (benefit) for the years ended December 31, 2021 and 2020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8262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181"/>
        </w:trPr>
        <w:tc>
          <w:tcPr>
            <w:tcW w:w="78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r>
      <w:tr>
        <w:trPr>
          <w:trHeight w:val="195"/>
        </w:trPr>
        <w:tc>
          <w:tcPr>
            <w:tcW w:w="7840" w:type="dxa"/>
            <w:vAlign w:val="bottom"/>
            <w:shd w:val="clear" w:color="auto" w:fill="CCEEFF"/>
          </w:tcPr>
          <w:p>
            <w:pPr>
              <w:ind w:left="20"/>
              <w:spacing w:after="0" w:line="191" w:lineRule="exact"/>
              <w:rPr>
                <w:sz w:val="20"/>
                <w:szCs w:val="20"/>
                <w:color w:val="auto"/>
              </w:rPr>
            </w:pPr>
            <w:r>
              <w:rPr>
                <w:rFonts w:ascii="Arial" w:cs="Arial" w:eastAsia="Arial" w:hAnsi="Arial"/>
                <w:sz w:val="17"/>
                <w:szCs w:val="17"/>
                <w:color w:val="auto"/>
              </w:rPr>
              <w:t>Current income tax provision (benefit):</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Federal</w:t>
            </w:r>
          </w:p>
        </w:tc>
        <w:tc>
          <w:tcPr>
            <w:tcW w:w="900" w:type="dxa"/>
            <w:vAlign w:val="bottom"/>
          </w:tcPr>
          <w:p>
            <w:pPr>
              <w:jc w:val="right"/>
              <w:ind w:right="70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78"/>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2,000</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income tax provision (benefit)</w:t>
            </w:r>
          </w:p>
        </w:tc>
        <w:tc>
          <w:tcPr>
            <w:tcW w:w="90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2,011</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06"/>
        </w:trPr>
        <w:tc>
          <w:tcPr>
            <w:tcW w:w="7840" w:type="dxa"/>
            <w:vAlign w:val="bottom"/>
          </w:tcPr>
          <w:p>
            <w:pPr>
              <w:ind w:left="20"/>
              <w:spacing w:after="0"/>
              <w:rPr>
                <w:sz w:val="20"/>
                <w:szCs w:val="20"/>
                <w:color w:val="auto"/>
              </w:rPr>
            </w:pPr>
            <w:r>
              <w:rPr>
                <w:rFonts w:ascii="Arial" w:cs="Arial" w:eastAsia="Arial" w:hAnsi="Arial"/>
                <w:sz w:val="17"/>
                <w:szCs w:val="17"/>
                <w:color w:val="auto"/>
              </w:rPr>
              <w:t>Total deferred income tax benefit</w:t>
            </w:r>
          </w:p>
        </w:tc>
        <w:tc>
          <w:tcPr>
            <w:tcW w:w="900" w:type="dxa"/>
            <w:vAlign w:val="bottom"/>
          </w:tcPr>
          <w:p>
            <w:pPr>
              <w:jc w:val="right"/>
              <w:ind w:right="70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78"/>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5"/>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income tax provision (benefit)</w:t>
            </w:r>
          </w:p>
        </w:tc>
        <w:tc>
          <w:tcPr>
            <w:tcW w:w="900" w:type="dxa"/>
            <w:vAlign w:val="bottom"/>
            <w:tcBorders>
              <w:top w:val="single" w:sz="8" w:color="auto"/>
              <w:bottom w:val="single" w:sz="8" w:color="auto"/>
            </w:tcBorders>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2,011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78"/>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 reconciliation of the U.S. federal statutory income tax rate to the Company’s effective income tax rate for the years ended December 31, 2021 and 2020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68262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Pr>
          <w:p>
            <w:pPr>
              <w:spacing w:after="0"/>
              <w:rPr>
                <w:sz w:val="16"/>
                <w:szCs w:val="16"/>
                <w:color w:val="auto"/>
              </w:rPr>
            </w:pPr>
          </w:p>
        </w:tc>
      </w:tr>
      <w:tr>
        <w:trPr>
          <w:trHeight w:val="181"/>
        </w:trPr>
        <w:tc>
          <w:tcPr>
            <w:tcW w:w="4620" w:type="dxa"/>
            <w:vAlign w:val="bottom"/>
            <w:tcBorders>
              <w:bottom w:val="single" w:sz="8" w:color="CCEEFF"/>
            </w:tcBorders>
          </w:tcPr>
          <w:p>
            <w:pPr>
              <w:spacing w:after="0"/>
              <w:rPr>
                <w:sz w:val="15"/>
                <w:szCs w:val="15"/>
                <w:color w:val="auto"/>
              </w:rPr>
            </w:pPr>
          </w:p>
        </w:tc>
        <w:tc>
          <w:tcPr>
            <w:tcW w:w="30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r>
      <w:tr>
        <w:trPr>
          <w:trHeight w:val="208"/>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income tax at statutory rate</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480" w:type="dxa"/>
            <w:vAlign w:val="bottom"/>
          </w:tcPr>
          <w:p>
            <w:pPr>
              <w:spacing w:after="0"/>
              <w:rPr>
                <w:sz w:val="18"/>
                <w:szCs w:val="18"/>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7"/>
                <w:szCs w:val="17"/>
                <w:color w:val="auto"/>
              </w:rPr>
              <w:t>State income tax, net of federal benefit</w:t>
            </w:r>
          </w:p>
        </w:tc>
        <w:tc>
          <w:tcPr>
            <w:tcW w:w="4520" w:type="dxa"/>
            <w:vAlign w:val="bottom"/>
            <w:gridSpan w:val="2"/>
          </w:tcPr>
          <w:p>
            <w:pPr>
              <w:jc w:val="right"/>
              <w:ind w:right="14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1520" w:type="dxa"/>
            <w:vAlign w:val="bottom"/>
          </w:tcPr>
          <w:p>
            <w:pPr>
              <w:jc w:val="right"/>
              <w:ind w:right="136"/>
              <w:spacing w:after="0"/>
              <w:rPr>
                <w:sz w:val="20"/>
                <w:szCs w:val="20"/>
                <w:color w:val="auto"/>
              </w:rPr>
            </w:pPr>
            <w:r>
              <w:rPr>
                <w:rFonts w:ascii="Arial" w:cs="Arial" w:eastAsia="Arial" w:hAnsi="Arial"/>
                <w:sz w:val="17"/>
                <w:szCs w:val="17"/>
                <w:color w:val="auto"/>
              </w:rPr>
              <w:t>4.7</w:t>
            </w:r>
          </w:p>
        </w:tc>
        <w:tc>
          <w:tcPr>
            <w:tcW w:w="480" w:type="dxa"/>
            <w:vAlign w:val="bottom"/>
          </w:tcPr>
          <w:p>
            <w:pPr>
              <w:spacing w:after="0"/>
              <w:rPr>
                <w:sz w:val="18"/>
                <w:szCs w:val="18"/>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compensation</w:t>
            </w:r>
          </w:p>
        </w:tc>
        <w:tc>
          <w:tcPr>
            <w:tcW w:w="4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(1.1)</w:t>
            </w:r>
          </w:p>
        </w:tc>
        <w:tc>
          <w:tcPr>
            <w:tcW w:w="480" w:type="dxa"/>
            <w:vAlign w:val="bottom"/>
          </w:tcPr>
          <w:p>
            <w:pPr>
              <w:spacing w:after="0"/>
              <w:rPr>
                <w:sz w:val="18"/>
                <w:szCs w:val="18"/>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7"/>
                <w:szCs w:val="17"/>
                <w:color w:val="auto"/>
              </w:rPr>
              <w:t>Permanent differences</w:t>
            </w:r>
          </w:p>
        </w:tc>
        <w:tc>
          <w:tcPr>
            <w:tcW w:w="30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6"/>
              <w:spacing w:after="0"/>
              <w:rPr>
                <w:sz w:val="20"/>
                <w:szCs w:val="20"/>
                <w:color w:val="auto"/>
              </w:rPr>
            </w:pPr>
            <w:r>
              <w:rPr>
                <w:rFonts w:ascii="Arial" w:cs="Arial" w:eastAsia="Arial" w:hAnsi="Arial"/>
                <w:sz w:val="17"/>
                <w:szCs w:val="17"/>
                <w:color w:val="auto"/>
              </w:rPr>
              <w:t>(0.3)</w:t>
            </w:r>
          </w:p>
        </w:tc>
        <w:tc>
          <w:tcPr>
            <w:tcW w:w="480" w:type="dxa"/>
            <w:vAlign w:val="bottom"/>
          </w:tcPr>
          <w:p>
            <w:pPr>
              <w:spacing w:after="0"/>
              <w:rPr>
                <w:sz w:val="18"/>
                <w:szCs w:val="18"/>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tranche obligation remeasurement</w:t>
            </w:r>
          </w:p>
        </w:tc>
        <w:tc>
          <w:tcPr>
            <w:tcW w:w="30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(0.7)</w:t>
            </w:r>
          </w:p>
        </w:tc>
        <w:tc>
          <w:tcPr>
            <w:tcW w:w="480" w:type="dxa"/>
            <w:vAlign w:val="bottom"/>
          </w:tcPr>
          <w:p>
            <w:pPr>
              <w:spacing w:after="0"/>
              <w:rPr>
                <w:sz w:val="18"/>
                <w:szCs w:val="18"/>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7"/>
                <w:szCs w:val="17"/>
                <w:color w:val="auto"/>
              </w:rPr>
              <w:t>Research and development credits</w:t>
            </w:r>
          </w:p>
        </w:tc>
        <w:tc>
          <w:tcPr>
            <w:tcW w:w="452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1520" w:type="dxa"/>
            <w:vAlign w:val="bottom"/>
          </w:tcPr>
          <w:p>
            <w:pPr>
              <w:jc w:val="right"/>
              <w:ind w:right="136"/>
              <w:spacing w:after="0"/>
              <w:rPr>
                <w:sz w:val="20"/>
                <w:szCs w:val="20"/>
                <w:color w:val="auto"/>
              </w:rPr>
            </w:pPr>
            <w:r>
              <w:rPr>
                <w:rFonts w:ascii="Arial" w:cs="Arial" w:eastAsia="Arial" w:hAnsi="Arial"/>
                <w:sz w:val="17"/>
                <w:szCs w:val="17"/>
                <w:color w:val="auto"/>
              </w:rPr>
              <w:t>1.5</w:t>
            </w:r>
          </w:p>
        </w:tc>
        <w:tc>
          <w:tcPr>
            <w:tcW w:w="480" w:type="dxa"/>
            <w:vAlign w:val="bottom"/>
          </w:tcPr>
          <w:p>
            <w:pPr>
              <w:spacing w:after="0"/>
              <w:rPr>
                <w:sz w:val="18"/>
                <w:szCs w:val="18"/>
                <w:color w:val="auto"/>
              </w:rPr>
            </w:pPr>
          </w:p>
        </w:tc>
      </w:tr>
      <w:tr>
        <w:trPr>
          <w:trHeight w:val="217"/>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Impact of foreign operations</w:t>
            </w:r>
          </w:p>
        </w:tc>
        <w:tc>
          <w:tcPr>
            <w:tcW w:w="4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2.0</w:t>
            </w:r>
          </w:p>
        </w:tc>
        <w:tc>
          <w:tcPr>
            <w:tcW w:w="480" w:type="dxa"/>
            <w:vAlign w:val="bottom"/>
          </w:tcPr>
          <w:p>
            <w:pPr>
              <w:spacing w:after="0"/>
              <w:rPr>
                <w:sz w:val="18"/>
                <w:szCs w:val="18"/>
                <w:color w:val="auto"/>
              </w:rPr>
            </w:pPr>
          </w:p>
        </w:tc>
      </w:tr>
      <w:tr>
        <w:trPr>
          <w:trHeight w:val="213"/>
        </w:trPr>
        <w:tc>
          <w:tcPr>
            <w:tcW w:w="4620" w:type="dxa"/>
            <w:vAlign w:val="bottom"/>
          </w:tcPr>
          <w:p>
            <w:pPr>
              <w:ind w:left="20"/>
              <w:spacing w:after="0"/>
              <w:rPr>
                <w:sz w:val="20"/>
                <w:szCs w:val="20"/>
                <w:color w:val="auto"/>
              </w:rPr>
            </w:pPr>
            <w:r>
              <w:rPr>
                <w:rFonts w:ascii="Arial" w:cs="Arial" w:eastAsia="Arial" w:hAnsi="Arial"/>
                <w:sz w:val="17"/>
                <w:szCs w:val="17"/>
                <w:color w:val="auto"/>
              </w:rPr>
              <w:t>Foreign withholding taxes</w:t>
            </w:r>
          </w:p>
        </w:tc>
        <w:tc>
          <w:tcPr>
            <w:tcW w:w="4520" w:type="dxa"/>
            <w:vAlign w:val="bottom"/>
            <w:gridSpan w:val="2"/>
          </w:tcPr>
          <w:p>
            <w:pPr>
              <w:jc w:val="right"/>
              <w:ind w:right="8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7"/>
                <w:szCs w:val="17"/>
                <w:color w:val="auto"/>
              </w:rPr>
              <w:t>—</w:t>
            </w:r>
          </w:p>
        </w:tc>
      </w:tr>
      <w:tr>
        <w:trPr>
          <w:trHeight w:val="217"/>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(0.3)</w:t>
            </w:r>
          </w:p>
        </w:tc>
        <w:tc>
          <w:tcPr>
            <w:tcW w:w="480" w:type="dxa"/>
            <w:vAlign w:val="bottom"/>
          </w:tcPr>
          <w:p>
            <w:pPr>
              <w:spacing w:after="0"/>
              <w:rPr>
                <w:sz w:val="18"/>
                <w:szCs w:val="18"/>
                <w:color w:val="auto"/>
              </w:rPr>
            </w:pPr>
          </w:p>
        </w:tc>
      </w:tr>
      <w:tr>
        <w:trPr>
          <w:trHeight w:val="21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valuation allowance</w:t>
            </w:r>
          </w:p>
        </w:tc>
        <w:tc>
          <w:tcPr>
            <w:tcW w:w="30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80"/>
              <w:spacing w:after="0"/>
              <w:rPr>
                <w:sz w:val="20"/>
                <w:szCs w:val="20"/>
                <w:color w:val="auto"/>
              </w:rPr>
            </w:pPr>
            <w:r>
              <w:rPr>
                <w:rFonts w:ascii="Arial" w:cs="Arial" w:eastAsia="Arial" w:hAnsi="Arial"/>
                <w:sz w:val="17"/>
                <w:szCs w:val="17"/>
                <w:color w:val="auto"/>
              </w:rPr>
              <w:t>(30.9)</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(26.4)</w:t>
            </w:r>
          </w:p>
        </w:tc>
        <w:tc>
          <w:tcPr>
            <w:tcW w:w="480" w:type="dxa"/>
            <w:vAlign w:val="bottom"/>
          </w:tcPr>
          <w:p>
            <w:pPr>
              <w:spacing w:after="0"/>
              <w:rPr>
                <w:sz w:val="18"/>
                <w:szCs w:val="18"/>
                <w:color w:val="auto"/>
              </w:rPr>
            </w:pPr>
          </w:p>
        </w:tc>
      </w:tr>
      <w:tr>
        <w:trPr>
          <w:trHeight w:val="210"/>
        </w:trPr>
        <w:tc>
          <w:tcPr>
            <w:tcW w:w="4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480" w:type="dxa"/>
            <w:vAlign w:val="bottom"/>
          </w:tcPr>
          <w:p>
            <w:pPr>
              <w:spacing w:after="0"/>
              <w:rPr>
                <w:sz w:val="18"/>
                <w:szCs w:val="18"/>
                <w:color w:val="auto"/>
              </w:rPr>
            </w:pPr>
          </w:p>
        </w:tc>
      </w:tr>
      <w:tr>
        <w:trPr>
          <w:trHeight w:val="641"/>
        </w:trPr>
        <w:tc>
          <w:tcPr>
            <w:tcW w:w="4620" w:type="dxa"/>
            <w:vAlign w:val="bottom"/>
          </w:tcPr>
          <w:p>
            <w:pPr>
              <w:spacing w:after="0"/>
              <w:rPr>
                <w:sz w:val="24"/>
                <w:szCs w:val="24"/>
                <w:color w:val="auto"/>
              </w:rPr>
            </w:pPr>
          </w:p>
        </w:tc>
        <w:tc>
          <w:tcPr>
            <w:tcW w:w="4620" w:type="dxa"/>
            <w:vAlign w:val="bottom"/>
            <w:gridSpan w:val="3"/>
          </w:tcPr>
          <w:p>
            <w:pPr>
              <w:ind w:left="820"/>
              <w:spacing w:after="0"/>
              <w:rPr>
                <w:sz w:val="20"/>
                <w:szCs w:val="20"/>
                <w:color w:val="auto"/>
              </w:rPr>
            </w:pPr>
            <w:r>
              <w:rPr>
                <w:rFonts w:ascii="Arial" w:cs="Arial" w:eastAsia="Arial" w:hAnsi="Arial"/>
                <w:sz w:val="17"/>
                <w:szCs w:val="17"/>
                <w:color w:val="auto"/>
              </w:rPr>
              <w:t>F-20</w:t>
            </w: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92"/>
        </w:trPr>
        <w:tc>
          <w:tcPr>
            <w:tcW w:w="462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t>Net deferred tax assets as of December 31, 2021 and 2020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8262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YEAR ENDED DECEMBER 31,</w:t>
            </w:r>
          </w:p>
        </w:tc>
      </w:tr>
      <w:tr>
        <w:trPr>
          <w:trHeight w:val="181"/>
        </w:trPr>
        <w:tc>
          <w:tcPr>
            <w:tcW w:w="7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operating loss carryforwards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10,324</w:t>
            </w: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Research and development credits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2,766</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r>
      <w:tr>
        <w:trPr>
          <w:trHeight w:val="213"/>
        </w:trPr>
        <w:tc>
          <w:tcPr>
            <w:tcW w:w="7840" w:type="dxa"/>
            <w:vAlign w:val="bottom"/>
          </w:tcPr>
          <w:p>
            <w:pPr>
              <w:ind w:left="2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4,319</w:t>
            </w:r>
          </w:p>
        </w:tc>
      </w:tr>
      <w:tr>
        <w:trPr>
          <w:trHeight w:val="217"/>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06"/>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deferred tax assets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35,728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18,187</w:t>
            </w:r>
          </w:p>
        </w:tc>
      </w:tr>
      <w:tr>
        <w:trPr>
          <w:trHeight w:val="208"/>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Valuation allowance</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(35,445)</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(17,938)</w:t>
            </w:r>
          </w:p>
        </w:tc>
      </w:tr>
      <w:tr>
        <w:trPr>
          <w:trHeight w:val="210"/>
        </w:trPr>
        <w:tc>
          <w:tcPr>
            <w:tcW w:w="784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2"/>
        </w:trPr>
        <w:tc>
          <w:tcPr>
            <w:tcW w:w="784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Deferred tax liability</w:t>
            </w: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Depreciation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deferred tax assets (liability)</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As of December 31, 2021, the Company had U.S. federal, state and foreign net operating loss carryforwards of $85.8 million, $90.3 million and $16.4 million, respectively. Of the $85.8 million federal net operating losses, $0.2 million will expire in 2035 and the remaining $85.6 million can be carried forward indefinitely. The federal and foreign net operating losses can be carried forward indefinitely. The state net operating loss carryforwards begin to expire in 2039.</w:t>
      </w:r>
    </w:p>
    <w:p>
      <w:pPr>
        <w:spacing w:after="0" w:line="152"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As of December 31, 2021, the Company had U.S. federal and state research and development tax credit carryforwards of $4.3 million and $2.5 million, respectively. As of December 31, 2020, the Company had U.S. federal and state research and development tax credit carryforwards of $1.8 million and $1.2 million, respectively. The tax credits begin to expire in 2038.</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Under the provisions of the Internal Revenue Code of 1986, as amended (the “Code”), the net operating loss and tax credit carryforwards are subject</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to review and potential adjustments by the Internal Revenue Services and state tax authorities. Under Section 382 of the Code (“Section 382”),</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certain substantial changes in the Company’s ownership, including the sale of the Company or significant changes in ownership due to sales of</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equity, may have limited, or may limit in the future, the amount of net operating loss carryforwards or tax credits which could be used annually 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offset future taxable income. The Company completed an analysis under Section 382 through November 17, 2020 and determined that on April 15,</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2016 and April 13, 2020, ownership changes had occurred. Based on the Company’s analysis, the Company has determined that $0.3 million and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$0.3 million of its federal and state net operating loss carryforwards, respectively, are limited by Section 382 as of December 31, 2021 and have been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written off in the current period. The remaining unused carryforwards remain available for future periods. The Company may also experience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ownership changes in the future as a result of subsequent shifts in the Company’s stock ownership, some of which may be outside the Company’s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control. As a result, its ability to use its pre-change NOLs or tax credits to offset U.S. federal taxable income may be subject to limitations, which could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potentially result in increased future tax liability. In addition, at the state level, there may be periods during which the use of NOLs is suspended or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otherwise limited, which could accelerate or permanently increase state taxes owed.</w:t>
      </w:r>
    </w:p>
    <w:p>
      <w:pPr>
        <w:spacing w:after="0" w:line="180"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Management of the Company has evaluated the positive and negative evidence bearing upon the realizability of its deferred tax assets, which are comprised principally of research and development credits and net operating losses. Under the applicable accounting standards, management has considered the Company’s history of losses and concluded that it is more likely than not that the Company will not recognize the benefits of federal and state deferred tax assets. Accordingly, a full valuation allowance was maintained as of December 31, 2021 and 2020. A change in the Company’s valuation allowance was recorded in 2021 and 2020, in the amount of $17.5 million and $12.0 million, respectively, due primarily to the generation of additional net deferred tax assets.</w:t>
      </w:r>
    </w:p>
    <w:p>
      <w:pPr>
        <w:spacing w:after="0" w:line="152"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The calculation of the Company’s tax liabilities involves dealing with uncertainties in the application of complex tax laws and regulations for both federal taxes and the many states in which it operates or does business in. A tax benefit from an uncertain tax position may be recognized when it is more likely than not that the position will be sustained upon examination, including resolutions of any related appeals or litigation processes, on the basis of the technical merits.</w:t>
      </w:r>
    </w:p>
    <w:p>
      <w:pPr>
        <w:spacing w:after="0" w:line="16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Company records tax positions as liabilities and adjusts these liabilities when its judgement changes as a result of the evaluation of new information not previously available. Because of the complexity of some of these uncertainties, the ultimate resolution may result in a payment that is materially different from the Company’s current estimate of the recognized tax benefit liabilities. These differences will be reflected as increases or decreases to income tax expense in the period in which new information is available. As of December 31, 2021 and 2020, the Company has not recorded any uncertain tax positions in its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4" w:name="page135"/>
    <w:bookmarkEnd w:id="134"/>
    <w:p>
      <w:pPr>
        <w:ind w:right="20"/>
        <w:spacing w:after="0" w:line="252" w:lineRule="auto"/>
        <w:rPr>
          <w:sz w:val="20"/>
          <w:szCs w:val="20"/>
          <w:color w:val="auto"/>
        </w:rPr>
      </w:pPr>
      <w:r>
        <w:rPr>
          <w:rFonts w:ascii="Arial" w:cs="Arial" w:eastAsia="Arial" w:hAnsi="Arial"/>
          <w:sz w:val="17"/>
          <w:szCs w:val="17"/>
          <w:color w:val="auto"/>
        </w:rPr>
        <w:t>The Company recognizes interest and penalties related to unrecognized tax benefits on the income tax expense line in the accompanying consolidated statement of operations. As of December 31, 2021 and 2020, no accrued interest or penalties are included on the related tax liability line in the consolidated balance sheet.</w:t>
      </w:r>
    </w:p>
    <w:p>
      <w:pPr>
        <w:spacing w:after="0" w:line="14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2016, to the present. There are currently no pending income tax examinations. To the extent the Company has tax attribute carryforwards, the tax years in which the attribute was generated may still be adjusted upon examination by the Internal Revenue Service and state tax authorities to the extent utilized in a future period.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6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 xml:space="preserve">The Company has historically entered into lease arrangements for its facilities and certain equipment. As of December 31, 2021, the Company had one operating lease with required future payments, related to its real estate. In applying the transition guidance under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842) </w:t>
      </w:r>
      <w:r>
        <w:rPr>
          <w:rFonts w:ascii="Arial" w:cs="Arial" w:eastAsia="Arial" w:hAnsi="Arial"/>
          <w:sz w:val="17"/>
          <w:szCs w:val="17"/>
          <w:color w:val="auto"/>
        </w:rPr>
        <w:t>(“ASC 842”), early adopted by the Company effective March 1, 2017, the Company determined the classification of its real estate lease to</w:t>
      </w:r>
      <w:r>
        <w:rPr>
          <w:rFonts w:ascii="Arial" w:cs="Arial" w:eastAsia="Arial" w:hAnsi="Arial"/>
          <w:sz w:val="17"/>
          <w:szCs w:val="17"/>
          <w:i w:val="1"/>
          <w:iCs w:val="1"/>
          <w:color w:val="auto"/>
        </w:rPr>
        <w:t xml:space="preserve"> </w:t>
      </w:r>
      <w:r>
        <w:rPr>
          <w:rFonts w:ascii="Arial" w:cs="Arial" w:eastAsia="Arial" w:hAnsi="Arial"/>
          <w:sz w:val="17"/>
          <w:szCs w:val="17"/>
          <w:color w:val="auto"/>
        </w:rPr>
        <w:t>be operating and recorded a ROU asset and lease liability as of the effective date.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4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In March 2017, the Company entered into a lease agreement (the “Lexington Lease”) for its headquarters located in Lexington, Massachusetts. In July and August 2019, the Company entered into the first and second amendment, respectively, to its Lexington Lease to expand the rental space to 10,417 square feet. In August 2021, the Company entered into a third amendment to its Lexington Lease (the "Third Amendment") to extend the lease term through March 31, 2023 and to further expand the rental space to 15,622 square feet. The lease modification from the Third Amendment resulted in a non-cash increase to the Company's operating lease liabilities and right-of-use assets of $0.7 million in the quarter ended September 30, 2021. As required under the term of the lease agreement as collateral for the facility lease, the Company had restricted cash of $0.1 million in the form of a certificate of deposit as of December 31, 2021 and 2020. The Lexington Lease provides for scheduled annual rent increases throughout the lease term and does not include termination or purchase options.</w:t>
      </w:r>
    </w:p>
    <w:p>
      <w:pPr>
        <w:spacing w:after="0" w:line="16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From time to time, leases may include options to renew the lease after the expiration of the initial lease term. A renewal period is included in the lease term only when it is reasonably certain that the Company will exercise such renewal options. As of December 31, 2021, no renewal options existed that the Company believed were reasonably certain of being exercised.</w:t>
      </w:r>
    </w:p>
    <w:p>
      <w:pPr>
        <w:spacing w:after="0" w:line="163"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following table contains a summary of the lease costs recognized under ASC 842 and other information pertaining to the Company’s operating lease for the years ended December 31,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8262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4"/>
                <w:szCs w:val="14"/>
                <w:b w:val="1"/>
                <w:bCs w:val="1"/>
                <w:color w:val="auto"/>
              </w:rPr>
              <w:t>FOR THE YEARS ENDED DECEMBER 31,</w:t>
            </w:r>
          </w:p>
        </w:tc>
      </w:tr>
      <w:tr>
        <w:trPr>
          <w:trHeight w:val="181"/>
        </w:trPr>
        <w:tc>
          <w:tcPr>
            <w:tcW w:w="7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195"/>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Lease cost</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587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468</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lease cost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587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468</w:t>
            </w:r>
          </w:p>
        </w:tc>
      </w:tr>
      <w:tr>
        <w:trPr>
          <w:trHeight w:val="215"/>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Other information</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587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468</w:t>
            </w:r>
          </w:p>
        </w:tc>
      </w:tr>
      <w:tr>
        <w:trPr>
          <w:trHeight w:val="213"/>
        </w:trPr>
        <w:tc>
          <w:tcPr>
            <w:tcW w:w="7620" w:type="dxa"/>
            <w:vAlign w:val="bottom"/>
          </w:tcPr>
          <w:p>
            <w:pPr>
              <w:ind w:left="20"/>
              <w:spacing w:after="0"/>
              <w:rPr>
                <w:sz w:val="20"/>
                <w:szCs w:val="20"/>
                <w:color w:val="auto"/>
              </w:rPr>
            </w:pPr>
            <w:r>
              <w:rPr>
                <w:rFonts w:ascii="Arial" w:cs="Arial" w:eastAsia="Arial" w:hAnsi="Arial"/>
                <w:sz w:val="17"/>
                <w:szCs w:val="17"/>
                <w:color w:val="auto"/>
              </w:rPr>
              <w:t>Remaining lease term</w:t>
            </w:r>
          </w:p>
        </w:tc>
        <w:tc>
          <w:tcPr>
            <w:tcW w:w="140" w:type="dxa"/>
            <w:vAlign w:val="bottom"/>
          </w:tcPr>
          <w:p>
            <w:pPr>
              <w:spacing w:after="0"/>
              <w:rPr>
                <w:sz w:val="18"/>
                <w:szCs w:val="18"/>
                <w:color w:val="auto"/>
              </w:rPr>
            </w:pPr>
          </w:p>
        </w:tc>
        <w:tc>
          <w:tcPr>
            <w:tcW w:w="1460" w:type="dxa"/>
            <w:vAlign w:val="bottom"/>
            <w:gridSpan w:val="2"/>
          </w:tcPr>
          <w:p>
            <w:pPr>
              <w:ind w:left="660"/>
              <w:spacing w:after="0"/>
              <w:rPr>
                <w:sz w:val="20"/>
                <w:szCs w:val="20"/>
                <w:color w:val="auto"/>
              </w:rPr>
            </w:pPr>
            <w:r>
              <w:rPr>
                <w:rFonts w:ascii="Arial" w:cs="Arial" w:eastAsia="Arial" w:hAnsi="Arial"/>
                <w:sz w:val="17"/>
                <w:szCs w:val="17"/>
                <w:color w:val="auto"/>
              </w:rPr>
              <w:t>1.3 years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 years</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8.02 %</w:t>
            </w:r>
          </w:p>
        </w:tc>
      </w:tr>
    </w:tbl>
    <w:p>
      <w:pPr>
        <w:spacing w:after="0" w:line="26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The Lexington Lease does not include any variable payments. As the Lexington Lease does not provide an implicit rate, the Company utilized its incremental borrowing rate based on what it would normally pay to borrow on a collateralized basis over a similar term for an amount equal to the lease payments at the commencement date in determining the present value of lease payments. As of December 31, 2021 and 2020, the Company classified its short-term and long-term operating liabilities as short-term and long-term liabilities on the consolidated balance sheet, respectively.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165100</wp:posOffset>
            </wp:positionV>
            <wp:extent cx="71583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5" w:name="page136"/>
    <w:bookmarkEnd w:id="135"/>
    <w:p>
      <w:pPr>
        <w:ind w:right="700"/>
        <w:spacing w:after="0" w:line="257" w:lineRule="auto"/>
        <w:rPr>
          <w:sz w:val="20"/>
          <w:szCs w:val="20"/>
          <w:color w:val="auto"/>
        </w:rPr>
      </w:pPr>
      <w:r>
        <w:rPr>
          <w:rFonts w:ascii="Arial" w:cs="Arial" w:eastAsia="Arial" w:hAnsi="Arial"/>
          <w:sz w:val="17"/>
          <w:szCs w:val="17"/>
          <w:color w:val="auto"/>
        </w:rPr>
        <w:t>As of December 31, 2021, future discounted lease payments under all lease arrangements accounted for under ASC 842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68262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MATURITY OF LEASE LIABILITY</w:t>
            </w:r>
          </w:p>
        </w:tc>
        <w:tc>
          <w:tcPr>
            <w:tcW w:w="7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7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2023</w:t>
            </w:r>
          </w:p>
        </w:tc>
        <w:tc>
          <w:tcPr>
            <w:tcW w:w="7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3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imputed interest</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9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lease liabilities</w:t>
            </w: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Included in the consolidated balance sheet:</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93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9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portion of lease liabilities</w:t>
            </w: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93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Lease liabilities</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9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operating lease liabilities</w:t>
            </w: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On September 7, 2021, the Company entered into an indenture of lease (the “1050 Waltham Lease”) with Revolution Labs Owner, LLC (the “Landlord”), pursuant to which the Company will lease approximately 35,662 square feet of office and laboratory space located at 1050 Waltham Street, Lexington, Massachusetts for its new principal executive office. The 1050 Waltham Lease has not yet commenced as of December 31, 2021 and is therefore not included in the maturity table above.</w:t>
      </w:r>
    </w:p>
    <w:p>
      <w:pPr>
        <w:spacing w:after="0" w:line="15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The term of the 1050 Waltham Lease is currently expected to commence in the fourth quarter of 2022, on the date that the Landlord delivers the premises to the Company, which shall be after the substantial completion of agreed upon improvements to be performed by the Landlord (such date, the "Commencement Date"). This work is not expected to begin until the second quarter of 2022. The Company’s obligation for the payment of base rent for the premises begins four months after the Commencement Date (the “Rent Commencement Date”) and will initially be fixed at $0.2 million per month, which will increase by approximately 3% per annum. The Company will be obligated to reimburse the Landlord for certain variable costs, including its proportional share (approximately 20% of the rentable area of the building) of taxes and operating expenses, as specified in the 1050 Waltham Lease. The 1050 Waltham Lease has a term of eight years and four months, measured from the Commencement Date. The Company has the option to extend the term of the 1050 Waltham Lease for a period of an additional five years.</w:t>
      </w:r>
    </w:p>
    <w:p>
      <w:pPr>
        <w:spacing w:after="0" w:line="169"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In connection with its entry into the 1050 Waltham Lease and as a security deposit, the Company has provided the Landlord a letter of credit in the amount of approximately $1.2 million.</w:t>
      </w:r>
    </w:p>
    <w:p>
      <w:pPr>
        <w:spacing w:after="0" w:line="158"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Landlord has the right to terminate the 1050 Waltham Lease upon customary events of default. The Company has the right to terminate the 1050 Waltham Lease if (i) the Landlord work on the premises has not commenced on or prior to July 1, 2022 or (ii) the premises are not ready for occupancy within a specified time period after October 21,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Leases</w:t>
      </w:r>
    </w:p>
    <w:p>
      <w:pPr>
        <w:spacing w:after="0" w:line="6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The Company enters into short-term leasing arrangements related to storage of clinical trial materials. The Company has $5,089 and $36,290 related to rent expense for the years ended December 31, 2021 and 2020, respectively. As of December 31, 2021 and 2020, the Company classified its short-term operating lease liabilities within accrued expenses and other current liabilities, as the Company has elected the practical expedient whereby it will not recognize leases with terms of 12 months or less on the balance sheet.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not a party to any litigation and does not have contingency reserves established for any litigation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65"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In connection with the Lexington Lease entered into in March 2017, the Company received a loan from the landlord of $0.2 million related to its tenant improvement allowance, which is recorded as a non-current liability in the Company’s consolidated balance sheets. The Company is required to repay interest only on the loan of 8.0% for the first 18 months of the lease and will then repay the full amount plus interest in installments over the remaining 3.5 year term of the lease, which expires in December 2022. The Company made payments totaling $65,000 related to the loan in 2021.</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Future payments under the Company’s loan obligation as of December 31, 2021,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682625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682625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6680" w:type="dxa"/>
            <w:vAlign w:val="bottom"/>
            <w:gridSpan w:val="2"/>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480" w:type="dxa"/>
            <w:vAlign w:val="bottom"/>
          </w:tcPr>
          <w:p>
            <w:pPr>
              <w:spacing w:after="0"/>
              <w:rPr>
                <w:sz w:val="18"/>
                <w:szCs w:val="18"/>
                <w:color w:val="auto"/>
              </w:rPr>
            </w:pPr>
          </w:p>
        </w:tc>
      </w:tr>
      <w:tr>
        <w:trPr>
          <w:trHeight w:val="21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2023</w:t>
            </w:r>
          </w:p>
        </w:tc>
        <w:tc>
          <w:tcPr>
            <w:tcW w:w="60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r>
      <w:tr>
        <w:trPr>
          <w:trHeight w:val="228"/>
        </w:trPr>
        <w:tc>
          <w:tcPr>
            <w:tcW w:w="330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Total payments</w:t>
            </w:r>
          </w:p>
        </w:tc>
        <w:tc>
          <w:tcPr>
            <w:tcW w:w="60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48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29"/>
        </w:trPr>
        <w:tc>
          <w:tcPr>
            <w:tcW w:w="3300" w:type="dxa"/>
            <w:vAlign w:val="bottom"/>
          </w:tcPr>
          <w:p>
            <w:pPr>
              <w:spacing w:after="0"/>
              <w:rPr>
                <w:sz w:val="24"/>
                <w:szCs w:val="24"/>
                <w:color w:val="auto"/>
              </w:rPr>
            </w:pPr>
          </w:p>
        </w:tc>
        <w:tc>
          <w:tcPr>
            <w:tcW w:w="6680" w:type="dxa"/>
            <w:vAlign w:val="bottom"/>
            <w:gridSpan w:val="2"/>
          </w:tcPr>
          <w:p>
            <w:pPr>
              <w:jc w:val="right"/>
              <w:ind w:right="4095"/>
              <w:spacing w:after="0"/>
              <w:rPr>
                <w:sz w:val="20"/>
                <w:szCs w:val="20"/>
                <w:color w:val="auto"/>
              </w:rPr>
            </w:pPr>
            <w:r>
              <w:rPr>
                <w:rFonts w:ascii="Arial" w:cs="Arial" w:eastAsia="Arial" w:hAnsi="Arial"/>
                <w:sz w:val="17"/>
                <w:szCs w:val="17"/>
                <w:color w:val="auto"/>
              </w:rPr>
              <w:t>F-23</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9"/>
        </w:trPr>
        <w:tc>
          <w:tcPr>
            <w:tcW w:w="330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color w:val="auto"/>
        </w:rPr>
        <w:t>Refer to Note 7, License Agreements, for any potential future milestone or royalty payment amounts. These are not currently probable or estimable.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FROM CONTRACTS WITH CUSTOMERS</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Neurona License Agreement</w:t>
      </w:r>
    </w:p>
    <w:p>
      <w:pPr>
        <w:spacing w:after="0" w:line="200"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On June 22, 2021, the Company entered into a license agreement (the "Neurona Agreement") with Neurona. Under the Neurona Agreement, the Company granted Neurona a non-exclusive license to use LDN-193189, an early-stage research compound, which the Company licenses from a third party, solely as a reagent in connection with the manufacturing of diagnostic and/or therapeutic products to make, have made, use, import, offer for sale and sell products and services arising therefrom, and to make, have made, acquire, transfer, import and export the compound for such use. The license excludes Neurona from any rights to use, sell or distribute the compound for any therapeutic or diagnostic purpose. Unless terminated by either party for breach of contract or insolvency, the Neurona Agreement, which commenced on the execution date, will continue in perpetuity until the last patent expires. Under the Neurona Agreement, the Company was paid a one-time, upfront license payment of $0.1 million from Neurona as of December 31, 2021.</w:t>
      </w:r>
    </w:p>
    <w:p>
      <w:pPr>
        <w:spacing w:after="0" w:line="169"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In accordance with the Company's ASC 606 assessment, Neurona is considered to be a customer. The Company identified a single performance obligation, the non-exclusive license, that was satisfied on the date of the execution of the Neurona Agreement when control of the license was transferred. The Company determined that the upfront license fee of $0.1 million constitutes the entire transaction price and does not require further allocation as there was only one performance obligation. The Company determined that the $0.1 million represented the point at which the licensee was able to use and benefit from the license and recognized revenue from upfront license fees when the license was transferred to Neurona upon execution of the Neurona Agreement. The Company recognized the upfront fee as revenue on its consolidated statement of operations for the year ended December 31, 2021.</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Hansoh License Agreement</w:t>
      </w:r>
    </w:p>
    <w:p>
      <w:pPr>
        <w:spacing w:after="0" w:line="200"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In December 2021, the Company entered into a license agreement with Hansoh (the “Hansoh Agreement”). Under the Hansoh Agreement, the Company granted to Hansoh the exclusive right to develop, manufacture and commercialize KER-050 and licensed products containing KER-050 within the territories of mainland China, Hong Kong and Macau (the “Territory”).</w:t>
      </w:r>
    </w:p>
    <w:p>
      <w:pPr>
        <w:spacing w:after="0" w:line="163"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In connection with the Hansoh Agreement, Hansoh will purchase clinical trial supply of KER-050 from the Company, and the parties will also negotiate in good faith to enter into an agreement for commercial supply prior to any anticipated commercialization in the Territory. In addition, Hansoh will use commercially reasonable efforts to develop, obtain regulatory approval for, and commercialize licensed products in any region in the Territory.</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Pursuant to the Hansoh Agreement, the Company is due a one-time, $20.0 million upfront license payment and will also be eligible to receive up to an aggregate of (i) $26.5 million upon the achievement of specified development milestones and (ii) $144.0 million upon the achievement of specified net sales thresholds for all licensed products in the Territory. If a licensed product is approved for marketing in the Territory, the Company will be entitled to receive royalty payments based on a tiered percentage of annual net sales in each region within the Territory, with such percentage ranging from the low double digit to high teens, subject to specified potential royalty reductions.</w:t>
      </w:r>
    </w:p>
    <w:p>
      <w:pPr>
        <w:spacing w:after="0" w:line="167"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Hansoh’s obligation to pay royalties for a given licensed product in a given region in the Territory will begin on the date of the first commercial sale for such licensed product in such region and continue until the latest of (i) 10 years from the date of the first commercial sale for such licensed product in such region, (ii) the expiration of the last valid claim of certain licensed patents or joint patents, and (iii) expiration of regulatory exclusivity in such region. During the royalty term, neither party will directly or indirectly commercialize a competing product in the Territory.</w:t>
      </w:r>
    </w:p>
    <w:p>
      <w:pPr>
        <w:spacing w:after="0" w:line="165" w:lineRule="exact"/>
        <w:rPr>
          <w:sz w:val="20"/>
          <w:szCs w:val="20"/>
          <w:color w:val="auto"/>
        </w:rPr>
      </w:pPr>
    </w:p>
    <w:p>
      <w:pPr>
        <w:ind w:right="500"/>
        <w:spacing w:after="0" w:line="250" w:lineRule="auto"/>
        <w:rPr>
          <w:sz w:val="20"/>
          <w:szCs w:val="20"/>
          <w:color w:val="auto"/>
        </w:rPr>
      </w:pPr>
      <w:r>
        <w:rPr>
          <w:rFonts w:ascii="Arial" w:cs="Arial" w:eastAsia="Arial" w:hAnsi="Arial"/>
          <w:sz w:val="17"/>
          <w:szCs w:val="17"/>
          <w:color w:val="auto"/>
        </w:rPr>
        <w:t>The Hansoh Agreement will continue in force on a region-by-region basis until the expiration of the royalty term. Hansoh may terminate the Agreement in its entirety for convenience, with notice. The Company may terminate the Hansoh Agreement in its entirety for a patent challenge brought by Hansoh or its affiliates or their sublicensees. Either party may terminate the Hansoh Agreement in its entirety (i) if the other party materially breaches the Hansoh Agreement and fails to cure such breach or (ii) upon the bankruptcy of the other party.</w:t>
      </w:r>
    </w:p>
    <w:p>
      <w:pPr>
        <w:spacing w:after="0" w:line="15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The Company evaluated the Hansoh Agreement and concluded that it was subject to ASC 606, as the Company viewed the Hansoh Agreement as a contract with a customer. As such, the Company assessed the terms of the Hansoh Agreement and identified a single performance obligation for the Company to provide Hansoh an exclusive license to develop, manufacture and commercialize KER-050 and licensed products containing KER-050 in the Territory, including the underlying know-how related to such licenses. All other promised goods/services were deemed immaterial in the context of the Hansoh Agreement. The transaction price of the Hansoh Agreement is equal to the full $20.0 million, which includes the one-time, non-refundable, non-creditable initial payment. All potential milestone payments (development and commercial), and royalty payments are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173990</wp:posOffset>
            </wp:positionV>
            <wp:extent cx="71583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137" w:name="page138"/>
    <w:bookmarkEnd w:id="137"/>
    <w:p>
      <w:pPr>
        <w:spacing w:after="0" w:line="249" w:lineRule="auto"/>
        <w:rPr>
          <w:sz w:val="20"/>
          <w:szCs w:val="20"/>
          <w:color w:val="auto"/>
        </w:rPr>
      </w:pPr>
      <w:r>
        <w:rPr>
          <w:rFonts w:ascii="Arial" w:cs="Arial" w:eastAsia="Arial" w:hAnsi="Arial"/>
          <w:sz w:val="17"/>
          <w:szCs w:val="17"/>
          <w:color w:val="auto"/>
        </w:rPr>
        <w:t>forms of variable consideration that are fully constrained as of the date of the Hansoh Agreement, and therefore, excluded from the transaction price. The Company allocated 100% of the transaction price to the single performance obligation. The Company recognized the upfront fee of $20.0 million as revenue and $2.0 million in withholding tax on its consolidated statement of operations for the year ended December 31, 2021, and a receivable, net of withholding tax on its consolidated balance sheet as of December 31, 2021. The Company received the one-time upfront license payment from Hansoh in January 2022.</w:t>
      </w:r>
    </w:p>
    <w:p>
      <w:pPr>
        <w:spacing w:after="0" w:line="15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Company will recognize development milestone payments as revenue at the point in time when it is determined that it is probable such milestones will be achieved as all performance obligations will have been satisfied at the point which a milestone might occur (i.e., Hansoh will have assumed all responsibility for the activities under the Hansoh Agreement). The Company will recognize royalty payments and commercial milestone payments as the associated sales of licensed products are recorded by Hansoh, as they predominantly relate to the license granted with the Hansoh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200"/>
          </w:cols>
          <w:pgMar w:left="320" w:top="871" w:right="37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4.3</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KEROS THERAPEUTICS, INC. COMMON STOCK</w:t>
      </w:r>
    </w:p>
    <w:p>
      <w:pPr>
        <w:spacing w:after="0" w:line="226"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i w:val="1"/>
          <w:iCs w:val="1"/>
          <w:color w:val="auto"/>
        </w:rPr>
        <w:t>The following description of the common stock of Keros Therapeutics, Inc., or the Company, is a summary and does not purport to be complete. This summary is qualified in its entirety by reference to the provisions of the Delaware General Corporation Law, or the DGCL, and the complete text of the Company’s amended and restated certificate of incorporation, or the certificate of incorporation, and amended and restated bylaws, or the bylaws, which are incorporated by reference as Exhibits 3.1 and 3.2, respectively, of the Company’s Annual Report on Form 10-K to which this description is also an exhibit. The Company encourages you to read that law and those documents carefully.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6"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The certificate of incorporation authorizes the issuance of up to 200,000,000 shares of common stock, $0.0001 par value per share, and 10,000,000 shares of preferred stock, $0.0001 par value per share, all of which shares of preferred stock are undesignated. The Company’s board of directors may establish the rights and preferences of the preferred stock from time to time.</w:t>
      </w:r>
    </w:p>
    <w:p>
      <w:pPr>
        <w:spacing w:after="0" w:line="198"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Description of Common Stock</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222" w:lineRule="exact"/>
        <w:rPr>
          <w:sz w:val="20"/>
          <w:szCs w:val="20"/>
          <w:color w:val="auto"/>
        </w:rPr>
      </w:pPr>
    </w:p>
    <w:p>
      <w:pPr>
        <w:jc w:val="both"/>
        <w:ind w:right="80"/>
        <w:spacing w:after="0" w:line="274"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Under the certificate of incorporation and bylaws, common stockholders do not have cumulative voting rights. Because of this, the holders of a majority of the shares of common stock entitled to vote in any election of directors can elect all of the directors standing for election, if they should so choose.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222" w:lineRule="exact"/>
        <w:rPr>
          <w:sz w:val="20"/>
          <w:szCs w:val="20"/>
          <w:color w:val="auto"/>
        </w:rPr>
      </w:pPr>
    </w:p>
    <w:p>
      <w:pPr>
        <w:ind w:right="680"/>
        <w:spacing w:after="0" w:line="243"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w:t>
      </w:r>
    </w:p>
    <w:p>
      <w:pPr>
        <w:spacing w:after="0" w:line="222" w:lineRule="exact"/>
        <w:rPr>
          <w:sz w:val="20"/>
          <w:szCs w:val="20"/>
          <w:color w:val="auto"/>
        </w:rPr>
      </w:pPr>
    </w:p>
    <w:p>
      <w:pPr>
        <w:ind w:right="460"/>
        <w:spacing w:after="0" w:line="233" w:lineRule="auto"/>
        <w:rPr>
          <w:sz w:val="20"/>
          <w:szCs w:val="20"/>
          <w:color w:val="auto"/>
        </w:rPr>
      </w:pPr>
      <w:r>
        <w:rPr>
          <w:rFonts w:ascii="Arial" w:cs="Arial" w:eastAsia="Arial" w:hAnsi="Arial"/>
          <w:sz w:val="18"/>
          <w:szCs w:val="18"/>
          <w:color w:val="auto"/>
        </w:rPr>
        <w:t>In the event of the Company’s liquidation, dissolution or winding up, holders of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2"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6" w:lineRule="exact"/>
        <w:rPr>
          <w:sz w:val="20"/>
          <w:szCs w:val="20"/>
          <w:color w:val="auto"/>
        </w:rPr>
      </w:pPr>
    </w:p>
    <w:p>
      <w:pPr>
        <w:jc w:val="both"/>
        <w:ind w:right="240"/>
        <w:spacing w:after="0" w:line="251" w:lineRule="auto"/>
        <w:rPr>
          <w:sz w:val="20"/>
          <w:szCs w:val="20"/>
          <w:color w:val="auto"/>
        </w:rPr>
      </w:pPr>
      <w:r>
        <w:rPr>
          <w:rFonts w:ascii="Arial" w:cs="Arial" w:eastAsia="Arial" w:hAnsi="Arial"/>
          <w:sz w:val="17"/>
          <w:szCs w:val="17"/>
          <w:color w:val="auto"/>
        </w:rPr>
        <w:t>Certain holders of common stock are entitled to certain rights with respect to registration of their respective shares of common stock under the Securities Act of 1933, as amended, or the Securities Act, pursuant to the terms of an amended and restated investors’ rights agreement by and among the Company and certain of the Company’s stockholders. These shares are collectively referred to herein as registrable securities.</w:t>
      </w:r>
    </w:p>
    <w:p>
      <w:pPr>
        <w:spacing w:after="0" w:line="19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amended and restated investors’ rights agreement provides the holders of registrable securities with demand, piggyback and S-3 registration rights, subject to certain conditions. Under the terms of the amended and restated investor’s rights agreement, holders of registrable securities will have equivalent registration rights with respect to any additional shares of common stock acquired by these holders. The registration of shares of common stock pursuant to the exercise of these registration rights would enable the holders to trade these shares without restriction under the Securities Act when the applicable registration statement is declared effective. The registration rights under our amended and restated investors’ rights agreement will expire no later than April 13, 2025, or with respect to any particular holder, at such time that such holder can</w:t>
      </w:r>
    </w:p>
    <w:p>
      <w:pPr>
        <w:sectPr>
          <w:pgSz w:w="11900" w:h="16838" w:orient="portrait"/>
          <w:cols w:equalWidth="0" w:num="1">
            <w:col w:w="11240"/>
          </w:cols>
          <w:pgMar w:left="320" w:top="900" w:right="339" w:bottom="1440" w:gutter="0" w:footer="0" w:header="0"/>
        </w:sectPr>
      </w:pPr>
    </w:p>
    <w:bookmarkStart w:id="139" w:name="page140"/>
    <w:bookmarkEnd w:id="139"/>
    <w:p>
      <w:pPr>
        <w:ind w:right="60"/>
        <w:spacing w:after="0" w:line="321" w:lineRule="auto"/>
        <w:rPr>
          <w:sz w:val="20"/>
          <w:szCs w:val="20"/>
          <w:color w:val="auto"/>
        </w:rPr>
      </w:pPr>
      <w:r>
        <w:rPr>
          <w:rFonts w:ascii="Arial" w:cs="Arial" w:eastAsia="Arial" w:hAnsi="Arial"/>
          <w:sz w:val="16"/>
          <w:szCs w:val="16"/>
          <w:color w:val="auto"/>
        </w:rPr>
        <w:t>sell its shares under Rule 144 of the Securities Act during any three-month period. The Company will pay the registration expenses, other than underwriting discounts and selling commissions, of the shares registered pursuant to such registration rights , subject to specified conditions and limitations.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Anti-Takeover Statute</w:t>
      </w:r>
    </w:p>
    <w:p>
      <w:pPr>
        <w:spacing w:after="0" w:line="222" w:lineRule="exact"/>
        <w:rPr>
          <w:sz w:val="20"/>
          <w:szCs w:val="20"/>
          <w:color w:val="auto"/>
        </w:rPr>
      </w:pPr>
    </w:p>
    <w:p>
      <w:pPr>
        <w:jc w:val="both"/>
        <w:ind w:right="520"/>
        <w:spacing w:after="0" w:line="233" w:lineRule="auto"/>
        <w:rPr>
          <w:sz w:val="20"/>
          <w:szCs w:val="20"/>
          <w:color w:val="auto"/>
        </w:rPr>
      </w:pPr>
      <w:r>
        <w:rPr>
          <w:rFonts w:ascii="Arial" w:cs="Arial" w:eastAsia="Arial" w:hAnsi="Arial"/>
          <w:sz w:val="18"/>
          <w:szCs w:val="18"/>
          <w:color w:val="auto"/>
        </w:rPr>
        <w:t>The Company is subject to Section 203 of the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216" w:lineRule="exact"/>
        <w:rPr>
          <w:sz w:val="20"/>
          <w:szCs w:val="20"/>
          <w:color w:val="auto"/>
        </w:rPr>
      </w:pPr>
    </w:p>
    <w:p>
      <w:pPr>
        <w:ind w:left="660" w:right="800" w:hanging="331"/>
        <w:spacing w:after="0" w:line="222"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 w:lineRule="exact"/>
        <w:rPr>
          <w:rFonts w:ascii="Arial" w:cs="Arial" w:eastAsia="Arial" w:hAnsi="Arial"/>
          <w:sz w:val="20"/>
          <w:szCs w:val="20"/>
          <w:color w:val="auto"/>
        </w:rPr>
      </w:pPr>
    </w:p>
    <w:p>
      <w:pPr>
        <w:ind w:left="660" w:hanging="331"/>
        <w:spacing w:after="0" w:line="216"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ind w:left="660" w:right="560" w:hanging="331"/>
        <w:spacing w:after="0" w:line="219" w:lineRule="auto"/>
        <w:tabs>
          <w:tab w:leader="none" w:pos="648" w:val="left"/>
        </w:tabs>
        <w:numPr>
          <w:ilvl w:val="0"/>
          <w:numId w:val="79"/>
        </w:numPr>
        <w:rPr>
          <w:rFonts w:ascii="Arial" w:cs="Arial" w:eastAsia="Arial" w:hAnsi="Arial"/>
          <w:sz w:val="20"/>
          <w:szCs w:val="20"/>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66-2/3% of the outstanding voting stock that is not owned by the interested stockholder.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23" w:lineRule="exact"/>
        <w:rPr>
          <w:sz w:val="20"/>
          <w:szCs w:val="20"/>
          <w:color w:val="auto"/>
        </w:rPr>
      </w:pPr>
    </w:p>
    <w:p>
      <w:pPr>
        <w:ind w:left="640" w:hanging="311"/>
        <w:spacing w:after="0"/>
        <w:tabs>
          <w:tab w:leader="none" w:pos="640" w:val="left"/>
        </w:tabs>
        <w:numPr>
          <w:ilvl w:val="0"/>
          <w:numId w:val="80"/>
        </w:numPr>
        <w:rPr>
          <w:rFonts w:ascii="Arial" w:cs="Arial" w:eastAsia="Arial" w:hAnsi="Arial"/>
          <w:sz w:val="20"/>
          <w:szCs w:val="20"/>
          <w:color w:val="auto"/>
        </w:rPr>
      </w:pPr>
      <w:r>
        <w:rPr>
          <w:rFonts w:ascii="Arial" w:cs="Arial" w:eastAsia="Arial" w:hAnsi="Arial"/>
          <w:sz w:val="18"/>
          <w:szCs w:val="18"/>
          <w:color w:val="auto"/>
        </w:rPr>
        <w:t>any merger or consolidation involving the corporation and the interested stockholder;</w:t>
      </w:r>
    </w:p>
    <w:p>
      <w:pPr>
        <w:ind w:left="640" w:hanging="311"/>
        <w:spacing w:after="0" w:line="210" w:lineRule="auto"/>
        <w:tabs>
          <w:tab w:leader="none" w:pos="640" w:val="left"/>
        </w:tabs>
        <w:numPr>
          <w:ilvl w:val="0"/>
          <w:numId w:val="80"/>
        </w:numPr>
        <w:rPr>
          <w:rFonts w:ascii="Arial" w:cs="Arial" w:eastAsia="Arial" w:hAnsi="Arial"/>
          <w:sz w:val="20"/>
          <w:szCs w:val="20"/>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ind w:left="660" w:right="640" w:hanging="331"/>
        <w:spacing w:after="0" w:line="213" w:lineRule="auto"/>
        <w:tabs>
          <w:tab w:leader="none" w:pos="648" w:val="left"/>
        </w:tabs>
        <w:numPr>
          <w:ilvl w:val="0"/>
          <w:numId w:val="80"/>
        </w:numPr>
        <w:rPr>
          <w:rFonts w:ascii="Arial" w:cs="Arial" w:eastAsia="Arial" w:hAnsi="Arial"/>
          <w:sz w:val="20"/>
          <w:szCs w:val="20"/>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 w:lineRule="exact"/>
        <w:rPr>
          <w:rFonts w:ascii="Arial" w:cs="Arial" w:eastAsia="Arial" w:hAnsi="Arial"/>
          <w:sz w:val="20"/>
          <w:szCs w:val="20"/>
          <w:color w:val="auto"/>
        </w:rPr>
      </w:pPr>
    </w:p>
    <w:p>
      <w:pPr>
        <w:ind w:left="660" w:right="800" w:hanging="331"/>
        <w:spacing w:after="0" w:line="213" w:lineRule="auto"/>
        <w:tabs>
          <w:tab w:leader="none" w:pos="648" w:val="left"/>
        </w:tabs>
        <w:numPr>
          <w:ilvl w:val="0"/>
          <w:numId w:val="80"/>
        </w:numPr>
        <w:rPr>
          <w:rFonts w:ascii="Arial" w:cs="Arial" w:eastAsia="Arial" w:hAnsi="Arial"/>
          <w:sz w:val="20"/>
          <w:szCs w:val="20"/>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 w:lineRule="exact"/>
        <w:rPr>
          <w:rFonts w:ascii="Arial" w:cs="Arial" w:eastAsia="Arial" w:hAnsi="Arial"/>
          <w:sz w:val="20"/>
          <w:szCs w:val="20"/>
          <w:color w:val="auto"/>
        </w:rPr>
      </w:pPr>
    </w:p>
    <w:p>
      <w:pPr>
        <w:ind w:left="660" w:right="420" w:hanging="331"/>
        <w:spacing w:after="0" w:line="220" w:lineRule="auto"/>
        <w:tabs>
          <w:tab w:leader="none" w:pos="648" w:val="left"/>
        </w:tabs>
        <w:numPr>
          <w:ilvl w:val="0"/>
          <w:numId w:val="80"/>
        </w:numPr>
        <w:rPr>
          <w:rFonts w:ascii="Arial" w:cs="Arial" w:eastAsia="Arial" w:hAnsi="Arial"/>
          <w:sz w:val="20"/>
          <w:szCs w:val="20"/>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201"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Anti-Takeover Effects of Certain Provisions of the Certificate of Incorporation and Bylaws</w:t>
      </w:r>
    </w:p>
    <w:p>
      <w:pPr>
        <w:spacing w:after="0" w:line="222"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The certificate of incorporation provides for the Company’s board of directors to be divided into three classes with staggered three-year terms. Only one class of directors is elected at each annual meeting of stockholders, with the other classes continuing for the remainder of their respective three-year terms. Because the Company’s stockholders do not have cumulative voting rights, stockholders holding a majority of the voting power of the shares of common stock outstanding will be able to elect all of the Company’s directors. The directors may be removed by the stockholders only for cause upon the vote of holders of 66 2/3% of the shares then entitled to vote at an election of directors.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The certificate of incorporation and bylaws provide that all stockholder actions must be effected at a duly called meeting of stockholders and not by a consent in writing. A special meeting of stockholders may be called only by a majority of the whole board of directors, the chair of the board of directors or the Company’s chief executive officer. The bylaws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209"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certificate of incorporation further provides that the affirmative vote of holders of at least 66 2/3% of the voting power of all of the then outstanding shares of voting stock, voting as a single class, is required to amend certain provisions of the certificate of incorporation, including provisions relating to the structure of the board of directors, the size of the board, removal of directors, special meetings of stockholders, actions by written consent and cumulative voting. The affirmative vote</w:t>
      </w:r>
    </w:p>
    <w:p>
      <w:pPr>
        <w:sectPr>
          <w:pgSz w:w="11900" w:h="16838" w:orient="portrait"/>
          <w:cols w:equalWidth="0" w:num="1">
            <w:col w:w="11240"/>
          </w:cols>
          <w:pgMar w:left="320" w:top="890" w:right="339" w:bottom="1440" w:gutter="0" w:footer="0" w:header="0"/>
        </w:sectPr>
      </w:pPr>
    </w:p>
    <w:bookmarkStart w:id="140" w:name="page141"/>
    <w:bookmarkEnd w:id="140"/>
    <w:p>
      <w:pPr>
        <w:spacing w:after="0" w:line="243" w:lineRule="auto"/>
        <w:rPr>
          <w:sz w:val="20"/>
          <w:szCs w:val="20"/>
          <w:color w:val="auto"/>
        </w:rPr>
      </w:pPr>
      <w:r>
        <w:rPr>
          <w:rFonts w:ascii="Arial" w:cs="Arial" w:eastAsia="Arial" w:hAnsi="Arial"/>
          <w:sz w:val="18"/>
          <w:szCs w:val="18"/>
          <w:color w:val="auto"/>
        </w:rPr>
        <w:t>of holders of at least 66 2/3% of the voting power of all of the then outstanding shares of voting stock, voting as a single class, is required to amend or repeal the bylaws, although the bylaws may be amended by a simple majority vote of the Company’s whole board of directors.</w:t>
      </w:r>
    </w:p>
    <w:p>
      <w:pPr>
        <w:spacing w:after="0" w:line="198"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foregoing provisions will make it more difficult for the Company’s existing stockholders to replace the board of directors as well as for another party to obtain control of the company by replacing the board of directors. Since the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of directors to issue preferred stock with voting or other rights or preferences that could impede the success of any attempt to change the control of the company.</w:t>
      </w:r>
    </w:p>
    <w:p>
      <w:pPr>
        <w:spacing w:after="0" w:line="202"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These provisions are intended to enhance the likelihood of continued stability in the composition of the board of directors and its policies and to discourage certain types of transactions that may involve an actual or threatened acquisition of the company. These provisions are also designed to reduce the Company’s vulnerability to an unsolicited acquisition proposal and to discourage certain tactics that may be used in proxy rights. However, such provisions could have the effect of discouraging others from making tender offers for the Company’s shares and may have the effect of deterring hostile takeovers or delaying changes in control of the company or management. As a consequence, these provisions also may inhibit fluctuations in the market price of the Company’s stock that could result from actual or rumored takeover attempts.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certificate of incorporation provides that the Court of Chancery of the State of Delaware will be the exclusive forum for: (1) any derivative action or proceeding brought on the Company’s behalf; (2) any action or proceeding asserting a breach of fiduciary duty owed by any of the Company’s current or former directors, officers or employees to the Company or its stockholders; (3) any action or proceeding asserting a claim against the Company or any of its current or former directors, officers or other employees, arising out of or pursuant to the Delaware General Corporation Law, the certificate of incorporation or the bylaws; (4) any action or proceeding to interpret, apply, enforce or determine the validity of the certificate of incorporation or the by-laws; or (5) any action or proceeding asserting a claim against the Company that is governed by the internal affairs doctrine, provided that, the exclusive forum provision will not apply to suits brought to enforce any liability or duty created by the Securities Act, the Securities Exchange Act of 1934,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It is possible that a court of law could rule that the choice of forum provision contained in the certificate of incorporation is inapplicable or unenforceable if it is challenged in a proceeding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 transfer agent and registrar for the Company’s common stock is Computershare Trust Company, N.A. The transfer agent’s address is 250 Royall Street, Canton, Massachusetts 02021.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listed on the Nasdaq Global Market under the symbol “KROS.”</w:t>
      </w:r>
    </w:p>
    <w:p>
      <w:pPr>
        <w:sectPr>
          <w:pgSz w:w="11900" w:h="16838" w:orient="portrait"/>
          <w:cols w:equalWidth="0" w:num="1">
            <w:col w:w="11240"/>
          </w:cols>
          <w:pgMar w:left="320" w:top="890" w:right="339" w:bottom="1440" w:gutter="0" w:footer="0" w:header="0"/>
        </w:sectPr>
      </w:pPr>
    </w:p>
    <w:bookmarkStart w:id="141" w:name="page142"/>
    <w:bookmarkEnd w:id="141"/>
    <w:p>
      <w:pPr>
        <w:ind w:left="10020"/>
        <w:spacing w:after="0"/>
        <w:rPr>
          <w:sz w:val="20"/>
          <w:szCs w:val="20"/>
          <w:color w:val="auto"/>
        </w:rPr>
      </w:pPr>
      <w:r>
        <w:rPr>
          <w:rFonts w:ascii="Arial" w:cs="Arial" w:eastAsia="Arial" w:hAnsi="Arial"/>
          <w:sz w:val="19"/>
          <w:szCs w:val="19"/>
          <w:b w:val="1"/>
          <w:bCs w:val="1"/>
          <w:color w:val="333333"/>
        </w:rPr>
        <w:t>Exhibit 10.10</w:t>
      </w:r>
    </w:p>
    <w:p>
      <w:pPr>
        <w:spacing w:after="0" w:line="239" w:lineRule="exact"/>
        <w:rPr>
          <w:sz w:val="20"/>
          <w:szCs w:val="20"/>
          <w:color w:val="auto"/>
        </w:rPr>
      </w:pPr>
    </w:p>
    <w:p>
      <w:pPr>
        <w:ind w:right="240"/>
        <w:spacing w:after="0" w:line="229" w:lineRule="auto"/>
        <w:rPr>
          <w:sz w:val="20"/>
          <w:szCs w:val="20"/>
          <w:color w:val="auto"/>
        </w:rPr>
      </w:pPr>
      <w:r>
        <w:rPr>
          <w:rFonts w:ascii="Arial" w:cs="Arial" w:eastAsia="Arial" w:hAnsi="Arial"/>
          <w:sz w:val="21"/>
          <w:szCs w:val="21"/>
          <w:b w:val="1"/>
          <w:bCs w:val="1"/>
          <w:color w:val="auto"/>
        </w:rPr>
        <w:t>CERTAIN CONFIDENTIAL INFORMATION CONTAINED IN THIS DOCUMENT, MARKED BY [***], HAS BEEN OMITTED BECAUSE KEROS THERAPEUTICS, INC. HAS DETERMINED THE INFORMATION (I) IS NOT MATERIAL AND (II) WOULD LIKELY CAUSE COMPETITIVE HARM TO KEROS THERAPEUTICS, INC.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LICENSE AGREEMENT</w:t>
      </w:r>
    </w:p>
    <w:p>
      <w:pPr>
        <w:spacing w:after="0" w:line="215" w:lineRule="exact"/>
        <w:rPr>
          <w:sz w:val="20"/>
          <w:szCs w:val="20"/>
          <w:color w:val="auto"/>
        </w:rPr>
      </w:pPr>
    </w:p>
    <w:p>
      <w:pPr>
        <w:jc w:val="both"/>
        <w:ind w:firstLine="644"/>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License Agreement</w:t>
      </w:r>
      <w:r>
        <w:rPr>
          <w:rFonts w:ascii="Arial" w:cs="Arial" w:eastAsia="Arial" w:hAnsi="Arial"/>
          <w:sz w:val="20"/>
          <w:szCs w:val="20"/>
          <w:color w:val="auto"/>
        </w:rPr>
        <w:t xml:space="preserve"> (the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December 12, 2021 (the “</w:t>
      </w:r>
      <w:r>
        <w:rPr>
          <w:rFonts w:ascii="Arial" w:cs="Arial" w:eastAsia="Arial" w:hAnsi="Arial"/>
          <w:sz w:val="20"/>
          <w:szCs w:val="20"/>
          <w:b w:val="1"/>
          <w:bCs w:val="1"/>
          <w:color w:val="auto"/>
        </w:rPr>
        <w:t>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Keros Therapeutics, Inc.,</w:t>
      </w:r>
      <w:r>
        <w:rPr>
          <w:rFonts w:ascii="Arial" w:cs="Arial" w:eastAsia="Arial" w:hAnsi="Arial"/>
          <w:sz w:val="20"/>
          <w:szCs w:val="20"/>
          <w:color w:val="auto"/>
        </w:rPr>
        <w:t xml:space="preserve"> a corporation organized and existing under the laws of Delaware and having a place of business at 99 Hayden Avenue, Suite 120, Building E, Lexington, MA 02421 (“</w:t>
      </w:r>
      <w:r>
        <w:rPr>
          <w:rFonts w:ascii="Arial" w:cs="Arial" w:eastAsia="Arial" w:hAnsi="Arial"/>
          <w:sz w:val="20"/>
          <w:szCs w:val="20"/>
          <w:b w:val="1"/>
          <w:bCs w:val="1"/>
          <w:color w:val="auto"/>
        </w:rPr>
        <w:t>Keros</w:t>
      </w:r>
      <w:r>
        <w:rPr>
          <w:rFonts w:ascii="Arial" w:cs="Arial" w:eastAsia="Arial" w:hAnsi="Arial"/>
          <w:sz w:val="20"/>
          <w:szCs w:val="20"/>
          <w:color w:val="auto"/>
        </w:rPr>
        <w:t xml:space="preserve">”), and </w:t>
      </w:r>
      <w:r>
        <w:rPr>
          <w:rFonts w:ascii="Arial" w:cs="Arial" w:eastAsia="Arial" w:hAnsi="Arial"/>
          <w:sz w:val="20"/>
          <w:szCs w:val="20"/>
          <w:b w:val="1"/>
          <w:bCs w:val="1"/>
          <w:color w:val="auto"/>
        </w:rPr>
        <w:t>Hansoh (Shanghai) Healthtech</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Co., Ltd., </w:t>
      </w:r>
      <w:r>
        <w:rPr>
          <w:rFonts w:ascii="Arial" w:cs="Arial" w:eastAsia="Arial" w:hAnsi="Arial"/>
          <w:sz w:val="20"/>
          <w:szCs w:val="20"/>
          <w:color w:val="auto"/>
        </w:rPr>
        <w:t>a corporation organized and existing under the laws of the People’s Republic of China having a place of business at</w:t>
      </w:r>
      <w:r>
        <w:rPr>
          <w:rFonts w:ascii="Arial" w:cs="Arial" w:eastAsia="Arial" w:hAnsi="Arial"/>
          <w:sz w:val="20"/>
          <w:szCs w:val="20"/>
          <w:b w:val="1"/>
          <w:bCs w:val="1"/>
          <w:color w:val="auto"/>
        </w:rPr>
        <w:t xml:space="preserve"> </w:t>
      </w:r>
      <w:r>
        <w:rPr>
          <w:rFonts w:ascii="Arial" w:cs="Arial" w:eastAsia="Arial" w:hAnsi="Arial"/>
          <w:sz w:val="20"/>
          <w:szCs w:val="20"/>
          <w:color w:val="auto"/>
        </w:rPr>
        <w:t>Room 101, No.287 Xiangke Road and No.1158 Haike Road, China (Shanghai) Pilot Free Trade Zone, China (“</w:t>
      </w:r>
      <w:r>
        <w:rPr>
          <w:rFonts w:ascii="Arial" w:cs="Arial" w:eastAsia="Arial" w:hAnsi="Arial"/>
          <w:sz w:val="20"/>
          <w:szCs w:val="20"/>
          <w:b w:val="1"/>
          <w:bCs w:val="1"/>
          <w:color w:val="auto"/>
        </w:rPr>
        <w:t>Hansoh</w:t>
      </w:r>
      <w:r>
        <w:rPr>
          <w:rFonts w:ascii="Arial" w:cs="Arial" w:eastAsia="Arial" w:hAnsi="Arial"/>
          <w:sz w:val="20"/>
          <w:szCs w:val="20"/>
          <w:color w:val="auto"/>
        </w:rPr>
        <w:t>”). Keros and Hansoh are sometimes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88" w:lineRule="exact"/>
        <w:rPr>
          <w:sz w:val="20"/>
          <w:szCs w:val="20"/>
          <w:color w:val="auto"/>
        </w:rPr>
      </w:pPr>
    </w:p>
    <w:p>
      <w:pPr>
        <w:jc w:val="both"/>
        <w:ind w:right="20" w:firstLine="644"/>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Keros is currently conducting research and development of KER-050 (defined below) and may develop one or</w:t>
      </w:r>
      <w:r>
        <w:rPr>
          <w:rFonts w:ascii="Arial" w:cs="Arial" w:eastAsia="Arial" w:hAnsi="Arial"/>
          <w:sz w:val="21"/>
          <w:szCs w:val="21"/>
          <w:b w:val="1"/>
          <w:bCs w:val="1"/>
          <w:color w:val="auto"/>
        </w:rPr>
        <w:t xml:space="preserve"> </w:t>
      </w:r>
      <w:r>
        <w:rPr>
          <w:rFonts w:ascii="Arial" w:cs="Arial" w:eastAsia="Arial" w:hAnsi="Arial"/>
          <w:sz w:val="21"/>
          <w:szCs w:val="21"/>
          <w:color w:val="auto"/>
        </w:rPr>
        <w:t>more related back-up compounds;</w:t>
      </w:r>
    </w:p>
    <w:p>
      <w:pPr>
        <w:spacing w:after="0" w:line="139" w:lineRule="exact"/>
        <w:rPr>
          <w:sz w:val="20"/>
          <w:szCs w:val="20"/>
          <w:color w:val="auto"/>
        </w:rPr>
      </w:pPr>
    </w:p>
    <w:p>
      <w:pPr>
        <w:jc w:val="both"/>
        <w:ind w:right="20" w:firstLine="644"/>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Hansoh is a pharmaceutical company with experience in developing pharmaceutical products in the Hansoh</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 (defined below); and</w:t>
      </w:r>
    </w:p>
    <w:p>
      <w:pPr>
        <w:spacing w:after="0" w:line="139"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Hansoh desires to obtain from Keros an exclusive license to develop and commercialize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w:t>
      </w:r>
      <w:r>
        <w:rPr>
          <w:rFonts w:ascii="Arial" w:cs="Arial" w:eastAsia="Arial" w:hAnsi="Arial"/>
          <w:sz w:val="21"/>
          <w:szCs w:val="21"/>
          <w:b w:val="1"/>
          <w:bCs w:val="1"/>
          <w:color w:val="auto"/>
        </w:rPr>
        <w:t xml:space="preserve"> </w:t>
      </w:r>
      <w:r>
        <w:rPr>
          <w:rFonts w:ascii="Arial" w:cs="Arial" w:eastAsia="Arial" w:hAnsi="Arial"/>
          <w:sz w:val="21"/>
          <w:szCs w:val="21"/>
          <w:color w:val="auto"/>
        </w:rPr>
        <w:t>(defined below) in the Hansoh Territory, and Keros is willing to grant such license to Hansoh under the terms and conditions of this Agreement.</w:t>
      </w:r>
    </w:p>
    <w:p>
      <w:pPr>
        <w:spacing w:after="0" w:line="153"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foregoing premises and the mutual promises, covenants and conditions contained</w:t>
      </w:r>
      <w:r>
        <w:rPr>
          <w:rFonts w:ascii="Arial" w:cs="Arial" w:eastAsia="Arial" w:hAnsi="Arial"/>
          <w:sz w:val="21"/>
          <w:szCs w:val="21"/>
          <w:b w:val="1"/>
          <w:bCs w:val="1"/>
          <w:color w:val="auto"/>
        </w:rPr>
        <w:t xml:space="preserve"> </w:t>
      </w:r>
      <w:r>
        <w:rPr>
          <w:rFonts w:ascii="Arial" w:cs="Arial" w:eastAsia="Arial" w:hAnsi="Arial"/>
          <w:sz w:val="21"/>
          <w:szCs w:val="21"/>
          <w:color w:val="auto"/>
        </w:rPr>
        <w:t>in this Agreement, the Parties agree as follows: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w:t>
      </w: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164"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1.1 </w:t>
      </w:r>
      <w:r>
        <w:rPr>
          <w:rFonts w:ascii="Arial" w:cs="Arial" w:eastAsia="Arial" w:hAnsi="Arial"/>
          <w:sz w:val="21"/>
          <w:szCs w:val="21"/>
          <w:color w:val="auto"/>
        </w:rPr>
        <w:t>“</w:t>
      </w:r>
      <w:r>
        <w:rPr>
          <w:rFonts w:ascii="Arial" w:cs="Arial" w:eastAsia="Arial" w:hAnsi="Arial"/>
          <w:sz w:val="21"/>
          <w:szCs w:val="21"/>
          <w:b w:val="1"/>
          <w:bCs w:val="1"/>
          <w:color w:val="auto"/>
        </w:rPr>
        <w:t>Accounting Standards</w:t>
      </w:r>
      <w:r>
        <w:rPr>
          <w:rFonts w:ascii="Arial" w:cs="Arial" w:eastAsia="Arial" w:hAnsi="Arial"/>
          <w:sz w:val="21"/>
          <w:szCs w:val="21"/>
          <w:color w:val="auto"/>
        </w:rPr>
        <w:t>” means U.S. generally accepted accounting principles (“</w:t>
      </w:r>
      <w:r>
        <w:rPr>
          <w:rFonts w:ascii="Arial" w:cs="Arial" w:eastAsia="Arial" w:hAnsi="Arial"/>
          <w:sz w:val="21"/>
          <w:szCs w:val="21"/>
          <w:b w:val="1"/>
          <w:bCs w:val="1"/>
          <w:color w:val="auto"/>
        </w:rPr>
        <w:t>GAAP</w:t>
      </w:r>
      <w:r>
        <w:rPr>
          <w:rFonts w:ascii="Arial" w:cs="Arial" w:eastAsia="Arial" w:hAnsi="Arial"/>
          <w:sz w:val="21"/>
          <w:szCs w:val="21"/>
          <w:color w:val="auto"/>
        </w:rPr>
        <w:t>”) or, to the extent that</w:t>
      </w:r>
      <w:r>
        <w:rPr>
          <w:rFonts w:ascii="Arial" w:cs="Arial" w:eastAsia="Arial" w:hAnsi="Arial"/>
          <w:sz w:val="21"/>
          <w:szCs w:val="21"/>
          <w:b w:val="1"/>
          <w:bCs w:val="1"/>
          <w:color w:val="auto"/>
        </w:rPr>
        <w:t xml:space="preserve"> </w:t>
      </w:r>
      <w:r>
        <w:rPr>
          <w:rFonts w:ascii="Arial" w:cs="Arial" w:eastAsia="Arial" w:hAnsi="Arial"/>
          <w:sz w:val="21"/>
          <w:szCs w:val="21"/>
          <w:color w:val="auto"/>
        </w:rPr>
        <w:t>Hansoh instead utilizes International Financial Reporting Standards (“</w:t>
      </w:r>
      <w:r>
        <w:rPr>
          <w:rFonts w:ascii="Arial" w:cs="Arial" w:eastAsia="Arial" w:hAnsi="Arial"/>
          <w:sz w:val="21"/>
          <w:szCs w:val="21"/>
          <w:b w:val="1"/>
          <w:bCs w:val="1"/>
          <w:color w:val="auto"/>
        </w:rPr>
        <w:t>IFRS</w:t>
      </w:r>
      <w:r>
        <w:rPr>
          <w:rFonts w:ascii="Arial" w:cs="Arial" w:eastAsia="Arial" w:hAnsi="Arial"/>
          <w:sz w:val="21"/>
          <w:szCs w:val="21"/>
          <w:color w:val="auto"/>
        </w:rPr>
        <w:t>”), then “Accounting Standards” means IFRS, in either case consistently applied.</w:t>
      </w:r>
    </w:p>
    <w:p>
      <w:pPr>
        <w:spacing w:after="0" w:line="153"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color w:val="auto"/>
        </w:rPr>
        <w:t>“</w:t>
      </w:r>
      <w:r>
        <w:rPr>
          <w:rFonts w:ascii="Arial" w:cs="Arial" w:eastAsia="Arial" w:hAnsi="Arial"/>
          <w:sz w:val="21"/>
          <w:szCs w:val="21"/>
          <w:b w:val="1"/>
          <w:bCs w:val="1"/>
          <w:color w:val="auto"/>
        </w:rPr>
        <w:t>Act</w:t>
      </w:r>
      <w:r>
        <w:rPr>
          <w:rFonts w:ascii="Arial" w:cs="Arial" w:eastAsia="Arial" w:hAnsi="Arial"/>
          <w:sz w:val="21"/>
          <w:szCs w:val="21"/>
          <w:color w:val="auto"/>
        </w:rPr>
        <w:t>” shall mean, as applicable, the United States Federal Food, Drug and Cosmetic Act, 21 U.S.C. §§301 et seq.,</w:t>
      </w:r>
      <w:r>
        <w:rPr>
          <w:rFonts w:ascii="Arial" w:cs="Arial" w:eastAsia="Arial" w:hAnsi="Arial"/>
          <w:sz w:val="21"/>
          <w:szCs w:val="21"/>
          <w:b w:val="1"/>
          <w:bCs w:val="1"/>
          <w:color w:val="auto"/>
        </w:rPr>
        <w:t xml:space="preserve"> </w:t>
      </w:r>
      <w:r>
        <w:rPr>
          <w:rFonts w:ascii="Arial" w:cs="Arial" w:eastAsia="Arial" w:hAnsi="Arial"/>
          <w:sz w:val="21"/>
          <w:szCs w:val="21"/>
          <w:color w:val="auto"/>
        </w:rPr>
        <w:t>and/or the Public Health Service Act, 42 U.S.C. §§262 et seq., as such may be amended from time to time.</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1.3 </w:t>
      </w:r>
      <w:r>
        <w:rPr>
          <w:rFonts w:ascii="Arial" w:cs="Arial" w:eastAsia="Arial" w:hAnsi="Arial"/>
          <w:sz w:val="21"/>
          <w:szCs w:val="21"/>
          <w:color w:val="auto"/>
        </w:rPr>
        <w:t>“</w:t>
      </w:r>
      <w:r>
        <w:rPr>
          <w:rFonts w:ascii="Arial" w:cs="Arial" w:eastAsia="Arial" w:hAnsi="Arial"/>
          <w:sz w:val="21"/>
          <w:szCs w:val="21"/>
          <w:b w:val="1"/>
          <w:bCs w:val="1"/>
          <w:color w:val="auto"/>
        </w:rPr>
        <w:t>Additional Indication</w:t>
      </w:r>
      <w:r>
        <w:rPr>
          <w:rFonts w:ascii="Arial" w:cs="Arial" w:eastAsia="Arial" w:hAnsi="Arial"/>
          <w:sz w:val="21"/>
          <w:szCs w:val="21"/>
          <w:color w:val="auto"/>
        </w:rPr>
        <w:t>” means any Indication (other than the Initial Indications) approved for Development of</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Products by the JCC.</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color w:val="auto"/>
        </w:rPr>
        <w:t>“</w:t>
      </w:r>
      <w:r>
        <w:rPr>
          <w:rFonts w:ascii="Arial" w:cs="Arial" w:eastAsia="Arial" w:hAnsi="Arial"/>
          <w:sz w:val="21"/>
          <w:szCs w:val="21"/>
          <w:b w:val="1"/>
          <w:bCs w:val="1"/>
          <w:color w:val="auto"/>
        </w:rPr>
        <w:t>Adverse Risk</w:t>
      </w:r>
      <w:r>
        <w:rPr>
          <w:rFonts w:ascii="Arial" w:cs="Arial" w:eastAsia="Arial" w:hAnsi="Arial"/>
          <w:sz w:val="21"/>
          <w:szCs w:val="21"/>
          <w:color w:val="auto"/>
        </w:rPr>
        <w:t>” means any risk of an adverse effect on the Development, procurement, or maintenance of</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Approval, Manufacture, or Commercialization of Licensed Products [***], as applicable.</w:t>
      </w:r>
    </w:p>
    <w:p>
      <w:pPr>
        <w:spacing w:after="0" w:line="139"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 particular Party, a Person that controls, is controlled by, or is under common</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with such Party. For the purposes of this definition, the word “control” (including, with correlative meaning, the terms “controlled by” or “under common control with”) means the actual power, either directly or indirectly through one (1) or</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98" w:right="339" w:bottom="1440" w:gutter="0" w:footer="0" w:header="0"/>
          <w:type w:val="continuous"/>
        </w:sectPr>
      </w:pPr>
    </w:p>
    <w:bookmarkStart w:id="142" w:name="page143"/>
    <w:bookmarkEnd w:id="142"/>
    <w:p>
      <w:pPr>
        <w:jc w:val="both"/>
        <w:spacing w:after="0" w:line="227" w:lineRule="auto"/>
        <w:rPr>
          <w:sz w:val="20"/>
          <w:szCs w:val="20"/>
          <w:color w:val="auto"/>
        </w:rPr>
      </w:pPr>
      <w:r>
        <w:rPr>
          <w:rFonts w:ascii="Arial" w:cs="Arial" w:eastAsia="Arial" w:hAnsi="Arial"/>
          <w:sz w:val="21"/>
          <w:szCs w:val="21"/>
          <w:color w:val="auto"/>
        </w:rPr>
        <w:t>more intermediaries, to direct or cause the direction of the management and policies of such entity, whether by the ownership of fifty percent (50%) or more of the voting stock of such entity, or by contract, or otherwise. For clarity, once a Person ceases to be an Affiliate of a Party, then, without any further action, such Person shall cease to have any rights, including license and sublicense rights, under this Agreement by reason of being an Affiliate of such Party.</w:t>
      </w:r>
    </w:p>
    <w:p>
      <w:pPr>
        <w:spacing w:after="0" w:line="154"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1.6 </w:t>
      </w:r>
      <w:r>
        <w:rPr>
          <w:rFonts w:ascii="Arial" w:cs="Arial" w:eastAsia="Arial" w:hAnsi="Arial"/>
          <w:sz w:val="21"/>
          <w:szCs w:val="21"/>
          <w:color w:val="auto"/>
        </w:rPr>
        <w:t>“</w:t>
      </w:r>
      <w:r>
        <w:rPr>
          <w:rFonts w:ascii="Arial" w:cs="Arial" w:eastAsia="Arial" w:hAnsi="Arial"/>
          <w:sz w:val="21"/>
          <w:szCs w:val="21"/>
          <w:b w:val="1"/>
          <w:bCs w:val="1"/>
          <w:color w:val="auto"/>
        </w:rPr>
        <w:t>Anti-Corruption Laws</w:t>
      </w:r>
      <w:r>
        <w:rPr>
          <w:rFonts w:ascii="Arial" w:cs="Arial" w:eastAsia="Arial" w:hAnsi="Arial"/>
          <w:sz w:val="21"/>
          <w:szCs w:val="21"/>
          <w:color w:val="auto"/>
        </w:rPr>
        <w:t>” means laws, regulations, or orders prohibiting the provision of a financial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advantage for a corrupt purpose or otherwise in connection with the improper performance of a relevant function, including without limitation [***], to the extent applicable to a Party in its Territory.</w:t>
      </w:r>
    </w:p>
    <w:p>
      <w:pPr>
        <w:spacing w:after="0" w:line="153"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1.7 </w:t>
      </w:r>
      <w:r>
        <w:rPr>
          <w:rFonts w:ascii="Arial" w:cs="Arial" w:eastAsia="Arial" w:hAnsi="Arial"/>
          <w:sz w:val="21"/>
          <w:szCs w:val="21"/>
          <w:color w:val="auto"/>
        </w:rPr>
        <w:t>“</w:t>
      </w:r>
      <w:r>
        <w:rPr>
          <w:rFonts w:ascii="Arial" w:cs="Arial" w:eastAsia="Arial" w:hAnsi="Arial"/>
          <w:sz w:val="21"/>
          <w:szCs w:val="21"/>
          <w:b w:val="1"/>
          <w:bCs w:val="1"/>
          <w:color w:val="auto"/>
        </w:rPr>
        <w:t>Applicable Law</w:t>
      </w:r>
      <w:r>
        <w:rPr>
          <w:rFonts w:ascii="Arial" w:cs="Arial" w:eastAsia="Arial" w:hAnsi="Arial"/>
          <w:sz w:val="21"/>
          <w:szCs w:val="21"/>
          <w:color w:val="auto"/>
        </w:rPr>
        <w:t>” means, with respect to a given country or Region, the applicable Laws that may be in effect from</w:t>
      </w:r>
      <w:r>
        <w:rPr>
          <w:rFonts w:ascii="Arial" w:cs="Arial" w:eastAsia="Arial" w:hAnsi="Arial"/>
          <w:sz w:val="21"/>
          <w:szCs w:val="21"/>
          <w:b w:val="1"/>
          <w:bCs w:val="1"/>
          <w:color w:val="auto"/>
        </w:rPr>
        <w:t xml:space="preserve"> </w:t>
      </w:r>
      <w:r>
        <w:rPr>
          <w:rFonts w:ascii="Arial" w:cs="Arial" w:eastAsia="Arial" w:hAnsi="Arial"/>
          <w:sz w:val="21"/>
          <w:szCs w:val="21"/>
          <w:color w:val="auto"/>
        </w:rPr>
        <w:t>time to time in such country or Region and that relate to a Party’s activities under this Agreement, including any Laws of the Regulatory Authorities of such country or Region.</w:t>
      </w:r>
    </w:p>
    <w:p>
      <w:pPr>
        <w:spacing w:after="0" w:line="153"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1.8 </w:t>
      </w:r>
      <w:r>
        <w:rPr>
          <w:rFonts w:ascii="Arial" w:cs="Arial" w:eastAsia="Arial" w:hAnsi="Arial"/>
          <w:sz w:val="21"/>
          <w:szCs w:val="21"/>
          <w:color w:val="auto"/>
        </w:rPr>
        <w:t>“</w:t>
      </w:r>
      <w:r>
        <w:rPr>
          <w:rFonts w:ascii="Arial" w:cs="Arial" w:eastAsia="Arial" w:hAnsi="Arial"/>
          <w:sz w:val="21"/>
          <w:szCs w:val="21"/>
          <w:b w:val="1"/>
          <w:bCs w:val="1"/>
          <w:color w:val="auto"/>
        </w:rPr>
        <w:t>Back-Up Compound</w:t>
      </w:r>
      <w:r>
        <w:rPr>
          <w:rFonts w:ascii="Arial" w:cs="Arial" w:eastAsia="Arial" w:hAnsi="Arial"/>
          <w:sz w:val="21"/>
          <w:szCs w:val="21"/>
          <w:color w:val="auto"/>
        </w:rPr>
        <w:t>” means any back-up compound that Keros identifies and chooses, at its sole discretion, to</w:t>
      </w:r>
      <w:r>
        <w:rPr>
          <w:rFonts w:ascii="Arial" w:cs="Arial" w:eastAsia="Arial" w:hAnsi="Arial"/>
          <w:sz w:val="21"/>
          <w:szCs w:val="21"/>
          <w:b w:val="1"/>
          <w:bCs w:val="1"/>
          <w:color w:val="auto"/>
        </w:rPr>
        <w:t xml:space="preserve"> </w:t>
      </w:r>
      <w:r>
        <w:rPr>
          <w:rFonts w:ascii="Arial" w:cs="Arial" w:eastAsia="Arial" w:hAnsi="Arial"/>
          <w:sz w:val="21"/>
          <w:szCs w:val="21"/>
          <w:color w:val="auto"/>
        </w:rPr>
        <w:t>Develop in the Field instead of KER-050 in one or more of the Initial Indications or Additional Indications.</w:t>
      </w:r>
    </w:p>
    <w:p>
      <w:pPr>
        <w:spacing w:after="0" w:line="139"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1.9 </w:t>
      </w:r>
      <w:r>
        <w:rPr>
          <w:rFonts w:ascii="Arial" w:cs="Arial" w:eastAsia="Arial" w:hAnsi="Arial"/>
          <w:sz w:val="21"/>
          <w:szCs w:val="21"/>
          <w:color w:val="auto"/>
        </w:rPr>
        <w:t>“</w:t>
      </w:r>
      <w:r>
        <w:rPr>
          <w:rFonts w:ascii="Arial" w:cs="Arial" w:eastAsia="Arial" w:hAnsi="Arial"/>
          <w:sz w:val="21"/>
          <w:szCs w:val="21"/>
          <w:b w:val="1"/>
          <w:bCs w:val="1"/>
          <w:color w:val="auto"/>
        </w:rPr>
        <w:t>Background Intellectual Property</w:t>
      </w:r>
      <w:r>
        <w:rPr>
          <w:rFonts w:ascii="Arial" w:cs="Arial" w:eastAsia="Arial" w:hAnsi="Arial"/>
          <w:sz w:val="21"/>
          <w:szCs w:val="21"/>
          <w:color w:val="auto"/>
        </w:rPr>
        <w:t>” means, with respect to a Party, any and all Information, inventions,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discoveries, in each case whether or not patentable, and any Patents or other intellectual property rights therein, in each case Controlled by such Party as of the Effective Date or acquired, made, conceived, or reduced to practice during the Term independent of this Agreement.</w:t>
      </w:r>
    </w:p>
    <w:p>
      <w:pPr>
        <w:spacing w:after="0" w:line="152"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1.10 </w:t>
      </w: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 day other than Saturday, Sunday or any day that banks in New York, New York USA or</w:t>
      </w:r>
      <w:r>
        <w:rPr>
          <w:rFonts w:ascii="Arial" w:cs="Arial" w:eastAsia="Arial" w:hAnsi="Arial"/>
          <w:sz w:val="21"/>
          <w:szCs w:val="21"/>
          <w:b w:val="1"/>
          <w:bCs w:val="1"/>
          <w:color w:val="auto"/>
        </w:rPr>
        <w:t xml:space="preserve"> </w:t>
      </w:r>
      <w:r>
        <w:rPr>
          <w:rFonts w:ascii="Arial" w:cs="Arial" w:eastAsia="Arial" w:hAnsi="Arial"/>
          <w:sz w:val="21"/>
          <w:szCs w:val="21"/>
          <w:color w:val="auto"/>
        </w:rPr>
        <w:t>Shanghai, China are required or permitted to be closed.</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1.11 </w:t>
      </w:r>
      <w:r>
        <w:rPr>
          <w:rFonts w:ascii="Arial" w:cs="Arial" w:eastAsia="Arial" w:hAnsi="Arial"/>
          <w:sz w:val="21"/>
          <w:szCs w:val="21"/>
          <w:color w:val="auto"/>
        </w:rPr>
        <w:t>“</w:t>
      </w:r>
      <w:r>
        <w:rPr>
          <w:rFonts w:ascii="Arial" w:cs="Arial" w:eastAsia="Arial" w:hAnsi="Arial"/>
          <w:sz w:val="21"/>
          <w:szCs w:val="21"/>
          <w:b w:val="1"/>
          <w:bCs w:val="1"/>
          <w:color w:val="auto"/>
        </w:rPr>
        <w:t>Calendar Quarter</w:t>
      </w:r>
      <w:r>
        <w:rPr>
          <w:rFonts w:ascii="Arial" w:cs="Arial" w:eastAsia="Arial" w:hAnsi="Arial"/>
          <w:sz w:val="21"/>
          <w:szCs w:val="21"/>
          <w:color w:val="auto"/>
        </w:rPr>
        <w:t>” means each successive period of three (3) consecutive calendar months ending on March 31,</w:t>
      </w:r>
      <w:r>
        <w:rPr>
          <w:rFonts w:ascii="Arial" w:cs="Arial" w:eastAsia="Arial" w:hAnsi="Arial"/>
          <w:sz w:val="21"/>
          <w:szCs w:val="21"/>
          <w:b w:val="1"/>
          <w:bCs w:val="1"/>
          <w:color w:val="auto"/>
        </w:rPr>
        <w:t xml:space="preserve"> </w:t>
      </w:r>
      <w:r>
        <w:rPr>
          <w:rFonts w:ascii="Arial" w:cs="Arial" w:eastAsia="Arial" w:hAnsi="Arial"/>
          <w:sz w:val="21"/>
          <w:szCs w:val="21"/>
          <w:color w:val="auto"/>
        </w:rPr>
        <w:t>June 30, September 30, or December 31.</w:t>
      </w:r>
    </w:p>
    <w:p>
      <w:pPr>
        <w:spacing w:after="0" w:line="139" w:lineRule="exact"/>
        <w:rPr>
          <w:sz w:val="20"/>
          <w:szCs w:val="20"/>
          <w:color w:val="auto"/>
        </w:rPr>
      </w:pPr>
    </w:p>
    <w:p>
      <w:pPr>
        <w:jc w:val="both"/>
        <w:ind w:firstLine="644"/>
        <w:spacing w:after="0" w:line="221" w:lineRule="auto"/>
        <w:rPr>
          <w:sz w:val="20"/>
          <w:szCs w:val="20"/>
          <w:color w:val="auto"/>
        </w:rPr>
      </w:pPr>
      <w:r>
        <w:rPr>
          <w:rFonts w:ascii="Arial" w:cs="Arial" w:eastAsia="Arial" w:hAnsi="Arial"/>
          <w:sz w:val="21"/>
          <w:szCs w:val="21"/>
          <w:b w:val="1"/>
          <w:bCs w:val="1"/>
          <w:color w:val="auto"/>
        </w:rPr>
        <w:t xml:space="preserve">1.12 </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either Party: (a) the sale of all or substantially all of such Party’s assets</w:t>
      </w:r>
      <w:r>
        <w:rPr>
          <w:rFonts w:ascii="Arial" w:cs="Arial" w:eastAsia="Arial" w:hAnsi="Arial"/>
          <w:sz w:val="21"/>
          <w:szCs w:val="21"/>
          <w:b w:val="1"/>
          <w:bCs w:val="1"/>
          <w:color w:val="auto"/>
        </w:rPr>
        <w:t xml:space="preserve"> </w:t>
      </w:r>
      <w:r>
        <w:rPr>
          <w:rFonts w:ascii="Arial" w:cs="Arial" w:eastAsia="Arial" w:hAnsi="Arial"/>
          <w:sz w:val="21"/>
          <w:szCs w:val="21"/>
          <w:color w:val="auto"/>
        </w:rPr>
        <w:t>or business relating to this Agreement (other than to an Affiliate of such Party); (b) a merger, reorganization, or consolidation involving such Party in which the voting securities of such Party outstanding immediately prior thereto cease to represent at least fifty percent (50%) of the combined voting power of the surviving entity immediately after such merger, reorganization, or consolidation; or (c) a Person, or group of Persons, acting in concert acquire more than fifty percent (50%) of the voting equity securities or management control of such Party, but excluding in each case (i) any transaction or series of related transactions in which such Party issues securities to investors primarily for capital raising purposes and (ii) any initial public offering of such Party.</w:t>
      </w:r>
    </w:p>
    <w:p>
      <w:pPr>
        <w:spacing w:after="0" w:line="154"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1.13 </w:t>
      </w:r>
      <w:r>
        <w:rPr>
          <w:rFonts w:ascii="Arial" w:cs="Arial" w:eastAsia="Arial" w:hAnsi="Arial"/>
          <w:sz w:val="21"/>
          <w:szCs w:val="21"/>
          <w:color w:val="auto"/>
        </w:rPr>
        <w:t>“</w:t>
      </w:r>
      <w:r>
        <w:rPr>
          <w:rFonts w:ascii="Arial" w:cs="Arial" w:eastAsia="Arial" w:hAnsi="Arial"/>
          <w:sz w:val="21"/>
          <w:szCs w:val="21"/>
          <w:b w:val="1"/>
          <w:bCs w:val="1"/>
          <w:color w:val="auto"/>
        </w:rPr>
        <w:t>Clinical Trial</w:t>
      </w:r>
      <w:r>
        <w:rPr>
          <w:rFonts w:ascii="Arial" w:cs="Arial" w:eastAsia="Arial" w:hAnsi="Arial"/>
          <w:sz w:val="21"/>
          <w:szCs w:val="21"/>
          <w:color w:val="auto"/>
        </w:rPr>
        <w:t>” means a Phase 1 Clinical Trial, Phase 2 Clinical Trial, Phase 3 Clinical Trial, Phase 4 Clinical</w:t>
      </w:r>
      <w:r>
        <w:rPr>
          <w:rFonts w:ascii="Arial" w:cs="Arial" w:eastAsia="Arial" w:hAnsi="Arial"/>
          <w:sz w:val="21"/>
          <w:szCs w:val="21"/>
          <w:b w:val="1"/>
          <w:bCs w:val="1"/>
          <w:color w:val="auto"/>
        </w:rPr>
        <w:t xml:space="preserve"> </w:t>
      </w:r>
      <w:r>
        <w:rPr>
          <w:rFonts w:ascii="Arial" w:cs="Arial" w:eastAsia="Arial" w:hAnsi="Arial"/>
          <w:sz w:val="21"/>
          <w:szCs w:val="21"/>
          <w:color w:val="auto"/>
        </w:rPr>
        <w:t>Trial, or Pivotal Clinical Trial, or any combination thereof.</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color w:val="auto"/>
        </w:rPr>
        <w:t>“</w:t>
      </w:r>
      <w:r>
        <w:rPr>
          <w:rFonts w:ascii="Arial" w:cs="Arial" w:eastAsia="Arial" w:hAnsi="Arial"/>
          <w:sz w:val="21"/>
          <w:szCs w:val="21"/>
          <w:b w:val="1"/>
          <w:bCs w:val="1"/>
          <w:color w:val="auto"/>
        </w:rPr>
        <w:t>CMC Information</w:t>
      </w:r>
      <w:r>
        <w:rPr>
          <w:rFonts w:ascii="Arial" w:cs="Arial" w:eastAsia="Arial" w:hAnsi="Arial"/>
          <w:sz w:val="21"/>
          <w:szCs w:val="21"/>
          <w:color w:val="auto"/>
        </w:rPr>
        <w:t>” means Information related to the chemistry, manufacturing and controls of the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Products, as specified by the FDA, NMPA and other applicable Regulatory Authorities.</w:t>
      </w:r>
    </w:p>
    <w:p>
      <w:pPr>
        <w:spacing w:after="0" w:line="139"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20"/>
          <w:szCs w:val="20"/>
          <w:b w:val="1"/>
          <w:bCs w:val="1"/>
          <w:color w:val="auto"/>
        </w:rPr>
        <w:t xml:space="preserve">1.15 </w:t>
      </w:r>
      <w:r>
        <w:rPr>
          <w:rFonts w:ascii="Arial" w:cs="Arial" w:eastAsia="Arial" w:hAnsi="Arial"/>
          <w:sz w:val="20"/>
          <w:szCs w:val="20"/>
          <w:color w:val="auto"/>
        </w:rPr>
        <w:t>“</w:t>
      </w:r>
      <w:r>
        <w:rPr>
          <w:rFonts w:ascii="Arial" w:cs="Arial" w:eastAsia="Arial" w:hAnsi="Arial"/>
          <w:sz w:val="20"/>
          <w:szCs w:val="20"/>
          <w:b w:val="1"/>
          <w:bCs w:val="1"/>
          <w:color w:val="auto"/>
        </w:rPr>
        <w:t>Commercialization</w:t>
      </w:r>
      <w:r>
        <w:rPr>
          <w:rFonts w:ascii="Arial" w:cs="Arial" w:eastAsia="Arial" w:hAnsi="Arial"/>
          <w:sz w:val="20"/>
          <w:szCs w:val="20"/>
          <w:color w:val="auto"/>
        </w:rPr>
        <w:t>” means all activities undertaken before and after obtaining Regulatory Approvals relating</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specifically to the pre-launch, launch, promotion, detailing, medical education and medical liaison activities, marketing, pricing, reimbursement, sale, and distribution of Licensed Products, including strategic marketing, sales force detailing,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93" w:right="339" w:bottom="1440" w:gutter="0" w:footer="0" w:header="0"/>
        </w:sectPr>
      </w:pPr>
    </w:p>
    <w:bookmarkStart w:id="143" w:name="page144"/>
    <w:bookmarkEnd w:id="143"/>
    <w:p>
      <w:pPr>
        <w:jc w:val="both"/>
        <w:spacing w:after="0" w:line="227" w:lineRule="auto"/>
        <w:rPr>
          <w:sz w:val="20"/>
          <w:szCs w:val="20"/>
          <w:color w:val="auto"/>
        </w:rPr>
      </w:pPr>
      <w:r>
        <w:rPr>
          <w:rFonts w:ascii="Arial" w:cs="Arial" w:eastAsia="Arial" w:hAnsi="Arial"/>
          <w:sz w:val="21"/>
          <w:szCs w:val="21"/>
          <w:color w:val="auto"/>
        </w:rPr>
        <w:t xml:space="preserve">advertising, market Licensed Product support, all customer support, Licensed Product distribution, and invoicing and sales activities; </w:t>
      </w:r>
      <w:r>
        <w:rPr>
          <w:rFonts w:ascii="Arial" w:cs="Arial" w:eastAsia="Arial" w:hAnsi="Arial"/>
          <w:sz w:val="21"/>
          <w:szCs w:val="21"/>
          <w:i w:val="1"/>
          <w:iCs w:val="1"/>
          <w:color w:val="auto"/>
        </w:rPr>
        <w:t>provided, however</w:t>
      </w:r>
      <w:r>
        <w:rPr>
          <w:rFonts w:ascii="Arial" w:cs="Arial" w:eastAsia="Arial" w:hAnsi="Arial"/>
          <w:sz w:val="21"/>
          <w:szCs w:val="21"/>
          <w:color w:val="auto"/>
        </w:rPr>
        <w:t>, “</w:t>
      </w:r>
      <w:r>
        <w:rPr>
          <w:rFonts w:ascii="Arial" w:cs="Arial" w:eastAsia="Arial" w:hAnsi="Arial"/>
          <w:sz w:val="21"/>
          <w:szCs w:val="21"/>
          <w:b w:val="1"/>
          <w:bCs w:val="1"/>
          <w:color w:val="auto"/>
        </w:rPr>
        <w:t>Commercialization</w:t>
      </w:r>
      <w:r>
        <w:rPr>
          <w:rFonts w:ascii="Arial" w:cs="Arial" w:eastAsia="Arial" w:hAnsi="Arial"/>
          <w:sz w:val="21"/>
          <w:szCs w:val="21"/>
          <w:color w:val="auto"/>
        </w:rPr>
        <w:t>” shall exclude any activities relating to the Manufacture or Development of Licensed Product. “</w:t>
      </w:r>
      <w:r>
        <w:rPr>
          <w:rFonts w:ascii="Arial" w:cs="Arial" w:eastAsia="Arial" w:hAnsi="Arial"/>
          <w:sz w:val="21"/>
          <w:szCs w:val="21"/>
          <w:b w:val="1"/>
          <w:bCs w:val="1"/>
          <w:color w:val="auto"/>
        </w:rPr>
        <w:t>Commercialize</w:t>
      </w:r>
      <w:r>
        <w:rPr>
          <w:rFonts w:ascii="Arial" w:cs="Arial" w:eastAsia="Arial" w:hAnsi="Arial"/>
          <w:sz w:val="21"/>
          <w:szCs w:val="21"/>
          <w:color w:val="auto"/>
        </w:rPr>
        <w:t>” and “</w:t>
      </w:r>
      <w:r>
        <w:rPr>
          <w:rFonts w:ascii="Arial" w:cs="Arial" w:eastAsia="Arial" w:hAnsi="Arial"/>
          <w:sz w:val="21"/>
          <w:szCs w:val="21"/>
          <w:b w:val="1"/>
          <w:bCs w:val="1"/>
          <w:color w:val="auto"/>
        </w:rPr>
        <w:t>Commercializing</w:t>
      </w:r>
      <w:r>
        <w:rPr>
          <w:rFonts w:ascii="Arial" w:cs="Arial" w:eastAsia="Arial" w:hAnsi="Arial"/>
          <w:sz w:val="21"/>
          <w:szCs w:val="21"/>
          <w:color w:val="auto"/>
        </w:rPr>
        <w:t>” shall have the correlative meanings. For clarity, “</w:t>
      </w:r>
      <w:r>
        <w:rPr>
          <w:rFonts w:ascii="Arial" w:cs="Arial" w:eastAsia="Arial" w:hAnsi="Arial"/>
          <w:sz w:val="21"/>
          <w:szCs w:val="21"/>
          <w:b w:val="1"/>
          <w:bCs w:val="1"/>
          <w:color w:val="auto"/>
        </w:rPr>
        <w:t>Commercialization</w:t>
      </w:r>
      <w:r>
        <w:rPr>
          <w:rFonts w:ascii="Arial" w:cs="Arial" w:eastAsia="Arial" w:hAnsi="Arial"/>
          <w:sz w:val="21"/>
          <w:szCs w:val="21"/>
          <w:color w:val="auto"/>
        </w:rPr>
        <w:t>” shall exclude all activities undertaken in connection with Voluntary Phase 4 Clinical Trials.</w:t>
      </w:r>
    </w:p>
    <w:p>
      <w:pPr>
        <w:spacing w:after="0" w:line="154" w:lineRule="exact"/>
        <w:rPr>
          <w:sz w:val="20"/>
          <w:szCs w:val="20"/>
          <w:color w:val="auto"/>
        </w:rPr>
      </w:pPr>
    </w:p>
    <w:p>
      <w:pPr>
        <w:jc w:val="both"/>
        <w:ind w:firstLine="644"/>
        <w:spacing w:after="0" w:line="224" w:lineRule="auto"/>
        <w:rPr>
          <w:sz w:val="20"/>
          <w:szCs w:val="20"/>
          <w:color w:val="auto"/>
        </w:rPr>
      </w:pPr>
      <w:r>
        <w:rPr>
          <w:rFonts w:ascii="Arial" w:cs="Arial" w:eastAsia="Arial" w:hAnsi="Arial"/>
          <w:sz w:val="21"/>
          <w:szCs w:val="21"/>
          <w:b w:val="1"/>
          <w:bCs w:val="1"/>
          <w:color w:val="auto"/>
        </w:rPr>
        <w:t xml:space="preserve">1.16 </w:t>
      </w:r>
      <w:r>
        <w:rPr>
          <w:rFonts w:ascii="Arial" w:cs="Arial" w:eastAsia="Arial" w:hAnsi="Arial"/>
          <w:sz w:val="21"/>
          <w:szCs w:val="21"/>
          <w:color w:val="auto"/>
        </w:rPr>
        <w:t>“</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means, with respect to either Party’s obligations under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carrying out of such obligations with a level of efforts and resources consistent with the commercially reasonable practices of a similarly situated company in the pharmaceutical industry for the active and diligent commercialization of a similarly situated branded pharmaceutical product as the Licensed Product at a similar stage of commercialization, taking into account efficacy, safety, present and future market potential, competitive market conditions, the profitability of the product in light of pricing and reimbursement issues, and all other relevant factors.</w:t>
      </w:r>
    </w:p>
    <w:p>
      <w:pPr>
        <w:spacing w:after="0" w:line="151"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1.17 </w:t>
      </w:r>
      <w:r>
        <w:rPr>
          <w:rFonts w:ascii="Arial" w:cs="Arial" w:eastAsia="Arial" w:hAnsi="Arial"/>
          <w:sz w:val="21"/>
          <w:szCs w:val="21"/>
          <w:color w:val="auto"/>
        </w:rPr>
        <w:t>“</w:t>
      </w:r>
      <w:r>
        <w:rPr>
          <w:rFonts w:ascii="Arial" w:cs="Arial" w:eastAsia="Arial" w:hAnsi="Arial"/>
          <w:sz w:val="21"/>
          <w:szCs w:val="21"/>
          <w:b w:val="1"/>
          <w:bCs w:val="1"/>
          <w:color w:val="auto"/>
        </w:rPr>
        <w:t>Common Technical Document</w:t>
      </w:r>
      <w:r>
        <w:rPr>
          <w:rFonts w:ascii="Arial" w:cs="Arial" w:eastAsia="Arial" w:hAnsi="Arial"/>
          <w:sz w:val="21"/>
          <w:szCs w:val="21"/>
          <w:color w:val="auto"/>
        </w:rPr>
        <w:t>” or “</w:t>
      </w:r>
      <w:r>
        <w:rPr>
          <w:rFonts w:ascii="Arial" w:cs="Arial" w:eastAsia="Arial" w:hAnsi="Arial"/>
          <w:sz w:val="21"/>
          <w:szCs w:val="21"/>
          <w:b w:val="1"/>
          <w:bCs w:val="1"/>
          <w:color w:val="auto"/>
        </w:rPr>
        <w:t>CTD</w:t>
      </w:r>
      <w:r>
        <w:rPr>
          <w:rFonts w:ascii="Arial" w:cs="Arial" w:eastAsia="Arial" w:hAnsi="Arial"/>
          <w:sz w:val="21"/>
          <w:szCs w:val="21"/>
          <w:color w:val="auto"/>
        </w:rPr>
        <w:t>” means a set of specifications for application dossier adopted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ICH for organizing applications of pharmaceuticals for human use to Regulatory Authorities.</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1.18 </w:t>
      </w:r>
      <w:r>
        <w:rPr>
          <w:rFonts w:ascii="Arial" w:cs="Arial" w:eastAsia="Arial" w:hAnsi="Arial"/>
          <w:sz w:val="21"/>
          <w:szCs w:val="21"/>
          <w:color w:val="auto"/>
        </w:rPr>
        <w:t>“</w:t>
      </w:r>
      <w:r>
        <w:rPr>
          <w:rFonts w:ascii="Arial" w:cs="Arial" w:eastAsia="Arial" w:hAnsi="Arial"/>
          <w:sz w:val="21"/>
          <w:szCs w:val="21"/>
          <w:b w:val="1"/>
          <w:bCs w:val="1"/>
          <w:color w:val="auto"/>
        </w:rPr>
        <w:t>Competing Product</w:t>
      </w:r>
      <w:r>
        <w:rPr>
          <w:rFonts w:ascii="Arial" w:cs="Arial" w:eastAsia="Arial" w:hAnsi="Arial"/>
          <w:sz w:val="21"/>
          <w:szCs w:val="21"/>
          <w:color w:val="auto"/>
        </w:rPr>
        <w:t>” means any [***], other than a Licensed Product, that is intended or approved by a</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Authority for [***] in humans.</w:t>
      </w:r>
    </w:p>
    <w:p>
      <w:pPr>
        <w:spacing w:after="0" w:line="139" w:lineRule="exact"/>
        <w:rPr>
          <w:sz w:val="20"/>
          <w:szCs w:val="20"/>
          <w:color w:val="auto"/>
        </w:rPr>
      </w:pPr>
    </w:p>
    <w:p>
      <w:pPr>
        <w:jc w:val="both"/>
        <w:ind w:firstLine="644"/>
        <w:spacing w:after="0" w:line="226" w:lineRule="auto"/>
        <w:rPr>
          <w:sz w:val="20"/>
          <w:szCs w:val="20"/>
          <w:color w:val="auto"/>
        </w:rPr>
      </w:pPr>
      <w:r>
        <w:rPr>
          <w:rFonts w:ascii="Arial" w:cs="Arial" w:eastAsia="Arial" w:hAnsi="Arial"/>
          <w:sz w:val="21"/>
          <w:szCs w:val="21"/>
          <w:b w:val="1"/>
          <w:bCs w:val="1"/>
          <w:color w:val="auto"/>
        </w:rPr>
        <w:t xml:space="preserve">1.19 </w:t>
      </w: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of a Party means any and all Information of such Party or its Affiliates that is</w:t>
      </w:r>
      <w:r>
        <w:rPr>
          <w:rFonts w:ascii="Arial" w:cs="Arial" w:eastAsia="Arial" w:hAnsi="Arial"/>
          <w:sz w:val="21"/>
          <w:szCs w:val="21"/>
          <w:b w:val="1"/>
          <w:bCs w:val="1"/>
          <w:color w:val="auto"/>
        </w:rPr>
        <w:t xml:space="preserve"> </w:t>
      </w:r>
      <w:r>
        <w:rPr>
          <w:rFonts w:ascii="Arial" w:cs="Arial" w:eastAsia="Arial" w:hAnsi="Arial"/>
          <w:sz w:val="21"/>
          <w:szCs w:val="21"/>
          <w:color w:val="auto"/>
        </w:rPr>
        <w:t>disclosed to the other Party or its Affiliates under this Agreement. In addition, all Information disclosed by a Party or on behalf of its Affiliates pursuant to the confidentiality agreement between the Parties dated [***] (the “</w:t>
      </w:r>
      <w:r>
        <w:rPr>
          <w:rFonts w:ascii="Arial" w:cs="Arial" w:eastAsia="Arial" w:hAnsi="Arial"/>
          <w:sz w:val="21"/>
          <w:szCs w:val="21"/>
          <w:b w:val="1"/>
          <w:bCs w:val="1"/>
          <w:color w:val="auto"/>
        </w:rPr>
        <w:t>Confidentiality Agreement</w:t>
      </w:r>
      <w:r>
        <w:rPr>
          <w:rFonts w:ascii="Arial" w:cs="Arial" w:eastAsia="Arial" w:hAnsi="Arial"/>
          <w:sz w:val="21"/>
          <w:szCs w:val="21"/>
          <w:color w:val="auto"/>
        </w:rPr>
        <w:t>”) shall be deemed to be Confidential Information of such Party disclosed hereunder. For clarity, Keros Licensed Know-How shall be deemed Confidential Information of Keros.</w:t>
      </w:r>
    </w:p>
    <w:p>
      <w:pPr>
        <w:spacing w:after="0" w:line="151" w:lineRule="exact"/>
        <w:rPr>
          <w:sz w:val="20"/>
          <w:szCs w:val="20"/>
          <w:color w:val="auto"/>
        </w:rPr>
      </w:pPr>
    </w:p>
    <w:p>
      <w:pPr>
        <w:jc w:val="both"/>
        <w:ind w:firstLine="644"/>
        <w:spacing w:after="0" w:line="230" w:lineRule="auto"/>
        <w:rPr>
          <w:sz w:val="20"/>
          <w:szCs w:val="20"/>
          <w:color w:val="auto"/>
        </w:rPr>
      </w:pPr>
      <w:r>
        <w:rPr>
          <w:rFonts w:ascii="Arial" w:cs="Arial" w:eastAsia="Arial" w:hAnsi="Arial"/>
          <w:sz w:val="20"/>
          <w:szCs w:val="20"/>
          <w:b w:val="1"/>
          <w:bCs w:val="1"/>
          <w:color w:val="auto"/>
        </w:rPr>
        <w:t xml:space="preserve">1.20 </w:t>
      </w: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means, with respect to any material, Information, Patent or other intellectual property right, possession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of the right, whether directly or indirectly, and whether by ownership, license, or otherwise, to grant a license, sublicense, or other right to or under, such material, Information, Patent, or intellectual property right without violating the terms of any existing agreement or other arrangement with any Third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with respect to any material, Information, Patent or other intellectual property right obtained by a Party after the Effective Date from a Third Party, such Party shall be deemed to Control such material, Information, Patent or other intellectual property right only if it possesses the right to grant such license, sublicense, or other right thereto without being obligated to pay any royalties or other consideration therefor, except that where access to or the use of any such material, Information, Patent or other intellectual property right of a Third Party requires or triggers a payment obligation by such Party, such material, Information, Patent or other intellectual property right shall only be Controlled by such Party in the circumstances set out in Section 2.7.</w:t>
      </w:r>
    </w:p>
    <w:p>
      <w:pPr>
        <w:spacing w:after="0" w:line="158" w:lineRule="exact"/>
        <w:rPr>
          <w:sz w:val="20"/>
          <w:szCs w:val="20"/>
          <w:color w:val="auto"/>
        </w:rPr>
      </w:pPr>
    </w:p>
    <w:p>
      <w:pPr>
        <w:jc w:val="both"/>
        <w:ind w:firstLine="644"/>
        <w:spacing w:after="0" w:line="258" w:lineRule="auto"/>
        <w:rPr>
          <w:sz w:val="20"/>
          <w:szCs w:val="20"/>
          <w:color w:val="auto"/>
        </w:rPr>
      </w:pPr>
      <w:r>
        <w:rPr>
          <w:rFonts w:ascii="Arial" w:cs="Arial" w:eastAsia="Arial" w:hAnsi="Arial"/>
          <w:sz w:val="19"/>
          <w:szCs w:val="19"/>
          <w:b w:val="1"/>
          <w:bCs w:val="1"/>
          <w:color w:val="auto"/>
        </w:rPr>
        <w:t xml:space="preserve">1.21 </w:t>
      </w:r>
      <w:r>
        <w:rPr>
          <w:rFonts w:ascii="Arial" w:cs="Arial" w:eastAsia="Arial" w:hAnsi="Arial"/>
          <w:sz w:val="19"/>
          <w:szCs w:val="19"/>
          <w:color w:val="auto"/>
        </w:rPr>
        <w:t>“</w:t>
      </w:r>
      <w:r>
        <w:rPr>
          <w:rFonts w:ascii="Arial" w:cs="Arial" w:eastAsia="Arial" w:hAnsi="Arial"/>
          <w:sz w:val="19"/>
          <w:szCs w:val="19"/>
          <w:b w:val="1"/>
          <w:bCs w:val="1"/>
          <w:color w:val="auto"/>
        </w:rPr>
        <w:t>Cover</w:t>
      </w:r>
      <w:r>
        <w:rPr>
          <w:rFonts w:ascii="Arial" w:cs="Arial" w:eastAsia="Arial" w:hAnsi="Arial"/>
          <w:sz w:val="19"/>
          <w:szCs w:val="19"/>
          <w:color w:val="auto"/>
        </w:rPr>
        <w:t>” means, with respect to a Patent and a Licensed Product, that the Manufacture, use, offer for sale, sale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importation of such Licensed Product, absent a license to such Patent or Licensed Product, would infringe a Valid Claim in such Patent;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determining whether a claim of a pending Patent application would be infringed, it shall be treated as if issued in the form then currently being prosecuted. “</w:t>
      </w:r>
      <w:r>
        <w:rPr>
          <w:rFonts w:ascii="Arial" w:cs="Arial" w:eastAsia="Arial" w:hAnsi="Arial"/>
          <w:sz w:val="19"/>
          <w:szCs w:val="19"/>
          <w:b w:val="1"/>
          <w:bCs w:val="1"/>
          <w:color w:val="auto"/>
        </w:rPr>
        <w:t>Covered</w:t>
      </w:r>
      <w:r>
        <w:rPr>
          <w:rFonts w:ascii="Arial" w:cs="Arial" w:eastAsia="Arial" w:hAnsi="Arial"/>
          <w:sz w:val="19"/>
          <w:szCs w:val="19"/>
          <w:color w:val="auto"/>
        </w:rPr>
        <w:t>” and “</w:t>
      </w:r>
      <w:r>
        <w:rPr>
          <w:rFonts w:ascii="Arial" w:cs="Arial" w:eastAsia="Arial" w:hAnsi="Arial"/>
          <w:sz w:val="19"/>
          <w:szCs w:val="19"/>
          <w:b w:val="1"/>
          <w:bCs w:val="1"/>
          <w:color w:val="auto"/>
        </w:rPr>
        <w:t>Covering</w:t>
      </w:r>
      <w:r>
        <w:rPr>
          <w:rFonts w:ascii="Arial" w:cs="Arial" w:eastAsia="Arial" w:hAnsi="Arial"/>
          <w:sz w:val="19"/>
          <w:szCs w:val="19"/>
          <w:color w:val="auto"/>
        </w:rPr>
        <w:t>” shall have the correlative meanings.</w:t>
      </w:r>
    </w:p>
    <w:p>
      <w:pPr>
        <w:spacing w:after="0" w:line="134"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1.22 </w:t>
      </w:r>
      <w:r>
        <w:rPr>
          <w:rFonts w:ascii="Arial" w:cs="Arial" w:eastAsia="Arial" w:hAnsi="Arial"/>
          <w:sz w:val="21"/>
          <w:szCs w:val="21"/>
          <w:color w:val="auto"/>
        </w:rPr>
        <w:t>“</w:t>
      </w:r>
      <w:r>
        <w:rPr>
          <w:rFonts w:ascii="Arial" w:cs="Arial" w:eastAsia="Arial" w:hAnsi="Arial"/>
          <w:sz w:val="21"/>
          <w:szCs w:val="21"/>
          <w:b w:val="1"/>
          <w:bCs w:val="1"/>
          <w:color w:val="auto"/>
        </w:rPr>
        <w:t>CTA</w:t>
      </w:r>
      <w:r>
        <w:rPr>
          <w:rFonts w:ascii="Arial" w:cs="Arial" w:eastAsia="Arial" w:hAnsi="Arial"/>
          <w:sz w:val="21"/>
          <w:szCs w:val="21"/>
          <w:color w:val="auto"/>
        </w:rPr>
        <w:t>” means a Clinical Trial Application which provides comprehensive information about the investigational</w:t>
      </w:r>
      <w:r>
        <w:rPr>
          <w:rFonts w:ascii="Arial" w:cs="Arial" w:eastAsia="Arial" w:hAnsi="Arial"/>
          <w:sz w:val="21"/>
          <w:szCs w:val="21"/>
          <w:b w:val="1"/>
          <w:bCs w:val="1"/>
          <w:color w:val="auto"/>
        </w:rPr>
        <w:t xml:space="preserve"> </w:t>
      </w:r>
      <w:r>
        <w:rPr>
          <w:rFonts w:ascii="Arial" w:cs="Arial" w:eastAsia="Arial" w:hAnsi="Arial"/>
          <w:sz w:val="21"/>
          <w:szCs w:val="21"/>
          <w:color w:val="auto"/>
        </w:rPr>
        <w:t>medicinal product(s) and planned trial, enabling a Regulatory Authority to assess the acceptability of conducting the applicable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93" w:right="339" w:bottom="1440" w:gutter="0" w:footer="0" w:header="0"/>
        </w:sectPr>
      </w:pPr>
    </w:p>
    <w:bookmarkStart w:id="144" w:name="page145"/>
    <w:bookmarkEnd w:id="144"/>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1.23 </w:t>
      </w:r>
      <w:r>
        <w:rPr>
          <w:rFonts w:ascii="Arial" w:cs="Arial" w:eastAsia="Arial" w:hAnsi="Arial"/>
          <w:sz w:val="21"/>
          <w:szCs w:val="21"/>
          <w:color w:val="auto"/>
        </w:rPr>
        <w:t>“</w:t>
      </w:r>
      <w:r>
        <w:rPr>
          <w:rFonts w:ascii="Arial" w:cs="Arial" w:eastAsia="Arial" w:hAnsi="Arial"/>
          <w:sz w:val="21"/>
          <w:szCs w:val="21"/>
          <w:b w:val="1"/>
          <w:bCs w:val="1"/>
          <w:color w:val="auto"/>
        </w:rPr>
        <w:t>Data</w:t>
      </w:r>
      <w:r>
        <w:rPr>
          <w:rFonts w:ascii="Arial" w:cs="Arial" w:eastAsia="Arial" w:hAnsi="Arial"/>
          <w:sz w:val="21"/>
          <w:szCs w:val="21"/>
          <w:color w:val="auto"/>
        </w:rPr>
        <w:t>” means all data, including CMC data, non-clinical data, preclinical data and clinical data, generated by or on</w:t>
      </w:r>
      <w:r>
        <w:rPr>
          <w:rFonts w:ascii="Arial" w:cs="Arial" w:eastAsia="Arial" w:hAnsi="Arial"/>
          <w:sz w:val="21"/>
          <w:szCs w:val="21"/>
          <w:b w:val="1"/>
          <w:bCs w:val="1"/>
          <w:color w:val="auto"/>
        </w:rPr>
        <w:t xml:space="preserve"> </w:t>
      </w:r>
      <w:r>
        <w:rPr>
          <w:rFonts w:ascii="Arial" w:cs="Arial" w:eastAsia="Arial" w:hAnsi="Arial"/>
          <w:sz w:val="21"/>
          <w:szCs w:val="21"/>
          <w:color w:val="auto"/>
        </w:rPr>
        <w:t>behalf of a Party or its Affiliates or their respective sublicensees pursuant to activities conducted under this Agreement. For clarity, Data does not include any patentable inventions.</w:t>
      </w:r>
    </w:p>
    <w:p>
      <w:pPr>
        <w:spacing w:after="0" w:line="153" w:lineRule="exact"/>
        <w:rPr>
          <w:sz w:val="20"/>
          <w:szCs w:val="20"/>
          <w:color w:val="auto"/>
        </w:rPr>
      </w:pPr>
    </w:p>
    <w:p>
      <w:pPr>
        <w:jc w:val="both"/>
        <w:ind w:firstLine="644"/>
        <w:spacing w:after="0" w:line="233" w:lineRule="auto"/>
        <w:rPr>
          <w:sz w:val="20"/>
          <w:szCs w:val="20"/>
          <w:color w:val="auto"/>
        </w:rPr>
      </w:pPr>
      <w:r>
        <w:rPr>
          <w:rFonts w:ascii="Arial" w:cs="Arial" w:eastAsia="Arial" w:hAnsi="Arial"/>
          <w:sz w:val="20"/>
          <w:szCs w:val="20"/>
          <w:b w:val="1"/>
          <w:bCs w:val="1"/>
          <w:color w:val="auto"/>
        </w:rPr>
        <w:t xml:space="preserve">1.24 </w:t>
      </w:r>
      <w:r>
        <w:rPr>
          <w:rFonts w:ascii="Arial" w:cs="Arial" w:eastAsia="Arial" w:hAnsi="Arial"/>
          <w:sz w:val="20"/>
          <w:szCs w:val="20"/>
          <w:color w:val="auto"/>
        </w:rPr>
        <w:t>“</w:t>
      </w:r>
      <w:r>
        <w:rPr>
          <w:rFonts w:ascii="Arial" w:cs="Arial" w:eastAsia="Arial" w:hAnsi="Arial"/>
          <w:sz w:val="20"/>
          <w:szCs w:val="20"/>
          <w:b w:val="1"/>
          <w:bCs w:val="1"/>
          <w:color w:val="auto"/>
        </w:rPr>
        <w:t>Development</w:t>
      </w:r>
      <w:r>
        <w:rPr>
          <w:rFonts w:ascii="Arial" w:cs="Arial" w:eastAsia="Arial" w:hAnsi="Arial"/>
          <w:sz w:val="20"/>
          <w:szCs w:val="20"/>
          <w:color w:val="auto"/>
        </w:rPr>
        <w:t>” means all activities conducted after the Effective Date relating to preclinical and clinical trials,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toxicology testing, statistical analysis, publication and presentation of study results with respect to Licensed Products, and the reporting, preparation and submission of regulatory applications (including any CMC Information) solely for obtaining, registering and maintaining Regulatory Approval of Licensed Products, including the conduct of Phase 4 Clinical Trials;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w:t>
      </w:r>
      <w:r>
        <w:rPr>
          <w:rFonts w:ascii="Arial" w:cs="Arial" w:eastAsia="Arial" w:hAnsi="Arial"/>
          <w:sz w:val="20"/>
          <w:szCs w:val="20"/>
          <w:b w:val="1"/>
          <w:bCs w:val="1"/>
          <w:color w:val="auto"/>
        </w:rPr>
        <w:t>Development</w:t>
      </w:r>
      <w:r>
        <w:rPr>
          <w:rFonts w:ascii="Arial" w:cs="Arial" w:eastAsia="Arial" w:hAnsi="Arial"/>
          <w:sz w:val="20"/>
          <w:szCs w:val="20"/>
          <w:color w:val="auto"/>
        </w:rPr>
        <w:t>” shall exclude any activities relating to the Manufacture of Licensed Product or Commercialization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the Licensed Product. “</w:t>
      </w:r>
      <w:r>
        <w:rPr>
          <w:rFonts w:ascii="Arial" w:cs="Arial" w:eastAsia="Arial" w:hAnsi="Arial"/>
          <w:sz w:val="20"/>
          <w:szCs w:val="20"/>
          <w:b w:val="1"/>
          <w:bCs w:val="1"/>
          <w:color w:val="auto"/>
        </w:rPr>
        <w:t>Develop</w:t>
      </w:r>
      <w:r>
        <w:rPr>
          <w:rFonts w:ascii="Arial" w:cs="Arial" w:eastAsia="Arial" w:hAnsi="Arial"/>
          <w:sz w:val="20"/>
          <w:szCs w:val="20"/>
          <w:color w:val="auto"/>
        </w:rPr>
        <w:t>” and “</w:t>
      </w:r>
      <w:r>
        <w:rPr>
          <w:rFonts w:ascii="Arial" w:cs="Arial" w:eastAsia="Arial" w:hAnsi="Arial"/>
          <w:sz w:val="20"/>
          <w:szCs w:val="20"/>
          <w:b w:val="1"/>
          <w:bCs w:val="1"/>
          <w:color w:val="auto"/>
        </w:rPr>
        <w:t>Developing</w:t>
      </w:r>
      <w:r>
        <w:rPr>
          <w:rFonts w:ascii="Arial" w:cs="Arial" w:eastAsia="Arial" w:hAnsi="Arial"/>
          <w:sz w:val="20"/>
          <w:szCs w:val="20"/>
          <w:color w:val="auto"/>
        </w:rPr>
        <w:t>” shall have the correlative meanings. For clarity, “</w:t>
      </w:r>
      <w:r>
        <w:rPr>
          <w:rFonts w:ascii="Arial" w:cs="Arial" w:eastAsia="Arial" w:hAnsi="Arial"/>
          <w:sz w:val="20"/>
          <w:szCs w:val="20"/>
          <w:b w:val="1"/>
          <w:bCs w:val="1"/>
          <w:color w:val="auto"/>
        </w:rPr>
        <w:t>Development</w:t>
      </w:r>
      <w:r>
        <w:rPr>
          <w:rFonts w:ascii="Arial" w:cs="Arial" w:eastAsia="Arial" w:hAnsi="Arial"/>
          <w:sz w:val="20"/>
          <w:szCs w:val="20"/>
          <w:color w:val="auto"/>
        </w:rPr>
        <w:t>” shall include all activities undertaken in connection with Voluntary Phase 4 Clinical Trials.</w:t>
      </w:r>
    </w:p>
    <w:p>
      <w:pPr>
        <w:spacing w:after="0" w:line="155"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1.25 </w:t>
      </w:r>
      <w:r>
        <w:rPr>
          <w:rFonts w:ascii="Arial" w:cs="Arial" w:eastAsia="Arial" w:hAnsi="Arial"/>
          <w:sz w:val="21"/>
          <w:szCs w:val="21"/>
          <w:color w:val="auto"/>
        </w:rPr>
        <w:t>“</w:t>
      </w:r>
      <w:r>
        <w:rPr>
          <w:rFonts w:ascii="Arial" w:cs="Arial" w:eastAsia="Arial" w:hAnsi="Arial"/>
          <w:sz w:val="21"/>
          <w:szCs w:val="21"/>
          <w:b w:val="1"/>
          <w:bCs w:val="1"/>
          <w:color w:val="auto"/>
        </w:rPr>
        <w:t>Divest</w:t>
      </w:r>
      <w:r>
        <w:rPr>
          <w:rFonts w:ascii="Arial" w:cs="Arial" w:eastAsia="Arial" w:hAnsi="Arial"/>
          <w:sz w:val="21"/>
          <w:szCs w:val="21"/>
          <w:color w:val="auto"/>
        </w:rPr>
        <w:t>” means, for purposes of Section 2.5, the sale or transfer of rights to the Competing Program to a Third</w:t>
      </w:r>
      <w:r>
        <w:rPr>
          <w:rFonts w:ascii="Arial" w:cs="Arial" w:eastAsia="Arial" w:hAnsi="Arial"/>
          <w:sz w:val="21"/>
          <w:szCs w:val="21"/>
          <w:b w:val="1"/>
          <w:bCs w:val="1"/>
          <w:color w:val="auto"/>
        </w:rPr>
        <w:t xml:space="preserve"> </w:t>
      </w:r>
      <w:r>
        <w:rPr>
          <w:rFonts w:ascii="Arial" w:cs="Arial" w:eastAsia="Arial" w:hAnsi="Arial"/>
          <w:sz w:val="21"/>
          <w:szCs w:val="21"/>
          <w:color w:val="auto"/>
        </w:rPr>
        <w:t>Party where neither the assigning Party nor its assignee have the right to engage, and neither the assigning Party nor its assignee in fact engage, in any management, governance or decision-making activities in connection with such Competing Program in the Hansoh Territory. “</w:t>
      </w:r>
      <w:r>
        <w:rPr>
          <w:rFonts w:ascii="Arial" w:cs="Arial" w:eastAsia="Arial" w:hAnsi="Arial"/>
          <w:sz w:val="21"/>
          <w:szCs w:val="21"/>
          <w:b w:val="1"/>
          <w:bCs w:val="1"/>
          <w:color w:val="auto"/>
        </w:rPr>
        <w:t>Divestiture</w:t>
      </w:r>
      <w:r>
        <w:rPr>
          <w:rFonts w:ascii="Arial" w:cs="Arial" w:eastAsia="Arial" w:hAnsi="Arial"/>
          <w:sz w:val="21"/>
          <w:szCs w:val="21"/>
          <w:color w:val="auto"/>
        </w:rPr>
        <w:t>” shall have the correlative meaning.</w:t>
      </w:r>
    </w:p>
    <w:p>
      <w:pPr>
        <w:spacing w:after="0" w:line="15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Executive Officers</w:t>
      </w:r>
      <w:r>
        <w:rPr>
          <w:rFonts w:ascii="Arial" w:cs="Arial" w:eastAsia="Arial" w:hAnsi="Arial"/>
          <w:sz w:val="19"/>
          <w:szCs w:val="19"/>
          <w:color w:val="auto"/>
        </w:rPr>
        <w:t>” means [***] of Keros and [***] of Hansoh or their respective successors or designees.</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entity thereto.</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any treatment, prevention, palliation, and/or diagnosis of any disease or conditions in humans.</w:t>
      </w:r>
    </w:p>
    <w:p>
      <w:pPr>
        <w:spacing w:after="0" w:line="188"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20"/>
          <w:szCs w:val="20"/>
          <w:b w:val="1"/>
          <w:bCs w:val="1"/>
          <w:color w:val="auto"/>
        </w:rPr>
        <w:t xml:space="preserve">1.29 </w:t>
      </w:r>
      <w:r>
        <w:rPr>
          <w:rFonts w:ascii="Arial" w:cs="Arial" w:eastAsia="Arial" w:hAnsi="Arial"/>
          <w:sz w:val="20"/>
          <w:szCs w:val="20"/>
          <w:color w:val="auto"/>
        </w:rPr>
        <w:t>“</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the first commercial transfer or disposition for monetary value of a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in the Hansoh Territory to a Third Party after Regulatory Approval for the Licensed Product and the applicable Indication has been obtained in the Hansoh Territory, excluding any off-label use of such Licensed Product for such Indication.</w:t>
      </w:r>
    </w:p>
    <w:p>
      <w:pPr>
        <w:spacing w:after="0" w:line="143"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1.30 </w:t>
      </w:r>
      <w:r>
        <w:rPr>
          <w:rFonts w:ascii="Arial" w:cs="Arial" w:eastAsia="Arial" w:hAnsi="Arial"/>
          <w:sz w:val="21"/>
          <w:szCs w:val="21"/>
          <w:color w:val="auto"/>
        </w:rPr>
        <w:t>“</w:t>
      </w:r>
      <w:r>
        <w:rPr>
          <w:rFonts w:ascii="Arial" w:cs="Arial" w:eastAsia="Arial" w:hAnsi="Arial"/>
          <w:sz w:val="21"/>
          <w:szCs w:val="21"/>
          <w:b w:val="1"/>
          <w:bCs w:val="1"/>
          <w:color w:val="auto"/>
        </w:rPr>
        <w:t>FTE</w:t>
      </w:r>
      <w:r>
        <w:rPr>
          <w:rFonts w:ascii="Arial" w:cs="Arial" w:eastAsia="Arial" w:hAnsi="Arial"/>
          <w:sz w:val="21"/>
          <w:szCs w:val="21"/>
          <w:color w:val="auto"/>
        </w:rPr>
        <w:t>” means the equivalent of the work of one appropriately qualified individual working on a full-time basis in</w:t>
      </w:r>
      <w:r>
        <w:rPr>
          <w:rFonts w:ascii="Arial" w:cs="Arial" w:eastAsia="Arial" w:hAnsi="Arial"/>
          <w:sz w:val="21"/>
          <w:szCs w:val="21"/>
          <w:b w:val="1"/>
          <w:bCs w:val="1"/>
          <w:color w:val="auto"/>
        </w:rPr>
        <w:t xml:space="preserve"> </w:t>
      </w:r>
      <w:r>
        <w:rPr>
          <w:rFonts w:ascii="Arial" w:cs="Arial" w:eastAsia="Arial" w:hAnsi="Arial"/>
          <w:sz w:val="21"/>
          <w:szCs w:val="21"/>
          <w:color w:val="auto"/>
        </w:rPr>
        <w:t>performing work in connection with this Agreement for a [***] period (consisting of at least a total of [***] per year of dedicated effort related to scientific, technical or operational work (excluding administrative services)).</w:t>
      </w:r>
    </w:p>
    <w:p>
      <w:pPr>
        <w:spacing w:after="0" w:line="153"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1.31 </w:t>
      </w:r>
      <w:r>
        <w:rPr>
          <w:rFonts w:ascii="Arial" w:cs="Arial" w:eastAsia="Arial" w:hAnsi="Arial"/>
          <w:sz w:val="21"/>
          <w:szCs w:val="21"/>
          <w:color w:val="auto"/>
        </w:rPr>
        <w:t>“</w:t>
      </w:r>
      <w:r>
        <w:rPr>
          <w:rFonts w:ascii="Arial" w:cs="Arial" w:eastAsia="Arial" w:hAnsi="Arial"/>
          <w:sz w:val="21"/>
          <w:szCs w:val="21"/>
          <w:b w:val="1"/>
          <w:bCs w:val="1"/>
          <w:color w:val="auto"/>
        </w:rPr>
        <w:t>FTE Costs</w:t>
      </w:r>
      <w:r>
        <w:rPr>
          <w:rFonts w:ascii="Arial" w:cs="Arial" w:eastAsia="Arial" w:hAnsi="Arial"/>
          <w:sz w:val="21"/>
          <w:szCs w:val="21"/>
          <w:color w:val="auto"/>
        </w:rPr>
        <w:t>” means the applicable FTE rate multiplied by the number of FTEs applied by a Party to the</w:t>
      </w:r>
      <w:r>
        <w:rPr>
          <w:rFonts w:ascii="Arial" w:cs="Arial" w:eastAsia="Arial" w:hAnsi="Arial"/>
          <w:sz w:val="21"/>
          <w:szCs w:val="21"/>
          <w:b w:val="1"/>
          <w:bCs w:val="1"/>
          <w:color w:val="auto"/>
        </w:rPr>
        <w:t xml:space="preserve"> </w:t>
      </w:r>
      <w:r>
        <w:rPr>
          <w:rFonts w:ascii="Arial" w:cs="Arial" w:eastAsia="Arial" w:hAnsi="Arial"/>
          <w:sz w:val="21"/>
          <w:szCs w:val="21"/>
          <w:color w:val="auto"/>
        </w:rPr>
        <w:t>performance of the relevant activity.</w:t>
      </w:r>
    </w:p>
    <w:p>
      <w:pPr>
        <w:spacing w:after="0" w:line="136"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1"/>
          <w:szCs w:val="21"/>
          <w:b w:val="1"/>
          <w:bCs w:val="1"/>
          <w:color w:val="auto"/>
        </w:rPr>
        <w:t>1.32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Fully Burdened Manufacturing Cost</w:t>
      </w:r>
      <w:r>
        <w:rPr>
          <w:rFonts w:ascii="Arial" w:cs="Arial" w:eastAsia="Arial" w:hAnsi="Arial"/>
          <w:sz w:val="20"/>
          <w:szCs w:val="20"/>
          <w:color w:val="auto"/>
        </w:rPr>
        <w:t>” means, with respect to any Licensed Product supplied by or on behalf of</w:t>
      </w:r>
    </w:p>
    <w:p>
      <w:pPr>
        <w:spacing w:after="0"/>
        <w:rPr>
          <w:sz w:val="20"/>
          <w:szCs w:val="20"/>
          <w:color w:val="auto"/>
        </w:rPr>
      </w:pPr>
      <w:r>
        <w:rPr>
          <w:rFonts w:ascii="Arial" w:cs="Arial" w:eastAsia="Arial" w:hAnsi="Arial"/>
          <w:sz w:val="21"/>
          <w:szCs w:val="21"/>
          <w:color w:val="auto"/>
        </w:rPr>
        <w:t>Keros hereunder:</w:t>
      </w:r>
    </w:p>
    <w:p>
      <w:pPr>
        <w:spacing w:after="0" w:line="170" w:lineRule="exact"/>
        <w:rPr>
          <w:sz w:val="20"/>
          <w:szCs w:val="20"/>
          <w:color w:val="auto"/>
        </w:rPr>
      </w:pPr>
    </w:p>
    <w:p>
      <w:pPr>
        <w:ind w:left="1760" w:hanging="464"/>
        <w:spacing w:after="0"/>
        <w:tabs>
          <w:tab w:leader="none" w:pos="1760" w:val="left"/>
        </w:tabs>
        <w:numPr>
          <w:ilvl w:val="0"/>
          <w:numId w:val="81"/>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ind w:left="1780" w:hanging="484"/>
        <w:spacing w:after="0"/>
        <w:tabs>
          <w:tab w:leader="none" w:pos="1780" w:val="left"/>
        </w:tabs>
        <w:numPr>
          <w:ilvl w:val="0"/>
          <w:numId w:val="81"/>
        </w:numPr>
        <w:rPr>
          <w:rFonts w:ascii="Arial" w:cs="Arial" w:eastAsia="Arial" w:hAnsi="Arial"/>
          <w:sz w:val="21"/>
          <w:szCs w:val="21"/>
          <w:b w:val="1"/>
          <w:bCs w:val="1"/>
          <w:color w:val="auto"/>
        </w:rPr>
      </w:pPr>
      <w:r>
        <w:rPr>
          <w:rFonts w:ascii="Arial" w:cs="Arial" w:eastAsia="Arial" w:hAnsi="Arial"/>
          <w:sz w:val="21"/>
          <w:szCs w:val="21"/>
          <w:color w:val="auto"/>
        </w:rPr>
        <w:t>[***]. Such fully burdened costs shall be calculated in accordance with Accounting Standards.</w:t>
      </w:r>
    </w:p>
    <w:p>
      <w:pPr>
        <w:spacing w:after="0" w:line="182"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1.33 </w:t>
      </w:r>
      <w:r>
        <w:rPr>
          <w:rFonts w:ascii="Arial" w:cs="Arial" w:eastAsia="Arial" w:hAnsi="Arial"/>
          <w:sz w:val="21"/>
          <w:szCs w:val="21"/>
          <w:color w:val="auto"/>
        </w:rPr>
        <w:t>“</w:t>
      </w:r>
      <w:r>
        <w:rPr>
          <w:rFonts w:ascii="Arial" w:cs="Arial" w:eastAsia="Arial" w:hAnsi="Arial"/>
          <w:sz w:val="21"/>
          <w:szCs w:val="21"/>
          <w:b w:val="1"/>
          <w:bCs w:val="1"/>
          <w:color w:val="auto"/>
        </w:rPr>
        <w:t>GCP</w:t>
      </w:r>
      <w:r>
        <w:rPr>
          <w:rFonts w:ascii="Arial" w:cs="Arial" w:eastAsia="Arial" w:hAnsi="Arial"/>
          <w:sz w:val="21"/>
          <w:szCs w:val="21"/>
          <w:color w:val="auto"/>
        </w:rPr>
        <w:t>” or “</w:t>
      </w:r>
      <w:r>
        <w:rPr>
          <w:rFonts w:ascii="Arial" w:cs="Arial" w:eastAsia="Arial" w:hAnsi="Arial"/>
          <w:sz w:val="21"/>
          <w:szCs w:val="21"/>
          <w:b w:val="1"/>
          <w:bCs w:val="1"/>
          <w:color w:val="auto"/>
        </w:rPr>
        <w:t>Good Clinical Practices</w:t>
      </w:r>
      <w:r>
        <w:rPr>
          <w:rFonts w:ascii="Arial" w:cs="Arial" w:eastAsia="Arial" w:hAnsi="Arial"/>
          <w:sz w:val="21"/>
          <w:szCs w:val="21"/>
          <w:color w:val="auto"/>
        </w:rPr>
        <w:t>” means the then-current standards, practices and procedures promulgated or</w:t>
      </w:r>
      <w:r>
        <w:rPr>
          <w:rFonts w:ascii="Arial" w:cs="Arial" w:eastAsia="Arial" w:hAnsi="Arial"/>
          <w:sz w:val="21"/>
          <w:szCs w:val="21"/>
          <w:b w:val="1"/>
          <w:bCs w:val="1"/>
          <w:color w:val="auto"/>
        </w:rPr>
        <w:t xml:space="preserve"> </w:t>
      </w:r>
      <w:r>
        <w:rPr>
          <w:rFonts w:ascii="Arial" w:cs="Arial" w:eastAsia="Arial" w:hAnsi="Arial"/>
          <w:sz w:val="21"/>
          <w:szCs w:val="21"/>
          <w:color w:val="auto"/>
        </w:rPr>
        <w:t>endorsed by the FDA as set forth in the guidelines entitled “Guidance for Industry E6 Good Clinical Practice: Consolidated Guidance,” including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87" w:right="339" w:bottom="1440" w:gutter="0" w:footer="0" w:header="0"/>
        </w:sectPr>
      </w:pPr>
    </w:p>
    <w:bookmarkStart w:id="145" w:name="page146"/>
    <w:bookmarkEnd w:id="145"/>
    <w:p>
      <w:pPr>
        <w:jc w:val="both"/>
        <w:spacing w:after="0" w:line="232" w:lineRule="auto"/>
        <w:rPr>
          <w:sz w:val="20"/>
          <w:szCs w:val="20"/>
          <w:color w:val="auto"/>
        </w:rPr>
      </w:pPr>
      <w:r>
        <w:rPr>
          <w:rFonts w:ascii="Arial" w:cs="Arial" w:eastAsia="Arial" w:hAnsi="Arial"/>
          <w:sz w:val="21"/>
          <w:szCs w:val="21"/>
          <w:color w:val="auto"/>
        </w:rPr>
        <w:t>regulatory requirements imposed by the FDA and comparable regulatory standards, practices and procedures promulgated by the NMPA or other Regulatory Authority applicable to the Hansoh Territory, as they may be updated from time to time, including applicable quality guidelines promulgated under the ICH.</w:t>
      </w:r>
    </w:p>
    <w:p>
      <w:pPr>
        <w:spacing w:after="0" w:line="153" w:lineRule="exact"/>
        <w:rPr>
          <w:sz w:val="20"/>
          <w:szCs w:val="20"/>
          <w:color w:val="auto"/>
        </w:rPr>
      </w:pPr>
    </w:p>
    <w:p>
      <w:pPr>
        <w:jc w:val="both"/>
        <w:ind w:firstLine="644"/>
        <w:spacing w:after="0" w:line="220" w:lineRule="auto"/>
        <w:rPr>
          <w:sz w:val="20"/>
          <w:szCs w:val="20"/>
          <w:color w:val="auto"/>
        </w:rPr>
      </w:pPr>
      <w:r>
        <w:rPr>
          <w:rFonts w:ascii="Arial" w:cs="Arial" w:eastAsia="Arial" w:hAnsi="Arial"/>
          <w:sz w:val="21"/>
          <w:szCs w:val="21"/>
          <w:b w:val="1"/>
          <w:bCs w:val="1"/>
          <w:color w:val="auto"/>
        </w:rPr>
        <w:t xml:space="preserve">1.34 </w:t>
      </w:r>
      <w:r>
        <w:rPr>
          <w:rFonts w:ascii="Arial" w:cs="Arial" w:eastAsia="Arial" w:hAnsi="Arial"/>
          <w:sz w:val="21"/>
          <w:szCs w:val="21"/>
          <w:color w:val="auto"/>
        </w:rPr>
        <w:t>“</w:t>
      </w:r>
      <w:r>
        <w:rPr>
          <w:rFonts w:ascii="Arial" w:cs="Arial" w:eastAsia="Arial" w:hAnsi="Arial"/>
          <w:sz w:val="21"/>
          <w:szCs w:val="21"/>
          <w:b w:val="1"/>
          <w:bCs w:val="1"/>
          <w:color w:val="auto"/>
        </w:rPr>
        <w:t>Generic Product</w:t>
      </w:r>
      <w:r>
        <w:rPr>
          <w:rFonts w:ascii="Arial" w:cs="Arial" w:eastAsia="Arial" w:hAnsi="Arial"/>
          <w:sz w:val="21"/>
          <w:szCs w:val="21"/>
          <w:color w:val="auto"/>
        </w:rPr>
        <w:t>” means, with respect to a Licensed Product in a Region, any product that (a)(i) contains the</w:t>
      </w:r>
      <w:r>
        <w:rPr>
          <w:rFonts w:ascii="Arial" w:cs="Arial" w:eastAsia="Arial" w:hAnsi="Arial"/>
          <w:sz w:val="21"/>
          <w:szCs w:val="21"/>
          <w:b w:val="1"/>
          <w:bCs w:val="1"/>
          <w:color w:val="auto"/>
        </w:rPr>
        <w:t xml:space="preserve"> </w:t>
      </w:r>
      <w:r>
        <w:rPr>
          <w:rFonts w:ascii="Arial" w:cs="Arial" w:eastAsia="Arial" w:hAnsi="Arial"/>
          <w:sz w:val="21"/>
          <w:szCs w:val="21"/>
          <w:color w:val="auto"/>
        </w:rPr>
        <w:t>same or similar active pharmaceutical ingredient(s) as such Licensed Product and (ii) qualifies as a generic or is bioequivalent to and exchangeable with the Licensed Product, as determined by the applicable Regulatory Authority under the Applicable Laws in such Region, (b) has received Regulatory Approval for use in such Region from the relevant Regulatory Authority in such Region, where such Regulatory Approval relied on or incorporated the Regulatory Approval for such Licensed Product in such Region or any clinical data contained in such Regulatory Approval, (c) during the Royalty Term is not owned or licensed by Hansoh under this Agreement; and (d) is sold in the same Region as the relevant Licensed Product by a Third Party that is not a sublicensee or Affiliate of Hansoh and that did not purchase such product in a chain of distribution that included Hansoh or its Affiliates or its or their sublicensees.</w:t>
      </w:r>
    </w:p>
    <w:p>
      <w:pPr>
        <w:spacing w:after="0" w:line="155"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1.35 </w:t>
      </w:r>
      <w:r>
        <w:rPr>
          <w:rFonts w:ascii="Arial" w:cs="Arial" w:eastAsia="Arial" w:hAnsi="Arial"/>
          <w:sz w:val="21"/>
          <w:szCs w:val="21"/>
          <w:color w:val="auto"/>
        </w:rPr>
        <w:t>“</w:t>
      </w:r>
      <w:r>
        <w:rPr>
          <w:rFonts w:ascii="Arial" w:cs="Arial" w:eastAsia="Arial" w:hAnsi="Arial"/>
          <w:sz w:val="21"/>
          <w:szCs w:val="21"/>
          <w:b w:val="1"/>
          <w:bCs w:val="1"/>
          <w:color w:val="auto"/>
        </w:rPr>
        <w:t>GLP</w:t>
      </w:r>
      <w:r>
        <w:rPr>
          <w:rFonts w:ascii="Arial" w:cs="Arial" w:eastAsia="Arial" w:hAnsi="Arial"/>
          <w:sz w:val="21"/>
          <w:szCs w:val="21"/>
          <w:color w:val="auto"/>
        </w:rPr>
        <w:t>” or “</w:t>
      </w:r>
      <w:r>
        <w:rPr>
          <w:rFonts w:ascii="Arial" w:cs="Arial" w:eastAsia="Arial" w:hAnsi="Arial"/>
          <w:sz w:val="21"/>
          <w:szCs w:val="21"/>
          <w:b w:val="1"/>
          <w:bCs w:val="1"/>
          <w:color w:val="auto"/>
        </w:rPr>
        <w:t>Good Laboratory Practices</w:t>
      </w:r>
      <w:r>
        <w:rPr>
          <w:rFonts w:ascii="Arial" w:cs="Arial" w:eastAsia="Arial" w:hAnsi="Arial"/>
          <w:sz w:val="21"/>
          <w:szCs w:val="21"/>
          <w:color w:val="auto"/>
        </w:rPr>
        <w:t>” means the then-current good laboratory practice standards promulgated</w:t>
      </w:r>
      <w:r>
        <w:rPr>
          <w:rFonts w:ascii="Arial" w:cs="Arial" w:eastAsia="Arial" w:hAnsi="Arial"/>
          <w:sz w:val="21"/>
          <w:szCs w:val="21"/>
          <w:b w:val="1"/>
          <w:bCs w:val="1"/>
          <w:color w:val="auto"/>
        </w:rPr>
        <w:t xml:space="preserve"> </w:t>
      </w:r>
      <w:r>
        <w:rPr>
          <w:rFonts w:ascii="Arial" w:cs="Arial" w:eastAsia="Arial" w:hAnsi="Arial"/>
          <w:sz w:val="21"/>
          <w:szCs w:val="21"/>
          <w:color w:val="auto"/>
        </w:rPr>
        <w:t>or endorsed by the FDA as defined in 21 C.F.R. Part 58, and comparable regulatory standards promulgated by NMPA or other Regulatory Authority applicable to the Hansoh Territory, as may be updated from time to time, including applicable quality guidelines promulgated under the ICH.</w:t>
      </w:r>
    </w:p>
    <w:p>
      <w:pPr>
        <w:spacing w:after="0" w:line="152"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1.36 </w:t>
      </w:r>
      <w:r>
        <w:rPr>
          <w:rFonts w:ascii="Arial" w:cs="Arial" w:eastAsia="Arial" w:hAnsi="Arial"/>
          <w:sz w:val="21"/>
          <w:szCs w:val="21"/>
          <w:color w:val="auto"/>
        </w:rPr>
        <w:t>“</w:t>
      </w:r>
      <w:r>
        <w:rPr>
          <w:rFonts w:ascii="Arial" w:cs="Arial" w:eastAsia="Arial" w:hAnsi="Arial"/>
          <w:sz w:val="21"/>
          <w:szCs w:val="21"/>
          <w:b w:val="1"/>
          <w:bCs w:val="1"/>
          <w:color w:val="auto"/>
        </w:rPr>
        <w:t>Government Official</w:t>
      </w:r>
      <w:r>
        <w:rPr>
          <w:rFonts w:ascii="Arial" w:cs="Arial" w:eastAsia="Arial" w:hAnsi="Arial"/>
          <w:sz w:val="21"/>
          <w:szCs w:val="21"/>
          <w:color w:val="auto"/>
        </w:rPr>
        <w:t>” means (a) any official or employee of any Governmental Authority, or any department,</w:t>
      </w:r>
      <w:r>
        <w:rPr>
          <w:rFonts w:ascii="Arial" w:cs="Arial" w:eastAsia="Arial" w:hAnsi="Arial"/>
          <w:sz w:val="21"/>
          <w:szCs w:val="21"/>
          <w:b w:val="1"/>
          <w:bCs w:val="1"/>
          <w:color w:val="auto"/>
        </w:rPr>
        <w:t xml:space="preserve"> </w:t>
      </w:r>
      <w:r>
        <w:rPr>
          <w:rFonts w:ascii="Arial" w:cs="Arial" w:eastAsia="Arial" w:hAnsi="Arial"/>
          <w:sz w:val="21"/>
          <w:szCs w:val="21"/>
          <w:color w:val="auto"/>
        </w:rPr>
        <w:t>agency, or instrumentality thereof (including without limitation commercial entities owned or controlled, directly or indirectly, by a Governmental Authority), (b) any political party or official thereof, or any candidate for political office, or (c) any official or employee of any public international organization.</w:t>
      </w:r>
    </w:p>
    <w:p>
      <w:pPr>
        <w:spacing w:after="0" w:line="152"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1.37 </w:t>
      </w: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multi-national, national, federal, state, local, municipal, provincial or other</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governmental authority of any nature (including any governmental division, prefecture, subdivision, department, agency, bureau, branch, office, commission, council, court or other tribunal).</w:t>
      </w:r>
    </w:p>
    <w:p>
      <w:pPr>
        <w:spacing w:after="0" w:line="15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Hansoh Patents</w:t>
      </w:r>
      <w:r>
        <w:rPr>
          <w:rFonts w:ascii="Arial" w:cs="Arial" w:eastAsia="Arial" w:hAnsi="Arial"/>
          <w:sz w:val="19"/>
          <w:szCs w:val="19"/>
          <w:color w:val="auto"/>
        </w:rPr>
        <w:t>” means any Patents that claim Hansoh Inventions.</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Hansoh Technology</w:t>
      </w:r>
      <w:r>
        <w:rPr>
          <w:rFonts w:ascii="Arial" w:cs="Arial" w:eastAsia="Arial" w:hAnsi="Arial"/>
          <w:sz w:val="19"/>
          <w:szCs w:val="19"/>
          <w:color w:val="auto"/>
        </w:rPr>
        <w:t>” means Hansoh Inventions and Hansoh Patents.</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Hansoh Territory</w:t>
      </w:r>
      <w:r>
        <w:rPr>
          <w:rFonts w:ascii="Arial" w:cs="Arial" w:eastAsia="Arial" w:hAnsi="Arial"/>
          <w:sz w:val="19"/>
          <w:szCs w:val="19"/>
          <w:color w:val="auto"/>
        </w:rPr>
        <w:t>” means, collectively, mainland China, Hong Kong and Macau (each a “</w:t>
      </w:r>
      <w:r>
        <w:rPr>
          <w:rFonts w:ascii="Arial" w:cs="Arial" w:eastAsia="Arial" w:hAnsi="Arial"/>
          <w:sz w:val="19"/>
          <w:szCs w:val="19"/>
          <w:b w:val="1"/>
          <w:bCs w:val="1"/>
          <w:color w:val="auto"/>
        </w:rPr>
        <w:t>Region</w:t>
      </w:r>
      <w:r>
        <w:rPr>
          <w:rFonts w:ascii="Arial" w:cs="Arial" w:eastAsia="Arial" w:hAnsi="Arial"/>
          <w:sz w:val="19"/>
          <w:szCs w:val="19"/>
          <w:color w:val="auto"/>
        </w:rPr>
        <w:t>”).</w:t>
      </w:r>
    </w:p>
    <w:p>
      <w:pPr>
        <w:spacing w:after="0" w:line="188" w:lineRule="exact"/>
        <w:rPr>
          <w:sz w:val="20"/>
          <w:szCs w:val="20"/>
          <w:color w:val="auto"/>
        </w:rPr>
      </w:pPr>
    </w:p>
    <w:p>
      <w:pPr>
        <w:jc w:val="both"/>
        <w:ind w:right="20" w:firstLine="644"/>
        <w:spacing w:after="0" w:line="251" w:lineRule="auto"/>
        <w:rPr>
          <w:sz w:val="20"/>
          <w:szCs w:val="20"/>
          <w:color w:val="auto"/>
        </w:rPr>
      </w:pPr>
      <w:r>
        <w:rPr>
          <w:rFonts w:ascii="Arial" w:cs="Arial" w:eastAsia="Arial" w:hAnsi="Arial"/>
          <w:sz w:val="21"/>
          <w:szCs w:val="21"/>
          <w:b w:val="1"/>
          <w:bCs w:val="1"/>
          <w:color w:val="auto"/>
        </w:rPr>
        <w:t xml:space="preserve">1.41 </w:t>
      </w:r>
      <w:r>
        <w:rPr>
          <w:rFonts w:ascii="Arial" w:cs="Arial" w:eastAsia="Arial" w:hAnsi="Arial"/>
          <w:sz w:val="21"/>
          <w:szCs w:val="21"/>
          <w:color w:val="auto"/>
        </w:rPr>
        <w:t>“</w:t>
      </w:r>
      <w:r>
        <w:rPr>
          <w:rFonts w:ascii="Arial" w:cs="Arial" w:eastAsia="Arial" w:hAnsi="Arial"/>
          <w:sz w:val="21"/>
          <w:szCs w:val="21"/>
          <w:b w:val="1"/>
          <w:bCs w:val="1"/>
          <w:color w:val="auto"/>
        </w:rPr>
        <w:t>ICH</w:t>
      </w:r>
      <w:r>
        <w:rPr>
          <w:rFonts w:ascii="Arial" w:cs="Arial" w:eastAsia="Arial" w:hAnsi="Arial"/>
          <w:sz w:val="21"/>
          <w:szCs w:val="21"/>
          <w:color w:val="auto"/>
        </w:rPr>
        <w:t>” means International Conference on Harmonization of Technical Requirements for Registration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Pharmaceuticals for Human Use.</w:t>
      </w:r>
    </w:p>
    <w:p>
      <w:pPr>
        <w:spacing w:after="0" w:line="139"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1.42 </w:t>
      </w:r>
      <w:r>
        <w:rPr>
          <w:rFonts w:ascii="Arial" w:cs="Arial" w:eastAsia="Arial" w:hAnsi="Arial"/>
          <w:sz w:val="21"/>
          <w:szCs w:val="21"/>
          <w:color w:val="auto"/>
        </w:rPr>
        <w:t>“</w:t>
      </w:r>
      <w:r>
        <w:rPr>
          <w:rFonts w:ascii="Arial" w:cs="Arial" w:eastAsia="Arial" w:hAnsi="Arial"/>
          <w:sz w:val="21"/>
          <w:szCs w:val="21"/>
          <w:b w:val="1"/>
          <w:bCs w:val="1"/>
          <w:color w:val="auto"/>
        </w:rPr>
        <w:t>IND</w:t>
      </w:r>
      <w:r>
        <w:rPr>
          <w:rFonts w:ascii="Arial" w:cs="Arial" w:eastAsia="Arial" w:hAnsi="Arial"/>
          <w:sz w:val="21"/>
          <w:szCs w:val="21"/>
          <w:color w:val="auto"/>
        </w:rPr>
        <w:t>” means an investigational new drug application, clinical study application, clinical trial exemption, or similar</w:t>
      </w:r>
      <w:r>
        <w:rPr>
          <w:rFonts w:ascii="Arial" w:cs="Arial" w:eastAsia="Arial" w:hAnsi="Arial"/>
          <w:sz w:val="21"/>
          <w:szCs w:val="21"/>
          <w:b w:val="1"/>
          <w:bCs w:val="1"/>
          <w:color w:val="auto"/>
        </w:rPr>
        <w:t xml:space="preserve"> </w:t>
      </w:r>
      <w:r>
        <w:rPr>
          <w:rFonts w:ascii="Arial" w:cs="Arial" w:eastAsia="Arial" w:hAnsi="Arial"/>
          <w:sz w:val="21"/>
          <w:szCs w:val="21"/>
          <w:color w:val="auto"/>
        </w:rPr>
        <w:t>application or submission filed with or submitted to a Regulatory Authority in a jurisdiction that is necessary to commence human clinical trials in such jurisdiction, including any such application filed with the FDA pursuant to 21 C.F.R. Part 312 or its foreign equivalent.</w:t>
      </w:r>
    </w:p>
    <w:p>
      <w:pPr>
        <w:spacing w:after="0" w:line="152"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1.43 </w:t>
      </w:r>
      <w:r>
        <w:rPr>
          <w:rFonts w:ascii="Arial" w:cs="Arial" w:eastAsia="Arial" w:hAnsi="Arial"/>
          <w:sz w:val="21"/>
          <w:szCs w:val="21"/>
          <w:color w:val="auto"/>
        </w:rPr>
        <w:t>“</w:t>
      </w:r>
      <w:r>
        <w:rPr>
          <w:rFonts w:ascii="Arial" w:cs="Arial" w:eastAsia="Arial" w:hAnsi="Arial"/>
          <w:sz w:val="21"/>
          <w:szCs w:val="21"/>
          <w:b w:val="1"/>
          <w:bCs w:val="1"/>
          <w:color w:val="auto"/>
        </w:rPr>
        <w:t>Indication</w:t>
      </w:r>
      <w:r>
        <w:rPr>
          <w:rFonts w:ascii="Arial" w:cs="Arial" w:eastAsia="Arial" w:hAnsi="Arial"/>
          <w:sz w:val="21"/>
          <w:szCs w:val="21"/>
          <w:color w:val="auto"/>
        </w:rPr>
        <w:t>” means a separately defined, well-categorized class of human disease, disorder, illness, or health</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for which a separate MAA (including any extensions or supplements) is required to be filed with a Regulatory Authority. For clarity, if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93" w:right="339" w:bottom="1440" w:gutter="0" w:footer="0" w:header="0"/>
        </w:sectPr>
      </w:pPr>
    </w:p>
    <w:bookmarkStart w:id="146" w:name="page147"/>
    <w:bookmarkEnd w:id="146"/>
    <w:p>
      <w:pPr>
        <w:jc w:val="both"/>
        <w:spacing w:after="0" w:line="269" w:lineRule="auto"/>
        <w:rPr>
          <w:sz w:val="20"/>
          <w:szCs w:val="20"/>
          <w:color w:val="auto"/>
        </w:rPr>
      </w:pPr>
      <w:r>
        <w:rPr>
          <w:rFonts w:ascii="Arial" w:cs="Arial" w:eastAsia="Arial" w:hAnsi="Arial"/>
          <w:sz w:val="20"/>
          <w:szCs w:val="20"/>
          <w:color w:val="auto"/>
        </w:rPr>
        <w:t>MAA is approved for a Licensed Product in a particular Indication and patient population, a label expansion for such Licensed Product to include such Indication in a different patient population shall not be considered a separate Indication.</w:t>
      </w:r>
    </w:p>
    <w:p>
      <w:pPr>
        <w:spacing w:after="0" w:line="123" w:lineRule="exact"/>
        <w:rPr>
          <w:sz w:val="20"/>
          <w:szCs w:val="20"/>
          <w:color w:val="auto"/>
        </w:rPr>
      </w:pPr>
    </w:p>
    <w:p>
      <w:pPr>
        <w:jc w:val="both"/>
        <w:ind w:firstLine="644"/>
        <w:spacing w:after="0" w:line="221" w:lineRule="auto"/>
        <w:rPr>
          <w:sz w:val="20"/>
          <w:szCs w:val="20"/>
          <w:color w:val="auto"/>
        </w:rPr>
      </w:pPr>
      <w:r>
        <w:rPr>
          <w:rFonts w:ascii="Arial" w:cs="Arial" w:eastAsia="Arial" w:hAnsi="Arial"/>
          <w:sz w:val="21"/>
          <w:szCs w:val="21"/>
          <w:b w:val="1"/>
          <w:bCs w:val="1"/>
          <w:color w:val="auto"/>
        </w:rPr>
        <w:t xml:space="preserve">1.44 </w:t>
      </w:r>
      <w:r>
        <w:rPr>
          <w:rFonts w:ascii="Arial" w:cs="Arial" w:eastAsia="Arial" w:hAnsi="Arial"/>
          <w:sz w:val="21"/>
          <w:szCs w:val="21"/>
          <w:color w:val="auto"/>
        </w:rPr>
        <w:t>“</w:t>
      </w:r>
      <w:r>
        <w:rPr>
          <w:rFonts w:ascii="Arial" w:cs="Arial" w:eastAsia="Arial" w:hAnsi="Arial"/>
          <w:sz w:val="21"/>
          <w:szCs w:val="21"/>
          <w:b w:val="1"/>
          <w:bCs w:val="1"/>
          <w:color w:val="auto"/>
        </w:rPr>
        <w:t>Information</w:t>
      </w:r>
      <w:r>
        <w:rPr>
          <w:rFonts w:ascii="Arial" w:cs="Arial" w:eastAsia="Arial" w:hAnsi="Arial"/>
          <w:sz w:val="21"/>
          <w:szCs w:val="21"/>
          <w:color w:val="auto"/>
        </w:rPr>
        <w:t>” means any data, results, technology, business or financial information or information of any type</w:t>
      </w:r>
      <w:r>
        <w:rPr>
          <w:rFonts w:ascii="Arial" w:cs="Arial" w:eastAsia="Arial" w:hAnsi="Arial"/>
          <w:sz w:val="21"/>
          <w:szCs w:val="21"/>
          <w:b w:val="1"/>
          <w:bCs w:val="1"/>
          <w:color w:val="auto"/>
        </w:rPr>
        <w:t xml:space="preserve"> </w:t>
      </w:r>
      <w:r>
        <w:rPr>
          <w:rFonts w:ascii="Arial" w:cs="Arial" w:eastAsia="Arial" w:hAnsi="Arial"/>
          <w:sz w:val="21"/>
          <w:szCs w:val="21"/>
          <w:color w:val="auto"/>
        </w:rPr>
        <w:t>whatsoever, in any tangible or intangible form, including know-how, copyrights, trade secrets, practices, techniques, materials (including chemicals), biological materials (including expression constructs, nucleic acid sequences, amino acid sequences, and cell lines), methods, processes, inventions (whether patentable or not), developments, specifications, formulae, software, algorithms, marketing reports, expertise, technology, test data (including pharmacological, biological, chemical, biochemical, clinical test data and data resulting from non-clinical studies), analytical and quality control data (including drug stability data), manufacturing technology and data (including formulation data), and sales forecasts, CMC Information, stability data and other study data and procedures.</w:t>
      </w:r>
    </w:p>
    <w:p>
      <w:pPr>
        <w:spacing w:after="0" w:line="154"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1.45 </w:t>
      </w:r>
      <w:r>
        <w:rPr>
          <w:rFonts w:ascii="Arial" w:cs="Arial" w:eastAsia="Arial" w:hAnsi="Arial"/>
          <w:sz w:val="21"/>
          <w:szCs w:val="21"/>
          <w:color w:val="auto"/>
        </w:rPr>
        <w:t>“</w:t>
      </w:r>
      <w:r>
        <w:rPr>
          <w:rFonts w:ascii="Arial" w:cs="Arial" w:eastAsia="Arial" w:hAnsi="Arial"/>
          <w:sz w:val="21"/>
          <w:szCs w:val="21"/>
          <w:b w:val="1"/>
          <w:bCs w:val="1"/>
          <w:color w:val="auto"/>
        </w:rPr>
        <w:t>Initial Indications</w:t>
      </w:r>
      <w:r>
        <w:rPr>
          <w:rFonts w:ascii="Arial" w:cs="Arial" w:eastAsia="Arial" w:hAnsi="Arial"/>
          <w:sz w:val="21"/>
          <w:szCs w:val="21"/>
          <w:color w:val="auto"/>
        </w:rPr>
        <w:t>” means any or all of the following: (a) myelodysplastic syndromes (“</w:t>
      </w:r>
      <w:r>
        <w:rPr>
          <w:rFonts w:ascii="Arial" w:cs="Arial" w:eastAsia="Arial" w:hAnsi="Arial"/>
          <w:sz w:val="21"/>
          <w:szCs w:val="21"/>
          <w:b w:val="1"/>
          <w:bCs w:val="1"/>
          <w:color w:val="auto"/>
        </w:rPr>
        <w:t>MDS</w:t>
      </w:r>
      <w:r>
        <w:rPr>
          <w:rFonts w:ascii="Arial" w:cs="Arial" w:eastAsia="Arial" w:hAnsi="Arial"/>
          <w:sz w:val="21"/>
          <w:szCs w:val="21"/>
          <w:color w:val="auto"/>
        </w:rPr>
        <w:t>”), (b)</w:t>
      </w:r>
      <w:r>
        <w:rPr>
          <w:rFonts w:ascii="Arial" w:cs="Arial" w:eastAsia="Arial" w:hAnsi="Arial"/>
          <w:sz w:val="21"/>
          <w:szCs w:val="21"/>
          <w:b w:val="1"/>
          <w:bCs w:val="1"/>
          <w:color w:val="auto"/>
        </w:rPr>
        <w:t xml:space="preserve"> </w:t>
      </w:r>
      <w:r>
        <w:rPr>
          <w:rFonts w:ascii="Arial" w:cs="Arial" w:eastAsia="Arial" w:hAnsi="Arial"/>
          <w:sz w:val="21"/>
          <w:szCs w:val="21"/>
          <w:color w:val="auto"/>
        </w:rPr>
        <w:t>myelofibrosis, or (c) [***].</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1.46 </w:t>
      </w:r>
      <w:r>
        <w:rPr>
          <w:rFonts w:ascii="Arial" w:cs="Arial" w:eastAsia="Arial" w:hAnsi="Arial"/>
          <w:sz w:val="21"/>
          <w:szCs w:val="21"/>
          <w:color w:val="auto"/>
        </w:rPr>
        <w:t>“</w:t>
      </w:r>
      <w:r>
        <w:rPr>
          <w:rFonts w:ascii="Arial" w:cs="Arial" w:eastAsia="Arial" w:hAnsi="Arial"/>
          <w:sz w:val="21"/>
          <w:szCs w:val="21"/>
          <w:b w:val="1"/>
          <w:bCs w:val="1"/>
          <w:color w:val="auto"/>
        </w:rPr>
        <w:t>Initiation</w:t>
      </w:r>
      <w:r>
        <w:rPr>
          <w:rFonts w:ascii="Arial" w:cs="Arial" w:eastAsia="Arial" w:hAnsi="Arial"/>
          <w:sz w:val="21"/>
          <w:szCs w:val="21"/>
          <w:color w:val="auto"/>
        </w:rPr>
        <w:t>” means, with respect to a Clinical Trial, the first dosing of the first patient or healthy subject in such</w:t>
      </w:r>
      <w:r>
        <w:rPr>
          <w:rFonts w:ascii="Arial" w:cs="Arial" w:eastAsia="Arial" w:hAnsi="Arial"/>
          <w:sz w:val="21"/>
          <w:szCs w:val="21"/>
          <w:b w:val="1"/>
          <w:bCs w:val="1"/>
          <w:color w:val="auto"/>
        </w:rPr>
        <w:t xml:space="preserve"> </w:t>
      </w:r>
      <w:r>
        <w:rPr>
          <w:rFonts w:ascii="Arial" w:cs="Arial" w:eastAsia="Arial" w:hAnsi="Arial"/>
          <w:sz w:val="21"/>
          <w:szCs w:val="21"/>
          <w:color w:val="auto"/>
        </w:rPr>
        <w:t>Clinical Trial.</w:t>
      </w:r>
    </w:p>
    <w:p>
      <w:pPr>
        <w:spacing w:after="0" w:line="139"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9"/>
          <w:szCs w:val="19"/>
          <w:b w:val="1"/>
          <w:bCs w:val="1"/>
          <w:color w:val="auto"/>
        </w:rPr>
        <w:t xml:space="preserve">1.47 </w:t>
      </w:r>
      <w:r>
        <w:rPr>
          <w:rFonts w:ascii="Arial" w:cs="Arial" w:eastAsia="Arial" w:hAnsi="Arial"/>
          <w:sz w:val="19"/>
          <w:szCs w:val="19"/>
          <w:color w:val="auto"/>
        </w:rPr>
        <w:t>“</w:t>
      </w:r>
      <w:r>
        <w:rPr>
          <w:rFonts w:ascii="Arial" w:cs="Arial" w:eastAsia="Arial" w:hAnsi="Arial"/>
          <w:sz w:val="19"/>
          <w:szCs w:val="19"/>
          <w:b w:val="1"/>
          <w:bCs w:val="1"/>
          <w:color w:val="auto"/>
        </w:rPr>
        <w:t>Inventions</w:t>
      </w:r>
      <w:r>
        <w:rPr>
          <w:rFonts w:ascii="Arial" w:cs="Arial" w:eastAsia="Arial" w:hAnsi="Arial"/>
          <w:sz w:val="19"/>
          <w:szCs w:val="19"/>
          <w:color w:val="auto"/>
        </w:rPr>
        <w:t>” means any inventions and/or discoveries, including processes, manufacture, composition of matter,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Information, methods, assays, designs, protocols, and formulas, and improvements or modifications thereof, patentable or otherwise, that are generated, developed, conceived or reduced to practice (constructively or actually) by or on behalf of a Party or its Affiliates or their respective sublicensees (a) pursuant to activities conducted under this Agreement, or (b) in connection with the Development, Manufacture, and Commercialization of Licensed Products, in each case of (a) and (b), including all rights, title and interest in and to the intellectual property rights therein and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Inventions shall exclude Data.</w:t>
      </w:r>
    </w:p>
    <w:p>
      <w:pPr>
        <w:spacing w:after="0" w:line="14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Patents</w:t>
      </w:r>
      <w:r>
        <w:rPr>
          <w:rFonts w:ascii="Arial" w:cs="Arial" w:eastAsia="Arial" w:hAnsi="Arial"/>
          <w:sz w:val="19"/>
          <w:szCs w:val="19"/>
          <w:color w:val="auto"/>
        </w:rPr>
        <w:t>” means any Patents that claim Joint Inventions.</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KER-050</w:t>
      </w:r>
      <w:r>
        <w:rPr>
          <w:rFonts w:ascii="Arial" w:cs="Arial" w:eastAsia="Arial" w:hAnsi="Arial"/>
          <w:sz w:val="19"/>
          <w:szCs w:val="19"/>
          <w:color w:val="auto"/>
        </w:rPr>
        <w:t xml:space="preserve">” means Keros’ proprietary engineered ligand trap as further described in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188" w:lineRule="exact"/>
        <w:rPr>
          <w:sz w:val="20"/>
          <w:szCs w:val="20"/>
          <w:color w:val="auto"/>
        </w:rPr>
      </w:pPr>
    </w:p>
    <w:p>
      <w:pPr>
        <w:jc w:val="both"/>
        <w:ind w:firstLine="644"/>
        <w:spacing w:after="0" w:line="226" w:lineRule="auto"/>
        <w:rPr>
          <w:sz w:val="20"/>
          <w:szCs w:val="20"/>
          <w:color w:val="auto"/>
        </w:rPr>
      </w:pPr>
      <w:r>
        <w:rPr>
          <w:rFonts w:ascii="Arial" w:cs="Arial" w:eastAsia="Arial" w:hAnsi="Arial"/>
          <w:sz w:val="21"/>
          <w:szCs w:val="21"/>
          <w:b w:val="1"/>
          <w:bCs w:val="1"/>
          <w:color w:val="auto"/>
        </w:rPr>
        <w:t xml:space="preserve">1.50 </w:t>
      </w:r>
      <w:r>
        <w:rPr>
          <w:rFonts w:ascii="Arial" w:cs="Arial" w:eastAsia="Arial" w:hAnsi="Arial"/>
          <w:sz w:val="21"/>
          <w:szCs w:val="21"/>
          <w:color w:val="auto"/>
        </w:rPr>
        <w:t>“</w:t>
      </w:r>
      <w:r>
        <w:rPr>
          <w:rFonts w:ascii="Arial" w:cs="Arial" w:eastAsia="Arial" w:hAnsi="Arial"/>
          <w:sz w:val="21"/>
          <w:szCs w:val="21"/>
          <w:b w:val="1"/>
          <w:bCs w:val="1"/>
          <w:color w:val="auto"/>
        </w:rPr>
        <w:t>Keros Licensed Know-How</w:t>
      </w:r>
      <w:r>
        <w:rPr>
          <w:rFonts w:ascii="Arial" w:cs="Arial" w:eastAsia="Arial" w:hAnsi="Arial"/>
          <w:sz w:val="21"/>
          <w:szCs w:val="21"/>
          <w:color w:val="auto"/>
        </w:rPr>
        <w:t>” means all Information (including Data, Regulatory Materials, Joint Inventions and</w:t>
      </w:r>
      <w:r>
        <w:rPr>
          <w:rFonts w:ascii="Arial" w:cs="Arial" w:eastAsia="Arial" w:hAnsi="Arial"/>
          <w:sz w:val="21"/>
          <w:szCs w:val="21"/>
          <w:b w:val="1"/>
          <w:bCs w:val="1"/>
          <w:color w:val="auto"/>
        </w:rPr>
        <w:t xml:space="preserve"> </w:t>
      </w:r>
      <w:r>
        <w:rPr>
          <w:rFonts w:ascii="Arial" w:cs="Arial" w:eastAsia="Arial" w:hAnsi="Arial"/>
          <w:sz w:val="21"/>
          <w:szCs w:val="21"/>
          <w:color w:val="auto"/>
        </w:rPr>
        <w:t>Keros Inventions) that (a) (i) is Controlled by Keros or its Affiliates as of the Effective Date or (ii) becomes Controlled by Keros or its Affiliates during the Term, and (b) is necessary (or reasonably useful and being put to use in connection with or incorporated into the Licensed Product by Keros or its licensees or sublicensees in the Keros Territory) for the Development, Manufacture, or Commercialization of Licensed Products in the Field in the Hansoh Territory.</w:t>
      </w:r>
    </w:p>
    <w:p>
      <w:pPr>
        <w:spacing w:after="0" w:line="151"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1.51 </w:t>
      </w:r>
      <w:r>
        <w:rPr>
          <w:rFonts w:ascii="Arial" w:cs="Arial" w:eastAsia="Arial" w:hAnsi="Arial"/>
          <w:sz w:val="21"/>
          <w:szCs w:val="21"/>
          <w:color w:val="auto"/>
        </w:rPr>
        <w:t>“</w:t>
      </w:r>
      <w:r>
        <w:rPr>
          <w:rFonts w:ascii="Arial" w:cs="Arial" w:eastAsia="Arial" w:hAnsi="Arial"/>
          <w:sz w:val="21"/>
          <w:szCs w:val="21"/>
          <w:b w:val="1"/>
          <w:bCs w:val="1"/>
          <w:color w:val="auto"/>
        </w:rPr>
        <w:t>Keros Licensed Patents</w:t>
      </w:r>
      <w:r>
        <w:rPr>
          <w:rFonts w:ascii="Arial" w:cs="Arial" w:eastAsia="Arial" w:hAnsi="Arial"/>
          <w:sz w:val="21"/>
          <w:szCs w:val="21"/>
          <w:color w:val="auto"/>
        </w:rPr>
        <w:t>” means (a) all Patents that claim Keros Licensed Know-How, including the Patents that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are set forth in </w:t>
      </w:r>
      <w:r>
        <w:rPr>
          <w:rFonts w:ascii="Arial" w:cs="Arial" w:eastAsia="Arial" w:hAnsi="Arial"/>
          <w:sz w:val="21"/>
          <w:szCs w:val="21"/>
          <w:b w:val="1"/>
          <w:bCs w:val="1"/>
          <w:u w:val="single" w:color="auto"/>
          <w:color w:val="auto"/>
        </w:rPr>
        <w:t>Exhibit A</w:t>
      </w:r>
      <w:r>
        <w:rPr>
          <w:rFonts w:ascii="Arial" w:cs="Arial" w:eastAsia="Arial" w:hAnsi="Arial"/>
          <w:sz w:val="21"/>
          <w:szCs w:val="21"/>
          <w:color w:val="auto"/>
        </w:rPr>
        <w:t xml:space="preserve"> and any Patents arising therefrom or claiming priority thereto, and (b) Keros’ interest in the Joint Patents and Keros Patents in the Field in the Hansoh Territory, in each case of (a) and (b) that Cover the Development, Manufacture, or Commercialization of Licensed Products in the Field in the Hansoh Territory.</w:t>
      </w:r>
    </w:p>
    <w:p>
      <w:pPr>
        <w:spacing w:after="0" w:line="15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Keros Patents</w:t>
      </w:r>
      <w:r>
        <w:rPr>
          <w:rFonts w:ascii="Arial" w:cs="Arial" w:eastAsia="Arial" w:hAnsi="Arial"/>
          <w:sz w:val="19"/>
          <w:szCs w:val="19"/>
          <w:color w:val="auto"/>
        </w:rPr>
        <w:t>” means any Patents that claim Keros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93" w:right="339" w:bottom="1440" w:gutter="0" w:footer="0" w:header="0"/>
        </w:sectPr>
      </w:pPr>
    </w:p>
    <w:bookmarkStart w:id="147" w:name="page148"/>
    <w:bookmarkEnd w:id="147"/>
    <w:p>
      <w:pPr>
        <w:ind w:left="660"/>
        <w:spacing w:after="0"/>
        <w:tabs>
          <w:tab w:leader="none" w:pos="1220" w:val="left"/>
        </w:tabs>
        <w:rPr>
          <w:sz w:val="20"/>
          <w:szCs w:val="20"/>
          <w:color w:val="auto"/>
        </w:rPr>
      </w:pPr>
      <w:r>
        <w:rPr>
          <w:rFonts w:ascii="Arial" w:cs="Arial" w:eastAsia="Arial" w:hAnsi="Arial"/>
          <w:sz w:val="21"/>
          <w:szCs w:val="21"/>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Keros Technology</w:t>
      </w:r>
      <w:r>
        <w:rPr>
          <w:rFonts w:ascii="Arial" w:cs="Arial" w:eastAsia="Arial" w:hAnsi="Arial"/>
          <w:sz w:val="19"/>
          <w:szCs w:val="19"/>
          <w:color w:val="auto"/>
        </w:rPr>
        <w:t>” means the Keros Licensed Know-How and Keros Licensed Patents.</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Keros Territory</w:t>
      </w:r>
      <w:r>
        <w:rPr>
          <w:rFonts w:ascii="Arial" w:cs="Arial" w:eastAsia="Arial" w:hAnsi="Arial"/>
          <w:sz w:val="19"/>
          <w:szCs w:val="19"/>
          <w:color w:val="auto"/>
        </w:rPr>
        <w:t>” means the world except for the Hansoh Territory.</w:t>
      </w:r>
    </w:p>
    <w:p>
      <w:pPr>
        <w:spacing w:after="0" w:line="188" w:lineRule="exact"/>
        <w:rPr>
          <w:sz w:val="20"/>
          <w:szCs w:val="20"/>
          <w:color w:val="auto"/>
        </w:rPr>
      </w:pPr>
    </w:p>
    <w:p>
      <w:pPr>
        <w:jc w:val="both"/>
        <w:ind w:firstLine="644"/>
        <w:spacing w:after="0" w:line="275" w:lineRule="auto"/>
        <w:rPr>
          <w:sz w:val="20"/>
          <w:szCs w:val="20"/>
          <w:color w:val="auto"/>
        </w:rPr>
      </w:pPr>
      <w:r>
        <w:rPr>
          <w:rFonts w:ascii="Arial" w:cs="Arial" w:eastAsia="Arial" w:hAnsi="Arial"/>
          <w:sz w:val="20"/>
          <w:szCs w:val="20"/>
          <w:b w:val="1"/>
          <w:bCs w:val="1"/>
          <w:color w:val="auto"/>
        </w:rPr>
        <w:t xml:space="preserve">1.55 </w:t>
      </w:r>
      <w:r>
        <w:rPr>
          <w:rFonts w:ascii="Arial" w:cs="Arial" w:eastAsia="Arial" w:hAnsi="Arial"/>
          <w:sz w:val="20"/>
          <w:szCs w:val="20"/>
          <w:color w:val="auto"/>
        </w:rPr>
        <w:t>“</w:t>
      </w:r>
      <w:r>
        <w:rPr>
          <w:rFonts w:ascii="Arial" w:cs="Arial" w:eastAsia="Arial" w:hAnsi="Arial"/>
          <w:sz w:val="20"/>
          <w:szCs w:val="20"/>
          <w:b w:val="1"/>
          <w:bCs w:val="1"/>
          <w:color w:val="auto"/>
        </w:rPr>
        <w:t>Laws</w:t>
      </w:r>
      <w:r>
        <w:rPr>
          <w:rFonts w:ascii="Arial" w:cs="Arial" w:eastAsia="Arial" w:hAnsi="Arial"/>
          <w:sz w:val="20"/>
          <w:szCs w:val="20"/>
          <w:color w:val="auto"/>
        </w:rPr>
        <w:t>” means all laws, statutes, rules, regulations, ordinances and other pronouncements having the effect of law</w:t>
      </w:r>
      <w:r>
        <w:rPr>
          <w:rFonts w:ascii="Arial" w:cs="Arial" w:eastAsia="Arial" w:hAnsi="Arial"/>
          <w:sz w:val="20"/>
          <w:szCs w:val="20"/>
          <w:b w:val="1"/>
          <w:bCs w:val="1"/>
          <w:color w:val="auto"/>
        </w:rPr>
        <w:t xml:space="preserve"> </w:t>
      </w:r>
      <w:r>
        <w:rPr>
          <w:rFonts w:ascii="Arial" w:cs="Arial" w:eastAsia="Arial" w:hAnsi="Arial"/>
          <w:sz w:val="20"/>
          <w:szCs w:val="20"/>
          <w:color w:val="auto"/>
        </w:rPr>
        <w:t>of any federal, national, multinational, state, provincial, county, municipal, city or other political subdivision, domestic or foreign.</w:t>
      </w:r>
    </w:p>
    <w:p>
      <w:pPr>
        <w:spacing w:after="0" w:line="117" w:lineRule="exact"/>
        <w:rPr>
          <w:sz w:val="20"/>
          <w:szCs w:val="20"/>
          <w:color w:val="auto"/>
        </w:rPr>
      </w:pPr>
    </w:p>
    <w:p>
      <w:pPr>
        <w:jc w:val="both"/>
        <w:ind w:right="20" w:firstLine="644"/>
        <w:spacing w:after="0" w:line="251" w:lineRule="auto"/>
        <w:rPr>
          <w:sz w:val="20"/>
          <w:szCs w:val="20"/>
          <w:color w:val="auto"/>
        </w:rPr>
      </w:pPr>
      <w:r>
        <w:rPr>
          <w:rFonts w:ascii="Arial" w:cs="Arial" w:eastAsia="Arial" w:hAnsi="Arial"/>
          <w:sz w:val="21"/>
          <w:szCs w:val="21"/>
          <w:b w:val="1"/>
          <w:bCs w:val="1"/>
          <w:color w:val="auto"/>
        </w:rPr>
        <w:t xml:space="preserve">1.56 </w:t>
      </w:r>
      <w:r>
        <w:rPr>
          <w:rFonts w:ascii="Arial" w:cs="Arial" w:eastAsia="Arial" w:hAnsi="Arial"/>
          <w:sz w:val="21"/>
          <w:szCs w:val="21"/>
          <w:color w:val="auto"/>
        </w:rPr>
        <w:t>“</w:t>
      </w:r>
      <w:r>
        <w:rPr>
          <w:rFonts w:ascii="Arial" w:cs="Arial" w:eastAsia="Arial" w:hAnsi="Arial"/>
          <w:sz w:val="21"/>
          <w:szCs w:val="21"/>
          <w:b w:val="1"/>
          <w:bCs w:val="1"/>
          <w:color w:val="auto"/>
        </w:rPr>
        <w:t>Licensed Compound</w:t>
      </w:r>
      <w:r>
        <w:rPr>
          <w:rFonts w:ascii="Arial" w:cs="Arial" w:eastAsia="Arial" w:hAnsi="Arial"/>
          <w:sz w:val="21"/>
          <w:szCs w:val="21"/>
          <w:color w:val="auto"/>
        </w:rPr>
        <w:t>” means either or both of (a) KER-050 and (b) any Back-Up Compound, in accordance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4.3(a).</w:t>
      </w:r>
    </w:p>
    <w:p>
      <w:pPr>
        <w:spacing w:after="0" w:line="139" w:lineRule="exact"/>
        <w:rPr>
          <w:sz w:val="20"/>
          <w:szCs w:val="20"/>
          <w:color w:val="auto"/>
        </w:rPr>
      </w:pPr>
    </w:p>
    <w:p>
      <w:pPr>
        <w:jc w:val="both"/>
        <w:ind w:firstLine="644"/>
        <w:spacing w:after="0" w:line="275" w:lineRule="auto"/>
        <w:rPr>
          <w:sz w:val="20"/>
          <w:szCs w:val="20"/>
          <w:color w:val="auto"/>
        </w:rPr>
      </w:pPr>
      <w:r>
        <w:rPr>
          <w:rFonts w:ascii="Arial" w:cs="Arial" w:eastAsia="Arial" w:hAnsi="Arial"/>
          <w:sz w:val="20"/>
          <w:szCs w:val="20"/>
          <w:b w:val="1"/>
          <w:bCs w:val="1"/>
          <w:color w:val="auto"/>
        </w:rPr>
        <w:t xml:space="preserve">1.57 </w:t>
      </w:r>
      <w:r>
        <w:rPr>
          <w:rFonts w:ascii="Arial" w:cs="Arial" w:eastAsia="Arial" w:hAnsi="Arial"/>
          <w:sz w:val="20"/>
          <w:szCs w:val="20"/>
          <w:color w:val="auto"/>
        </w:rPr>
        <w:t>“</w:t>
      </w:r>
      <w:r>
        <w:rPr>
          <w:rFonts w:ascii="Arial" w:cs="Arial" w:eastAsia="Arial" w:hAnsi="Arial"/>
          <w:sz w:val="20"/>
          <w:szCs w:val="20"/>
          <w:b w:val="1"/>
          <w:bCs w:val="1"/>
          <w:color w:val="auto"/>
        </w:rPr>
        <w:t>Licensed Product</w:t>
      </w:r>
      <w:r>
        <w:rPr>
          <w:rFonts w:ascii="Arial" w:cs="Arial" w:eastAsia="Arial" w:hAnsi="Arial"/>
          <w:sz w:val="20"/>
          <w:szCs w:val="20"/>
          <w:color w:val="auto"/>
        </w:rPr>
        <w:t>” shall mean (a) a Licensed Compound, or (b) any product containing a Licensed Compound as</w:t>
      </w:r>
      <w:r>
        <w:rPr>
          <w:rFonts w:ascii="Arial" w:cs="Arial" w:eastAsia="Arial" w:hAnsi="Arial"/>
          <w:sz w:val="20"/>
          <w:szCs w:val="20"/>
          <w:b w:val="1"/>
          <w:bCs w:val="1"/>
          <w:color w:val="auto"/>
        </w:rPr>
        <w:t xml:space="preserve"> </w:t>
      </w:r>
      <w:r>
        <w:rPr>
          <w:rFonts w:ascii="Arial" w:cs="Arial" w:eastAsia="Arial" w:hAnsi="Arial"/>
          <w:sz w:val="20"/>
          <w:szCs w:val="20"/>
          <w:color w:val="auto"/>
        </w:rPr>
        <w:t>an active pharmaceutical ingredient (“</w:t>
      </w:r>
      <w:r>
        <w:rPr>
          <w:rFonts w:ascii="Arial" w:cs="Arial" w:eastAsia="Arial" w:hAnsi="Arial"/>
          <w:sz w:val="20"/>
          <w:szCs w:val="20"/>
          <w:b w:val="1"/>
          <w:bCs w:val="1"/>
          <w:color w:val="auto"/>
        </w:rPr>
        <w:t>API</w:t>
      </w:r>
      <w:r>
        <w:rPr>
          <w:rFonts w:ascii="Arial" w:cs="Arial" w:eastAsia="Arial" w:hAnsi="Arial"/>
          <w:sz w:val="20"/>
          <w:szCs w:val="20"/>
          <w:color w:val="auto"/>
        </w:rPr>
        <w:t>”), whether as its sole API or in combination with one (1) or more other APIs.</w:t>
      </w:r>
    </w:p>
    <w:p>
      <w:pPr>
        <w:spacing w:after="0" w:line="117" w:lineRule="exact"/>
        <w:rPr>
          <w:sz w:val="20"/>
          <w:szCs w:val="20"/>
          <w:color w:val="auto"/>
        </w:rPr>
      </w:pPr>
    </w:p>
    <w:p>
      <w:pPr>
        <w:jc w:val="both"/>
        <w:ind w:right="20" w:firstLine="644"/>
        <w:spacing w:after="0" w:line="249" w:lineRule="auto"/>
        <w:rPr>
          <w:sz w:val="20"/>
          <w:szCs w:val="20"/>
          <w:color w:val="auto"/>
        </w:rPr>
      </w:pPr>
      <w:r>
        <w:rPr>
          <w:rFonts w:ascii="Arial" w:cs="Arial" w:eastAsia="Arial" w:hAnsi="Arial"/>
          <w:sz w:val="20"/>
          <w:szCs w:val="20"/>
          <w:b w:val="1"/>
          <w:bCs w:val="1"/>
          <w:color w:val="auto"/>
        </w:rPr>
        <w:t xml:space="preserve">1.58 </w:t>
      </w:r>
      <w:r>
        <w:rPr>
          <w:rFonts w:ascii="Arial" w:cs="Arial" w:eastAsia="Arial" w:hAnsi="Arial"/>
          <w:sz w:val="20"/>
          <w:szCs w:val="20"/>
          <w:color w:val="auto"/>
        </w:rPr>
        <w:t>“</w:t>
      </w:r>
      <w:r>
        <w:rPr>
          <w:rFonts w:ascii="Arial" w:cs="Arial" w:eastAsia="Arial" w:hAnsi="Arial"/>
          <w:sz w:val="20"/>
          <w:szCs w:val="20"/>
          <w:b w:val="1"/>
          <w:bCs w:val="1"/>
          <w:color w:val="auto"/>
        </w:rPr>
        <w:t>Manufacture</w:t>
      </w:r>
      <w:r>
        <w:rPr>
          <w:rFonts w:ascii="Arial" w:cs="Arial" w:eastAsia="Arial" w:hAnsi="Arial"/>
          <w:sz w:val="20"/>
          <w:szCs w:val="20"/>
          <w:color w:val="auto"/>
        </w:rPr>
        <w:t>” and “</w:t>
      </w:r>
      <w:r>
        <w:rPr>
          <w:rFonts w:ascii="Arial" w:cs="Arial" w:eastAsia="Arial" w:hAnsi="Arial"/>
          <w:sz w:val="20"/>
          <w:szCs w:val="20"/>
          <w:b w:val="1"/>
          <w:bCs w:val="1"/>
          <w:color w:val="auto"/>
        </w:rPr>
        <w:t>Manufacturing</w:t>
      </w:r>
      <w:r>
        <w:rPr>
          <w:rFonts w:ascii="Arial" w:cs="Arial" w:eastAsia="Arial" w:hAnsi="Arial"/>
          <w:sz w:val="20"/>
          <w:szCs w:val="20"/>
          <w:color w:val="auto"/>
        </w:rPr>
        <w:t>” mean activities directed to manufacturing, processing, filling, finishing,</w:t>
      </w:r>
      <w:r>
        <w:rPr>
          <w:rFonts w:ascii="Arial" w:cs="Arial" w:eastAsia="Arial" w:hAnsi="Arial"/>
          <w:sz w:val="20"/>
          <w:szCs w:val="20"/>
          <w:b w:val="1"/>
          <w:bCs w:val="1"/>
          <w:color w:val="auto"/>
        </w:rPr>
        <w:t xml:space="preserve"> </w:t>
      </w:r>
      <w:r>
        <w:rPr>
          <w:rFonts w:ascii="Arial" w:cs="Arial" w:eastAsia="Arial" w:hAnsi="Arial"/>
          <w:sz w:val="20"/>
          <w:szCs w:val="20"/>
          <w:color w:val="auto"/>
        </w:rPr>
        <w:t>packaging, labeling, quality control, quality assurance testing and release, post-marketing validation testing, inventory control and management, storing and transporting any Licensed Product, including oversight and management of vendors therefor.</w:t>
      </w:r>
    </w:p>
    <w:p>
      <w:pPr>
        <w:spacing w:after="0" w:line="143"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1.59 </w:t>
      </w:r>
      <w:r>
        <w:rPr>
          <w:rFonts w:ascii="Arial" w:cs="Arial" w:eastAsia="Arial" w:hAnsi="Arial"/>
          <w:sz w:val="21"/>
          <w:szCs w:val="21"/>
          <w:color w:val="auto"/>
        </w:rPr>
        <w:t>“</w:t>
      </w:r>
      <w:r>
        <w:rPr>
          <w:rFonts w:ascii="Arial" w:cs="Arial" w:eastAsia="Arial" w:hAnsi="Arial"/>
          <w:sz w:val="21"/>
          <w:szCs w:val="21"/>
          <w:b w:val="1"/>
          <w:bCs w:val="1"/>
          <w:color w:val="auto"/>
        </w:rPr>
        <w:t>Marketing Authorization Application</w:t>
      </w:r>
      <w:r>
        <w:rPr>
          <w:rFonts w:ascii="Arial" w:cs="Arial" w:eastAsia="Arial" w:hAnsi="Arial"/>
          <w:sz w:val="21"/>
          <w:szCs w:val="21"/>
          <w:color w:val="auto"/>
        </w:rPr>
        <w:t>” or “</w:t>
      </w:r>
      <w:r>
        <w:rPr>
          <w:rFonts w:ascii="Arial" w:cs="Arial" w:eastAsia="Arial" w:hAnsi="Arial"/>
          <w:sz w:val="21"/>
          <w:szCs w:val="21"/>
          <w:b w:val="1"/>
          <w:bCs w:val="1"/>
          <w:color w:val="auto"/>
        </w:rPr>
        <w:t>MAA</w:t>
      </w:r>
      <w:r>
        <w:rPr>
          <w:rFonts w:ascii="Arial" w:cs="Arial" w:eastAsia="Arial" w:hAnsi="Arial"/>
          <w:sz w:val="21"/>
          <w:szCs w:val="21"/>
          <w:color w:val="auto"/>
        </w:rPr>
        <w:t>” means a New Drug Application (“</w:t>
      </w:r>
      <w:r>
        <w:rPr>
          <w:rFonts w:ascii="Arial" w:cs="Arial" w:eastAsia="Arial" w:hAnsi="Arial"/>
          <w:sz w:val="21"/>
          <w:szCs w:val="21"/>
          <w:b w:val="1"/>
          <w:bCs w:val="1"/>
          <w:color w:val="auto"/>
        </w:rPr>
        <w:t>NDA</w:t>
      </w:r>
      <w:r>
        <w:rPr>
          <w:rFonts w:ascii="Arial" w:cs="Arial" w:eastAsia="Arial" w:hAnsi="Arial"/>
          <w:sz w:val="21"/>
          <w:szCs w:val="21"/>
          <w:color w:val="auto"/>
        </w:rPr>
        <w:t>”) or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application to the appropriate Regulatory Authority for approval to market a Licensed Product.</w:t>
      </w:r>
    </w:p>
    <w:p>
      <w:pPr>
        <w:spacing w:after="0" w:line="13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1.60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Net Sales</w:t>
      </w:r>
      <w:r>
        <w:rPr>
          <w:rFonts w:ascii="Arial" w:cs="Arial" w:eastAsia="Arial" w:hAnsi="Arial"/>
          <w:sz w:val="20"/>
          <w:szCs w:val="20"/>
          <w:color w:val="auto"/>
        </w:rPr>
        <w:t>” means [***]:</w:t>
      </w:r>
    </w:p>
    <w:p>
      <w:pPr>
        <w:spacing w:after="0" w:line="194" w:lineRule="exact"/>
        <w:rPr>
          <w:sz w:val="20"/>
          <w:szCs w:val="20"/>
          <w:color w:val="auto"/>
        </w:rPr>
      </w:pPr>
    </w:p>
    <w:p>
      <w:pPr>
        <w:ind w:left="1760" w:hanging="464"/>
        <w:spacing w:after="0"/>
        <w:tabs>
          <w:tab w:leader="none" w:pos="176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ind w:left="1780" w:hanging="484"/>
        <w:spacing w:after="0"/>
        <w:tabs>
          <w:tab w:leader="none" w:pos="178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ind w:left="1740" w:hanging="444"/>
        <w:spacing w:after="0"/>
        <w:tabs>
          <w:tab w:leader="none" w:pos="174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ind w:left="1780" w:hanging="484"/>
        <w:spacing w:after="0"/>
        <w:tabs>
          <w:tab w:leader="none" w:pos="178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ind w:left="1740" w:hanging="444"/>
        <w:spacing w:after="0"/>
        <w:tabs>
          <w:tab w:leader="none" w:pos="174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ind w:left="1720" w:hanging="424"/>
        <w:spacing w:after="0"/>
        <w:tabs>
          <w:tab w:leader="none" w:pos="172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ind w:left="1760" w:hanging="464"/>
        <w:spacing w:after="0"/>
        <w:tabs>
          <w:tab w:leader="none" w:pos="176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ind w:left="1780" w:hanging="484"/>
        <w:spacing w:after="0"/>
        <w:tabs>
          <w:tab w:leader="none" w:pos="1780" w:val="left"/>
        </w:tabs>
        <w:numPr>
          <w:ilvl w:val="0"/>
          <w:numId w:val="82"/>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8"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21"/>
          <w:szCs w:val="21"/>
          <w:color w:val="auto"/>
        </w:rPr>
        <w:t>The amounts of any deductions taken pursuant to clauses (a) through (h) shall be determined from books and records maintained in accordance with Accounting Standards.</w:t>
      </w:r>
    </w:p>
    <w:p>
      <w:pPr>
        <w:spacing w:after="0" w:line="151" w:lineRule="exact"/>
        <w:rPr>
          <w:sz w:val="20"/>
          <w:szCs w:val="20"/>
          <w:color w:val="auto"/>
        </w:rPr>
      </w:pPr>
    </w:p>
    <w:p>
      <w:pPr>
        <w:jc w:val="both"/>
        <w:ind w:firstLine="644"/>
        <w:spacing w:after="0" w:line="247" w:lineRule="auto"/>
        <w:rPr>
          <w:sz w:val="20"/>
          <w:szCs w:val="20"/>
          <w:color w:val="auto"/>
        </w:rPr>
      </w:pPr>
      <w:r>
        <w:rPr>
          <w:rFonts w:ascii="Arial" w:cs="Arial" w:eastAsia="Arial" w:hAnsi="Arial"/>
          <w:sz w:val="19"/>
          <w:szCs w:val="19"/>
          <w:color w:val="auto"/>
        </w:rPr>
        <w:t>Notwithstanding the foregoing, amounts received or invoiced by Hansoh, its Affiliates, or their respective sublicensees for the sale of Licensed Product among Hansoh, its Affiliates or their respective sublicensees shall not be included in the computation of Net Sales hereunder unless the purchasing entity is the end-user. For purposes of determining Net Sales, the Licensed Product shall be deemed to be sold when billed or invoiced. Net Sales shall be accounted for in accordance with standard Hansoh practices for operation by Hansoh, its Affiliates or their respective sublicensees, as practiced in the Hansoh Territory, but in any event in accordance with Accounting Standards consistently applied in the Hansoh Territory. For clarity, a particular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87" w:right="339" w:bottom="1440" w:gutter="0" w:footer="0" w:header="0"/>
        </w:sectPr>
      </w:pPr>
    </w:p>
    <w:bookmarkStart w:id="148" w:name="page149"/>
    <w:bookmarkEnd w:id="148"/>
    <w:p>
      <w:pPr>
        <w:jc w:val="both"/>
        <w:spacing w:after="0" w:line="225" w:lineRule="auto"/>
        <w:rPr>
          <w:sz w:val="20"/>
          <w:szCs w:val="20"/>
          <w:color w:val="auto"/>
        </w:rPr>
      </w:pPr>
      <w:r>
        <w:rPr>
          <w:rFonts w:ascii="Arial" w:cs="Arial" w:eastAsia="Arial" w:hAnsi="Arial"/>
          <w:sz w:val="21"/>
          <w:szCs w:val="21"/>
          <w:color w:val="auto"/>
        </w:rPr>
        <w:t xml:space="preserve">may only be deducted once in the calculation of Net Sales. Notwithstanding anything to the contrary in the foregoing, to the extent any amounts deducted pursuant to subsection (d) above are subsequently recovered by Hansoh, its Affiliates, or their respective sublicensees during the Term, such recovered amounts shall be deemed “Net Sales” for the subsequent Calendar Quarter;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no royalties are owed by Hansoh for such subsequent Calendar Quarter pursuant to Section 8.4, Hansoh shall promptly submit such recovered amounts to Keros.</w:t>
      </w:r>
    </w:p>
    <w:p>
      <w:pPr>
        <w:spacing w:after="0" w:line="156"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20"/>
          <w:szCs w:val="20"/>
          <w:color w:val="auto"/>
        </w:rPr>
        <w:t>The transfer of any Licensed Product to an Affiliate, sublicensee, or other Third Party (x) in connection with the research, development or testing of a Licensed Product (including, without limitation, the conduct of Clinical Trials), (y) for purposes of distribution as promotional samples, or (z) at no charge for indigent or similar public support or compassionate use programs, will not, in any case, be considered a Net Sale of a Licensed Product under this Agreement.</w:t>
      </w:r>
    </w:p>
    <w:p>
      <w:pPr>
        <w:spacing w:after="0" w:line="158" w:lineRule="exact"/>
        <w:rPr>
          <w:sz w:val="20"/>
          <w:szCs w:val="20"/>
          <w:color w:val="auto"/>
        </w:rPr>
      </w:pPr>
    </w:p>
    <w:p>
      <w:pPr>
        <w:jc w:val="both"/>
        <w:ind w:firstLine="644"/>
        <w:spacing w:after="0" w:line="225" w:lineRule="auto"/>
        <w:rPr>
          <w:sz w:val="20"/>
          <w:szCs w:val="20"/>
          <w:color w:val="auto"/>
        </w:rPr>
      </w:pPr>
      <w:r>
        <w:rPr>
          <w:rFonts w:ascii="Arial" w:cs="Arial" w:eastAsia="Arial" w:hAnsi="Arial"/>
          <w:sz w:val="21"/>
          <w:szCs w:val="21"/>
          <w:color w:val="auto"/>
        </w:rPr>
        <w:t>With respect to any transfer of any Licensed Product in the Hansoh Territory for any substantive consideration other than monetary consideration on arm’s length terms, for the purposes of calculating the Net Sales under this Agreement, such Licensed Product shall be deemed to be sold exclusively for money at the average Net Sales price charged to Third Parties for cash sales in the Hansoh Territory during the applicable reporting period (or if there were only de minimus cash sales in the Hansoh Territory, at the fair market value as determined by comparable markets).</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p>
    <w:p>
      <w:pPr>
        <w:spacing w:after="0" w:line="182"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1.61 </w:t>
      </w:r>
      <w:r>
        <w:rPr>
          <w:rFonts w:ascii="Arial" w:cs="Arial" w:eastAsia="Arial" w:hAnsi="Arial"/>
          <w:sz w:val="21"/>
          <w:szCs w:val="21"/>
          <w:color w:val="auto"/>
        </w:rPr>
        <w:t>“</w:t>
      </w:r>
      <w:r>
        <w:rPr>
          <w:rFonts w:ascii="Arial" w:cs="Arial" w:eastAsia="Arial" w:hAnsi="Arial"/>
          <w:sz w:val="21"/>
          <w:szCs w:val="21"/>
          <w:b w:val="1"/>
          <w:bCs w:val="1"/>
          <w:color w:val="auto"/>
        </w:rPr>
        <w:t>NMPA</w:t>
      </w:r>
      <w:r>
        <w:rPr>
          <w:rFonts w:ascii="Arial" w:cs="Arial" w:eastAsia="Arial" w:hAnsi="Arial"/>
          <w:sz w:val="21"/>
          <w:szCs w:val="21"/>
          <w:color w:val="auto"/>
        </w:rPr>
        <w:t>” means the National Medical Product Administration of the People’s Republic of China, or any successor</w:t>
      </w:r>
      <w:r>
        <w:rPr>
          <w:rFonts w:ascii="Arial" w:cs="Arial" w:eastAsia="Arial" w:hAnsi="Arial"/>
          <w:sz w:val="21"/>
          <w:szCs w:val="21"/>
          <w:b w:val="1"/>
          <w:bCs w:val="1"/>
          <w:color w:val="auto"/>
        </w:rPr>
        <w:t xml:space="preserve"> </w:t>
      </w:r>
      <w:r>
        <w:rPr>
          <w:rFonts w:ascii="Arial" w:cs="Arial" w:eastAsia="Arial" w:hAnsi="Arial"/>
          <w:sz w:val="21"/>
          <w:szCs w:val="21"/>
          <w:color w:val="auto"/>
        </w:rPr>
        <w:t>agency or authority thereto.</w:t>
      </w:r>
    </w:p>
    <w:p>
      <w:pPr>
        <w:spacing w:after="0" w:line="139" w:lineRule="exact"/>
        <w:rPr>
          <w:sz w:val="20"/>
          <w:szCs w:val="20"/>
          <w:color w:val="auto"/>
        </w:rPr>
      </w:pPr>
    </w:p>
    <w:p>
      <w:pPr>
        <w:jc w:val="both"/>
        <w:ind w:firstLine="644"/>
        <w:spacing w:after="0" w:line="226" w:lineRule="auto"/>
        <w:rPr>
          <w:sz w:val="20"/>
          <w:szCs w:val="20"/>
          <w:color w:val="auto"/>
        </w:rPr>
      </w:pPr>
      <w:r>
        <w:rPr>
          <w:rFonts w:ascii="Arial" w:cs="Arial" w:eastAsia="Arial" w:hAnsi="Arial"/>
          <w:sz w:val="21"/>
          <w:szCs w:val="21"/>
          <w:b w:val="1"/>
          <w:bCs w:val="1"/>
          <w:color w:val="auto"/>
        </w:rPr>
        <w:t xml:space="preserve">1.62 </w:t>
      </w:r>
      <w:r>
        <w:rPr>
          <w:rFonts w:ascii="Arial" w:cs="Arial" w:eastAsia="Arial" w:hAnsi="Arial"/>
          <w:sz w:val="21"/>
          <w:szCs w:val="21"/>
          <w:color w:val="auto"/>
        </w:rPr>
        <w:t>“</w:t>
      </w:r>
      <w:r>
        <w:rPr>
          <w:rFonts w:ascii="Arial" w:cs="Arial" w:eastAsia="Arial" w:hAnsi="Arial"/>
          <w:sz w:val="21"/>
          <w:szCs w:val="21"/>
          <w:b w:val="1"/>
          <w:bCs w:val="1"/>
          <w:color w:val="auto"/>
        </w:rPr>
        <w:t>Patents</w:t>
      </w:r>
      <w:r>
        <w:rPr>
          <w:rFonts w:ascii="Arial" w:cs="Arial" w:eastAsia="Arial" w:hAnsi="Arial"/>
          <w:sz w:val="21"/>
          <w:szCs w:val="21"/>
          <w:color w:val="auto"/>
        </w:rPr>
        <w:t>” means (a) pending patent applications, issued patents, utility models and designs; (b) reissues,</w:t>
      </w:r>
      <w:r>
        <w:rPr>
          <w:rFonts w:ascii="Arial" w:cs="Arial" w:eastAsia="Arial" w:hAnsi="Arial"/>
          <w:sz w:val="21"/>
          <w:szCs w:val="21"/>
          <w:b w:val="1"/>
          <w:bCs w:val="1"/>
          <w:color w:val="auto"/>
        </w:rPr>
        <w:t xml:space="preserve"> </w:t>
      </w:r>
      <w:r>
        <w:rPr>
          <w:rFonts w:ascii="Arial" w:cs="Arial" w:eastAsia="Arial" w:hAnsi="Arial"/>
          <w:sz w:val="21"/>
          <w:szCs w:val="21"/>
          <w:color w:val="auto"/>
        </w:rPr>
        <w:t>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 patent term additions, patent term extensions or the equivalent thereof.</w:t>
      </w:r>
    </w:p>
    <w:p>
      <w:pPr>
        <w:spacing w:after="0" w:line="151"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1.63 </w:t>
      </w: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corporation, partnership, limited liability company, limited partnership, trust,</w:t>
      </w:r>
      <w:r>
        <w:rPr>
          <w:rFonts w:ascii="Arial" w:cs="Arial" w:eastAsia="Arial" w:hAnsi="Arial"/>
          <w:sz w:val="21"/>
          <w:szCs w:val="21"/>
          <w:b w:val="1"/>
          <w:bCs w:val="1"/>
          <w:color w:val="auto"/>
        </w:rPr>
        <w:t xml:space="preserve"> </w:t>
      </w:r>
      <w:r>
        <w:rPr>
          <w:rFonts w:ascii="Arial" w:cs="Arial" w:eastAsia="Arial" w:hAnsi="Arial"/>
          <w:sz w:val="21"/>
          <w:szCs w:val="21"/>
          <w:color w:val="auto"/>
        </w:rPr>
        <w:t>business trust, association, joint stock company, joint venture, pool, syndicate, sole proprietorship, unincorporated organization, Governmental Authority or any other form of entity not specifically listed herein.</w:t>
      </w:r>
    </w:p>
    <w:p>
      <w:pPr>
        <w:spacing w:after="0" w:line="153"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1.64 </w:t>
      </w:r>
      <w:r>
        <w:rPr>
          <w:rFonts w:ascii="Arial" w:cs="Arial" w:eastAsia="Arial" w:hAnsi="Arial"/>
          <w:sz w:val="21"/>
          <w:szCs w:val="21"/>
          <w:color w:val="auto"/>
        </w:rPr>
        <w:t>“</w:t>
      </w:r>
      <w:r>
        <w:rPr>
          <w:rFonts w:ascii="Arial" w:cs="Arial" w:eastAsia="Arial" w:hAnsi="Arial"/>
          <w:sz w:val="21"/>
          <w:szCs w:val="21"/>
          <w:b w:val="1"/>
          <w:bCs w:val="1"/>
          <w:color w:val="auto"/>
        </w:rPr>
        <w:t>Phase 1 Clinical Trial</w:t>
      </w:r>
      <w:r>
        <w:rPr>
          <w:rFonts w:ascii="Arial" w:cs="Arial" w:eastAsia="Arial" w:hAnsi="Arial"/>
          <w:sz w:val="21"/>
          <w:szCs w:val="21"/>
          <w:color w:val="auto"/>
        </w:rPr>
        <w:t>” means any human clinical trial of a Licensed Product conducted mainly to evaluate the</w:t>
      </w:r>
      <w:r>
        <w:rPr>
          <w:rFonts w:ascii="Arial" w:cs="Arial" w:eastAsia="Arial" w:hAnsi="Arial"/>
          <w:sz w:val="21"/>
          <w:szCs w:val="21"/>
          <w:b w:val="1"/>
          <w:bCs w:val="1"/>
          <w:color w:val="auto"/>
        </w:rPr>
        <w:t xml:space="preserve"> </w:t>
      </w:r>
      <w:r>
        <w:rPr>
          <w:rFonts w:ascii="Arial" w:cs="Arial" w:eastAsia="Arial" w:hAnsi="Arial"/>
          <w:sz w:val="21"/>
          <w:szCs w:val="21"/>
          <w:color w:val="auto"/>
        </w:rPr>
        <w:t>safety of chemical or biologic agents or other types of interventions (e.g., a new radiation therapy technique) that would satisfy the requirements of 21 C.F.R. § 312.21(a) or its non-United States equivalents.</w:t>
      </w:r>
    </w:p>
    <w:p>
      <w:pPr>
        <w:spacing w:after="0" w:line="153"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1.65 </w:t>
      </w:r>
      <w:r>
        <w:rPr>
          <w:rFonts w:ascii="Arial" w:cs="Arial" w:eastAsia="Arial" w:hAnsi="Arial"/>
          <w:sz w:val="21"/>
          <w:szCs w:val="21"/>
          <w:color w:val="auto"/>
        </w:rPr>
        <w:t>“</w:t>
      </w:r>
      <w:r>
        <w:rPr>
          <w:rFonts w:ascii="Arial" w:cs="Arial" w:eastAsia="Arial" w:hAnsi="Arial"/>
          <w:sz w:val="21"/>
          <w:szCs w:val="21"/>
          <w:b w:val="1"/>
          <w:bCs w:val="1"/>
          <w:color w:val="auto"/>
        </w:rPr>
        <w:t>Phase 2 Clinical Trial</w:t>
      </w:r>
      <w:r>
        <w:rPr>
          <w:rFonts w:ascii="Arial" w:cs="Arial" w:eastAsia="Arial" w:hAnsi="Arial"/>
          <w:sz w:val="21"/>
          <w:szCs w:val="21"/>
          <w:color w:val="auto"/>
        </w:rPr>
        <w:t>” means any human clinical trial of a Licensed Product conducted mainly to test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effectiveness of chemical or biologic agents or other types of interventions for purposes of identifying the appropriate dose for a Phase 3 Clinical Trial for a particular Indication or Indications that would satisfy the requirements of 21 CFR § 312.21(b) or its non-United States equivalents.</w:t>
      </w:r>
    </w:p>
    <w:p>
      <w:pPr>
        <w:spacing w:after="0" w:line="152"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20"/>
          <w:szCs w:val="20"/>
          <w:b w:val="1"/>
          <w:bCs w:val="1"/>
          <w:color w:val="auto"/>
        </w:rPr>
        <w:t xml:space="preserve">1.66 </w:t>
      </w:r>
      <w:r>
        <w:rPr>
          <w:rFonts w:ascii="Arial" w:cs="Arial" w:eastAsia="Arial" w:hAnsi="Arial"/>
          <w:sz w:val="20"/>
          <w:szCs w:val="20"/>
          <w:color w:val="auto"/>
        </w:rPr>
        <w:t>“</w:t>
      </w:r>
      <w:r>
        <w:rPr>
          <w:rFonts w:ascii="Arial" w:cs="Arial" w:eastAsia="Arial" w:hAnsi="Arial"/>
          <w:sz w:val="20"/>
          <w:szCs w:val="20"/>
          <w:b w:val="1"/>
          <w:bCs w:val="1"/>
          <w:color w:val="auto"/>
        </w:rPr>
        <w:t>Phase 3 Clinical Trial</w:t>
      </w:r>
      <w:r>
        <w:rPr>
          <w:rFonts w:ascii="Arial" w:cs="Arial" w:eastAsia="Arial" w:hAnsi="Arial"/>
          <w:sz w:val="20"/>
          <w:szCs w:val="20"/>
          <w:color w:val="auto"/>
        </w:rPr>
        <w:t>” means any human clinical trial of a Licensed Product designed to: (a) establish that such</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 is safe and efficacious for its intended use; (b) define warnings, precautions and adverse reactions that are associated with the Licensed Product in the dosage range to be prescribed; and (c) support regulatory approval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93" w:right="339" w:bottom="1440" w:gutter="0" w:footer="0" w:header="0"/>
        </w:sectPr>
      </w:pPr>
    </w:p>
    <w:bookmarkStart w:id="149" w:name="page150"/>
    <w:bookmarkEnd w:id="149"/>
    <w:p>
      <w:pPr>
        <w:spacing w:after="0"/>
        <w:rPr>
          <w:sz w:val="20"/>
          <w:szCs w:val="20"/>
          <w:color w:val="auto"/>
        </w:rPr>
      </w:pPr>
      <w:r>
        <w:rPr>
          <w:rFonts w:ascii="Arial" w:cs="Arial" w:eastAsia="Arial" w:hAnsi="Arial"/>
          <w:sz w:val="21"/>
          <w:szCs w:val="21"/>
          <w:color w:val="auto"/>
        </w:rPr>
        <w:t>Licensed Product, that would satisfy the requirements of 21 CFR § 312.21(c) or its non-United States equivalents.</w:t>
      </w:r>
    </w:p>
    <w:p>
      <w:pPr>
        <w:spacing w:after="0" w:line="182"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1.67 </w:t>
      </w:r>
      <w:r>
        <w:rPr>
          <w:rFonts w:ascii="Arial" w:cs="Arial" w:eastAsia="Arial" w:hAnsi="Arial"/>
          <w:sz w:val="21"/>
          <w:szCs w:val="21"/>
          <w:color w:val="auto"/>
        </w:rPr>
        <w:t>“</w:t>
      </w:r>
      <w:r>
        <w:rPr>
          <w:rFonts w:ascii="Arial" w:cs="Arial" w:eastAsia="Arial" w:hAnsi="Arial"/>
          <w:sz w:val="21"/>
          <w:szCs w:val="21"/>
          <w:b w:val="1"/>
          <w:bCs w:val="1"/>
          <w:color w:val="auto"/>
        </w:rPr>
        <w:t>Phase 4 Clinical Trial</w:t>
      </w:r>
      <w:r>
        <w:rPr>
          <w:rFonts w:ascii="Arial" w:cs="Arial" w:eastAsia="Arial" w:hAnsi="Arial"/>
          <w:sz w:val="21"/>
          <w:szCs w:val="21"/>
          <w:color w:val="auto"/>
        </w:rPr>
        <w:t>” means any human clinical trial of a Licensed Product that is: (a) designed to satisfy a</w:t>
      </w:r>
      <w:r>
        <w:rPr>
          <w:rFonts w:ascii="Arial" w:cs="Arial" w:eastAsia="Arial" w:hAnsi="Arial"/>
          <w:sz w:val="21"/>
          <w:szCs w:val="21"/>
          <w:b w:val="1"/>
          <w:bCs w:val="1"/>
          <w:color w:val="auto"/>
        </w:rPr>
        <w:t xml:space="preserve"> </w:t>
      </w:r>
      <w:r>
        <w:rPr>
          <w:rFonts w:ascii="Arial" w:cs="Arial" w:eastAsia="Arial" w:hAnsi="Arial"/>
          <w:sz w:val="21"/>
          <w:szCs w:val="21"/>
          <w:color w:val="auto"/>
        </w:rPr>
        <w:t>requirement of a Regulatory Authority in order to maintain a Regulatory Approval for such Licensed Product or (b) conducted after the first Regulatory Approval of a Licensed Product in the same Indication for which a Licensed Product received Regulatory Approval.</w:t>
      </w:r>
    </w:p>
    <w:p>
      <w:pPr>
        <w:spacing w:after="0" w:line="152"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20"/>
          <w:szCs w:val="20"/>
          <w:b w:val="1"/>
          <w:bCs w:val="1"/>
          <w:color w:val="auto"/>
        </w:rPr>
        <w:t xml:space="preserve">1.68 </w:t>
      </w:r>
      <w:r>
        <w:rPr>
          <w:rFonts w:ascii="Arial" w:cs="Arial" w:eastAsia="Arial" w:hAnsi="Arial"/>
          <w:sz w:val="20"/>
          <w:szCs w:val="20"/>
          <w:color w:val="auto"/>
        </w:rPr>
        <w:t>“</w:t>
      </w:r>
      <w:r>
        <w:rPr>
          <w:rFonts w:ascii="Arial" w:cs="Arial" w:eastAsia="Arial" w:hAnsi="Arial"/>
          <w:sz w:val="20"/>
          <w:szCs w:val="20"/>
          <w:b w:val="1"/>
          <w:bCs w:val="1"/>
          <w:color w:val="auto"/>
        </w:rPr>
        <w:t>Pivotal Clinical Trial</w:t>
      </w:r>
      <w:r>
        <w:rPr>
          <w:rFonts w:ascii="Arial" w:cs="Arial" w:eastAsia="Arial" w:hAnsi="Arial"/>
          <w:sz w:val="20"/>
          <w:szCs w:val="20"/>
          <w:color w:val="auto"/>
        </w:rPr>
        <w:t>” means a clinical trial of a Licensed Product in human patients (whether or not designated a</w:t>
      </w:r>
      <w:r>
        <w:rPr>
          <w:rFonts w:ascii="Arial" w:cs="Arial" w:eastAsia="Arial" w:hAnsi="Arial"/>
          <w:sz w:val="20"/>
          <w:szCs w:val="20"/>
          <w:b w:val="1"/>
          <w:bCs w:val="1"/>
          <w:color w:val="auto"/>
        </w:rPr>
        <w:t xml:space="preserve"> </w:t>
      </w:r>
      <w:r>
        <w:rPr>
          <w:rFonts w:ascii="Arial" w:cs="Arial" w:eastAsia="Arial" w:hAnsi="Arial"/>
          <w:sz w:val="20"/>
          <w:szCs w:val="20"/>
          <w:color w:val="auto"/>
        </w:rPr>
        <w:t>Phase 3 Clinical Trial) in any Region with a defined dose or a set of defined doses of a Licensed Product designed to ascertain efficacy and safety of such Licensed Product and intended (if successful) to provide the evidence and data sufficient for (a) market approval to the applicable Regulatory Authorities or (b) satisfying or meeting the requirements for the preparation and filing of an MAA with the Regulatory Authorities to support Regulatory Approval of such Licensed Product.</w:t>
      </w:r>
    </w:p>
    <w:p>
      <w:pPr>
        <w:spacing w:after="0" w:line="15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1"/>
          <w:szCs w:val="21"/>
          <w:b w:val="1"/>
          <w:bCs w:val="1"/>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Proper Conduct Practices</w:t>
      </w:r>
      <w:r>
        <w:rPr>
          <w:rFonts w:ascii="Arial" w:cs="Arial" w:eastAsia="Arial" w:hAnsi="Arial"/>
          <w:sz w:val="19"/>
          <w:szCs w:val="19"/>
          <w:color w:val="auto"/>
        </w:rPr>
        <w:t>” means, with respect to a Party, each of its Representatives not, directly or indirectly,</w:t>
      </w:r>
    </w:p>
    <w:p>
      <w:pPr>
        <w:spacing w:after="0"/>
        <w:rPr>
          <w:sz w:val="20"/>
          <w:szCs w:val="20"/>
          <w:color w:val="auto"/>
        </w:rPr>
      </w:pPr>
      <w:r>
        <w:rPr>
          <w:rFonts w:ascii="Arial" w:cs="Arial" w:eastAsia="Arial" w:hAnsi="Arial"/>
          <w:sz w:val="21"/>
          <w:szCs w:val="21"/>
          <w:color w:val="auto"/>
        </w:rPr>
        <w:t>[***].</w:t>
      </w:r>
    </w:p>
    <w:p>
      <w:pPr>
        <w:spacing w:after="0" w:line="164" w:lineRule="exact"/>
        <w:rPr>
          <w:sz w:val="20"/>
          <w:szCs w:val="20"/>
          <w:color w:val="auto"/>
        </w:rPr>
      </w:pPr>
    </w:p>
    <w:p>
      <w:pPr>
        <w:jc w:val="both"/>
        <w:ind w:firstLine="644"/>
        <w:spacing w:after="0" w:line="226" w:lineRule="auto"/>
        <w:rPr>
          <w:sz w:val="20"/>
          <w:szCs w:val="20"/>
          <w:color w:val="auto"/>
        </w:rPr>
      </w:pPr>
      <w:r>
        <w:rPr>
          <w:rFonts w:ascii="Arial" w:cs="Arial" w:eastAsia="Arial" w:hAnsi="Arial"/>
          <w:sz w:val="21"/>
          <w:szCs w:val="21"/>
          <w:b w:val="1"/>
          <w:bCs w:val="1"/>
          <w:color w:val="auto"/>
        </w:rPr>
        <w:t xml:space="preserve">1.70 </w:t>
      </w:r>
      <w:r>
        <w:rPr>
          <w:rFonts w:ascii="Arial" w:cs="Arial" w:eastAsia="Arial" w:hAnsi="Arial"/>
          <w:sz w:val="21"/>
          <w:szCs w:val="21"/>
          <w:color w:val="auto"/>
        </w:rPr>
        <w:t>“</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any and all approvals (including marketing authorization approvals, supplements,</w:t>
      </w:r>
      <w:r>
        <w:rPr>
          <w:rFonts w:ascii="Arial" w:cs="Arial" w:eastAsia="Arial" w:hAnsi="Arial"/>
          <w:sz w:val="21"/>
          <w:szCs w:val="21"/>
          <w:b w:val="1"/>
          <w:bCs w:val="1"/>
          <w:color w:val="auto"/>
        </w:rPr>
        <w:t xml:space="preserve"> </w:t>
      </w:r>
      <w:r>
        <w:rPr>
          <w:rFonts w:ascii="Arial" w:cs="Arial" w:eastAsia="Arial" w:hAnsi="Arial"/>
          <w:sz w:val="21"/>
          <w:szCs w:val="21"/>
          <w:color w:val="auto"/>
        </w:rPr>
        <w:t>amendments, pre- and post-approvals, and pricing and reimbursement approvals), licenses, registrations or authorizations of any national, supra-national, regional, state or local regulatory agency, department, bureau, commission, council or other governmental entity, that are necessary for the Manufacture, distribution, use or commercial sale of a Licensed Product in a given country or regulatory jurisdiction.</w:t>
      </w:r>
    </w:p>
    <w:p>
      <w:pPr>
        <w:spacing w:after="0" w:line="151"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1.71 </w:t>
      </w:r>
      <w:r>
        <w:rPr>
          <w:rFonts w:ascii="Arial" w:cs="Arial" w:eastAsia="Arial" w:hAnsi="Arial"/>
          <w:sz w:val="21"/>
          <w:szCs w:val="21"/>
          <w:color w:val="auto"/>
        </w:rPr>
        <w:t>“</w:t>
      </w:r>
      <w:r>
        <w:rPr>
          <w:rFonts w:ascii="Arial" w:cs="Arial" w:eastAsia="Arial" w:hAnsi="Arial"/>
          <w:sz w:val="21"/>
          <w:szCs w:val="21"/>
          <w:b w:val="1"/>
          <w:bCs w:val="1"/>
          <w:color w:val="auto"/>
        </w:rPr>
        <w:t>Regulatory Authority</w:t>
      </w:r>
      <w:r>
        <w:rPr>
          <w:rFonts w:ascii="Arial" w:cs="Arial" w:eastAsia="Arial" w:hAnsi="Arial"/>
          <w:sz w:val="21"/>
          <w:szCs w:val="21"/>
          <w:color w:val="auto"/>
        </w:rPr>
        <w:t>” means, in a particular country or jurisdiction, any applicable Governmental Authority</w:t>
      </w:r>
      <w:r>
        <w:rPr>
          <w:rFonts w:ascii="Arial" w:cs="Arial" w:eastAsia="Arial" w:hAnsi="Arial"/>
          <w:sz w:val="21"/>
          <w:szCs w:val="21"/>
          <w:b w:val="1"/>
          <w:bCs w:val="1"/>
          <w:color w:val="auto"/>
        </w:rPr>
        <w:t xml:space="preserve"> </w:t>
      </w:r>
      <w:r>
        <w:rPr>
          <w:rFonts w:ascii="Arial" w:cs="Arial" w:eastAsia="Arial" w:hAnsi="Arial"/>
          <w:sz w:val="21"/>
          <w:szCs w:val="21"/>
          <w:color w:val="auto"/>
        </w:rPr>
        <w:t>involved in granting Regulatory Approval in such country or jurisdiction.</w:t>
      </w:r>
    </w:p>
    <w:p>
      <w:pPr>
        <w:spacing w:after="0" w:line="139" w:lineRule="exact"/>
        <w:rPr>
          <w:sz w:val="20"/>
          <w:szCs w:val="20"/>
          <w:color w:val="auto"/>
        </w:rPr>
      </w:pPr>
    </w:p>
    <w:p>
      <w:pPr>
        <w:jc w:val="both"/>
        <w:ind w:firstLine="644"/>
        <w:spacing w:after="0" w:line="224" w:lineRule="auto"/>
        <w:rPr>
          <w:sz w:val="20"/>
          <w:szCs w:val="20"/>
          <w:color w:val="auto"/>
        </w:rPr>
      </w:pPr>
      <w:r>
        <w:rPr>
          <w:rFonts w:ascii="Arial" w:cs="Arial" w:eastAsia="Arial" w:hAnsi="Arial"/>
          <w:sz w:val="21"/>
          <w:szCs w:val="21"/>
          <w:b w:val="1"/>
          <w:bCs w:val="1"/>
          <w:color w:val="auto"/>
        </w:rPr>
        <w:t xml:space="preserve">1.72 </w:t>
      </w:r>
      <w:r>
        <w:rPr>
          <w:rFonts w:ascii="Arial" w:cs="Arial" w:eastAsia="Arial" w:hAnsi="Arial"/>
          <w:sz w:val="21"/>
          <w:szCs w:val="21"/>
          <w:color w:val="auto"/>
        </w:rPr>
        <w:t>“</w:t>
      </w:r>
      <w:r>
        <w:rPr>
          <w:rFonts w:ascii="Arial" w:cs="Arial" w:eastAsia="Arial" w:hAnsi="Arial"/>
          <w:sz w:val="21"/>
          <w:szCs w:val="21"/>
          <w:b w:val="1"/>
          <w:bCs w:val="1"/>
          <w:color w:val="auto"/>
        </w:rPr>
        <w:t>Regulatory Exclusivity</w:t>
      </w:r>
      <w:r>
        <w:rPr>
          <w:rFonts w:ascii="Arial" w:cs="Arial" w:eastAsia="Arial" w:hAnsi="Arial"/>
          <w:sz w:val="21"/>
          <w:szCs w:val="21"/>
          <w:color w:val="auto"/>
        </w:rPr>
        <w:t>” means any exclusive marketing rights or data exclusivity rights conferred by any</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Authority with respect to a pharmaceutical product, including any such right that may become available following the Effective Date, including orphan drug exclusivity, new chemical entity exclusivity, data exclusivity, pediatric exclusivity, rights conferred in the United States under the Hatch-Waxman Act or the FDA Modernization Act of 1997 (but excluding any patent term extension mechanism), or rights similar thereto outside the United States, but in all cases excluding Patents and patent term extensions based on such rights.</w:t>
      </w:r>
    </w:p>
    <w:p>
      <w:pPr>
        <w:spacing w:after="0" w:line="151"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 xml:space="preserve">1.73 </w:t>
      </w:r>
      <w:r>
        <w:rPr>
          <w:rFonts w:ascii="Arial" w:cs="Arial" w:eastAsia="Arial" w:hAnsi="Arial"/>
          <w:sz w:val="21"/>
          <w:szCs w:val="21"/>
          <w:color w:val="auto"/>
        </w:rPr>
        <w:t>“</w:t>
      </w:r>
      <w:r>
        <w:rPr>
          <w:rFonts w:ascii="Arial" w:cs="Arial" w:eastAsia="Arial" w:hAnsi="Arial"/>
          <w:sz w:val="21"/>
          <w:szCs w:val="21"/>
          <w:b w:val="1"/>
          <w:bCs w:val="1"/>
          <w:color w:val="auto"/>
        </w:rPr>
        <w:t>Regulatory Materials</w:t>
      </w:r>
      <w:r>
        <w:rPr>
          <w:rFonts w:ascii="Arial" w:cs="Arial" w:eastAsia="Arial" w:hAnsi="Arial"/>
          <w:sz w:val="21"/>
          <w:szCs w:val="21"/>
          <w:color w:val="auto"/>
        </w:rPr>
        <w:t>” means regulatory applications (including MAA), submissions, notifications,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communications, correspondence, registrations, Regulatory Approvals and/or other filings made to, received from or otherwise conducted with a Regulatory Authority in order to Develop, Manufacture, market, sell or otherwise Commercialize Licensed Products in a particular country or jurisdiction.</w:t>
      </w:r>
    </w:p>
    <w:p>
      <w:pPr>
        <w:spacing w:after="0" w:line="152"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1.74 </w:t>
      </w:r>
      <w:r>
        <w:rPr>
          <w:rFonts w:ascii="Arial" w:cs="Arial" w:eastAsia="Arial" w:hAnsi="Arial"/>
          <w:sz w:val="21"/>
          <w:szCs w:val="21"/>
          <w:color w:val="auto"/>
        </w:rPr>
        <w:t>“</w:t>
      </w:r>
      <w:r>
        <w:rPr>
          <w:rFonts w:ascii="Arial" w:cs="Arial" w:eastAsia="Arial" w:hAnsi="Arial"/>
          <w:sz w:val="21"/>
          <w:szCs w:val="21"/>
          <w:b w:val="1"/>
          <w:bCs w:val="1"/>
          <w:color w:val="auto"/>
        </w:rPr>
        <w:t>Representatives</w:t>
      </w:r>
      <w:r>
        <w:rPr>
          <w:rFonts w:ascii="Arial" w:cs="Arial" w:eastAsia="Arial" w:hAnsi="Arial"/>
          <w:sz w:val="21"/>
          <w:szCs w:val="21"/>
          <w:color w:val="auto"/>
        </w:rPr>
        <w:t>” means, as to any Person, such Person’s Affiliates and its and their successors, controlling</w:t>
      </w:r>
      <w:r>
        <w:rPr>
          <w:rFonts w:ascii="Arial" w:cs="Arial" w:eastAsia="Arial" w:hAnsi="Arial"/>
          <w:sz w:val="21"/>
          <w:szCs w:val="21"/>
          <w:b w:val="1"/>
          <w:bCs w:val="1"/>
          <w:color w:val="auto"/>
        </w:rPr>
        <w:t xml:space="preserve"> </w:t>
      </w:r>
      <w:r>
        <w:rPr>
          <w:rFonts w:ascii="Arial" w:cs="Arial" w:eastAsia="Arial" w:hAnsi="Arial"/>
          <w:sz w:val="21"/>
          <w:szCs w:val="21"/>
          <w:color w:val="auto"/>
        </w:rPr>
        <w:t>Persons, directors, officers and employees.</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 xml:space="preserve">1.75 </w:t>
      </w:r>
      <w:r>
        <w:rPr>
          <w:rFonts w:ascii="Arial" w:cs="Arial" w:eastAsia="Arial" w:hAnsi="Arial"/>
          <w:sz w:val="21"/>
          <w:szCs w:val="21"/>
          <w:color w:val="auto"/>
        </w:rPr>
        <w:t>“</w:t>
      </w:r>
      <w:r>
        <w:rPr>
          <w:rFonts w:ascii="Arial" w:cs="Arial" w:eastAsia="Arial" w:hAnsi="Arial"/>
          <w:sz w:val="21"/>
          <w:szCs w:val="21"/>
          <w:b w:val="1"/>
          <w:bCs w:val="1"/>
          <w:color w:val="auto"/>
        </w:rPr>
        <w:t>Tax Withholding</w:t>
      </w:r>
      <w:r>
        <w:rPr>
          <w:rFonts w:ascii="Arial" w:cs="Arial" w:eastAsia="Arial" w:hAnsi="Arial"/>
          <w:sz w:val="21"/>
          <w:szCs w:val="21"/>
          <w:color w:val="auto"/>
        </w:rPr>
        <w:t>” means any tax deduction, tax withholding or similar payment from any amount paid or payable</w:t>
      </w:r>
      <w:r>
        <w:rPr>
          <w:rFonts w:ascii="Arial" w:cs="Arial" w:eastAsia="Arial" w:hAnsi="Arial"/>
          <w:sz w:val="21"/>
          <w:szCs w:val="21"/>
          <w:b w:val="1"/>
          <w:bCs w:val="1"/>
          <w:color w:val="auto"/>
        </w:rPr>
        <w:t xml:space="preserve"> </w:t>
      </w:r>
      <w:r>
        <w:rPr>
          <w:rFonts w:ascii="Arial" w:cs="Arial" w:eastAsia="Arial" w:hAnsi="Arial"/>
          <w:sz w:val="21"/>
          <w:szCs w:val="21"/>
          <w:color w:val="auto"/>
        </w:rPr>
        <w:t>by Hansoh to Keros.</w:t>
      </w:r>
    </w:p>
    <w:p>
      <w:pPr>
        <w:spacing w:after="0" w:line="13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Hansoh Territory or the Keros Territory,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93" w:right="339" w:bottom="1440" w:gutter="0" w:footer="0" w:header="0"/>
        </w:sectPr>
      </w:pPr>
    </w:p>
    <w:bookmarkStart w:id="150" w:name="page151"/>
    <w:bookmarkEnd w:id="150"/>
    <w:p>
      <w:pPr>
        <w:ind w:left="660"/>
        <w:spacing w:after="0"/>
        <w:tabs>
          <w:tab w:leader="none" w:pos="1220" w:val="left"/>
        </w:tabs>
        <w:rPr>
          <w:sz w:val="20"/>
          <w:szCs w:val="20"/>
          <w:color w:val="auto"/>
        </w:rPr>
      </w:pPr>
      <w:r>
        <w:rPr>
          <w:rFonts w:ascii="Arial" w:cs="Arial" w:eastAsia="Arial" w:hAnsi="Arial"/>
          <w:sz w:val="21"/>
          <w:szCs w:val="21"/>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 Party or an Affiliate of a Party.</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w:t>
      </w:r>
      <w:r>
        <w:rPr>
          <w:rFonts w:ascii="Arial" w:cs="Arial" w:eastAsia="Arial" w:hAnsi="Arial"/>
          <w:sz w:val="19"/>
          <w:szCs w:val="19"/>
          <w:color w:val="auto"/>
        </w:rPr>
        <w:t>” or “</w:t>
      </w:r>
      <w:r>
        <w:rPr>
          <w:rFonts w:ascii="Arial" w:cs="Arial" w:eastAsia="Arial" w:hAnsi="Arial"/>
          <w:sz w:val="19"/>
          <w:szCs w:val="19"/>
          <w:b w:val="1"/>
          <w:bCs w:val="1"/>
          <w:color w:val="auto"/>
        </w:rPr>
        <w:t>USA</w:t>
      </w:r>
      <w:r>
        <w:rPr>
          <w:rFonts w:ascii="Arial" w:cs="Arial" w:eastAsia="Arial" w:hAnsi="Arial"/>
          <w:sz w:val="19"/>
          <w:szCs w:val="19"/>
          <w:color w:val="auto"/>
        </w:rPr>
        <w:t>” means the United States of America, including all possessions and territories thereof.</w:t>
      </w:r>
    </w:p>
    <w:p>
      <w:pPr>
        <w:spacing w:after="0" w:line="18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 Dollar</w:t>
      </w:r>
      <w:r>
        <w:rPr>
          <w:rFonts w:ascii="Arial" w:cs="Arial" w:eastAsia="Arial" w:hAnsi="Arial"/>
          <w:sz w:val="19"/>
          <w:szCs w:val="19"/>
          <w:color w:val="auto"/>
        </w:rPr>
        <w:t>” means a U.S. dollar, and “</w:t>
      </w:r>
      <w:r>
        <w:rPr>
          <w:rFonts w:ascii="Arial" w:cs="Arial" w:eastAsia="Arial" w:hAnsi="Arial"/>
          <w:sz w:val="19"/>
          <w:szCs w:val="19"/>
          <w:b w:val="1"/>
          <w:bCs w:val="1"/>
          <w:color w:val="auto"/>
        </w:rPr>
        <w:t>US$</w:t>
      </w:r>
      <w:r>
        <w:rPr>
          <w:rFonts w:ascii="Arial" w:cs="Arial" w:eastAsia="Arial" w:hAnsi="Arial"/>
          <w:sz w:val="19"/>
          <w:szCs w:val="19"/>
          <w:color w:val="auto"/>
        </w:rPr>
        <w:t>” shall be interpreted accordingly.</w:t>
      </w:r>
    </w:p>
    <w:p>
      <w:pPr>
        <w:spacing w:after="0" w:line="188" w:lineRule="exact"/>
        <w:rPr>
          <w:sz w:val="20"/>
          <w:szCs w:val="20"/>
          <w:color w:val="auto"/>
        </w:rPr>
      </w:pPr>
    </w:p>
    <w:p>
      <w:pPr>
        <w:jc w:val="both"/>
        <w:ind w:right="20" w:firstLine="644"/>
        <w:spacing w:after="0" w:line="226" w:lineRule="auto"/>
        <w:rPr>
          <w:sz w:val="20"/>
          <w:szCs w:val="20"/>
          <w:color w:val="auto"/>
        </w:rPr>
      </w:pPr>
      <w:r>
        <w:rPr>
          <w:rFonts w:ascii="Arial" w:cs="Arial" w:eastAsia="Arial" w:hAnsi="Arial"/>
          <w:sz w:val="21"/>
          <w:szCs w:val="21"/>
          <w:b w:val="1"/>
          <w:bCs w:val="1"/>
          <w:color w:val="auto"/>
        </w:rPr>
        <w:t xml:space="preserve">1.80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claim (including a process, use, or composition of matter claim) of (a) an issued and</w:t>
      </w:r>
      <w:r>
        <w:rPr>
          <w:rFonts w:ascii="Arial" w:cs="Arial" w:eastAsia="Arial" w:hAnsi="Arial"/>
          <w:sz w:val="21"/>
          <w:szCs w:val="21"/>
          <w:b w:val="1"/>
          <w:bCs w:val="1"/>
          <w:color w:val="auto"/>
        </w:rPr>
        <w:t xml:space="preserve"> </w:t>
      </w:r>
      <w:r>
        <w:rPr>
          <w:rFonts w:ascii="Arial" w:cs="Arial" w:eastAsia="Arial" w:hAnsi="Arial"/>
          <w:sz w:val="21"/>
          <w:szCs w:val="21"/>
          <w:color w:val="auto"/>
        </w:rPr>
        <w:t>unexpired Patent that has not (i) irretrievably lapsed or been revoked, dedicated to the public or disclaimed or (ii)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 [***].</w:t>
      </w:r>
    </w:p>
    <w:p>
      <w:pPr>
        <w:spacing w:after="0" w:line="151" w:lineRule="exact"/>
        <w:rPr>
          <w:sz w:val="20"/>
          <w:szCs w:val="20"/>
          <w:color w:val="auto"/>
        </w:rPr>
      </w:pPr>
    </w:p>
    <w:p>
      <w:pPr>
        <w:jc w:val="both"/>
        <w:ind w:right="40" w:firstLine="644"/>
        <w:spacing w:after="0" w:line="251" w:lineRule="auto"/>
        <w:rPr>
          <w:sz w:val="20"/>
          <w:szCs w:val="20"/>
          <w:color w:val="auto"/>
        </w:rPr>
      </w:pPr>
      <w:r>
        <w:rPr>
          <w:rFonts w:ascii="Arial" w:cs="Arial" w:eastAsia="Arial" w:hAnsi="Arial"/>
          <w:sz w:val="21"/>
          <w:szCs w:val="21"/>
          <w:b w:val="1"/>
          <w:bCs w:val="1"/>
          <w:color w:val="auto"/>
        </w:rPr>
        <w:t xml:space="preserve">1.81 </w:t>
      </w:r>
      <w:r>
        <w:rPr>
          <w:rFonts w:ascii="Arial" w:cs="Arial" w:eastAsia="Arial" w:hAnsi="Arial"/>
          <w:sz w:val="21"/>
          <w:szCs w:val="21"/>
          <w:color w:val="auto"/>
        </w:rPr>
        <w:t>“</w:t>
      </w:r>
      <w:r>
        <w:rPr>
          <w:rFonts w:ascii="Arial" w:cs="Arial" w:eastAsia="Arial" w:hAnsi="Arial"/>
          <w:sz w:val="21"/>
          <w:szCs w:val="21"/>
          <w:b w:val="1"/>
          <w:bCs w:val="1"/>
          <w:color w:val="auto"/>
        </w:rPr>
        <w:t>Voluntary Phase 4 Clinical Trial</w:t>
      </w:r>
      <w:r>
        <w:rPr>
          <w:rFonts w:ascii="Arial" w:cs="Arial" w:eastAsia="Arial" w:hAnsi="Arial"/>
          <w:sz w:val="21"/>
          <w:szCs w:val="21"/>
          <w:color w:val="auto"/>
        </w:rPr>
        <w:t>” means a Phase 4 Clinical Trial that is not conducted to satisfy a requirement of</w:t>
      </w:r>
      <w:r>
        <w:rPr>
          <w:rFonts w:ascii="Arial" w:cs="Arial" w:eastAsia="Arial" w:hAnsi="Arial"/>
          <w:sz w:val="21"/>
          <w:szCs w:val="21"/>
          <w:b w:val="1"/>
          <w:bCs w:val="1"/>
          <w:color w:val="auto"/>
        </w:rPr>
        <w:t xml:space="preserve"> </w:t>
      </w:r>
      <w:r>
        <w:rPr>
          <w:rFonts w:ascii="Arial" w:cs="Arial" w:eastAsia="Arial" w:hAnsi="Arial"/>
          <w:sz w:val="21"/>
          <w:szCs w:val="21"/>
          <w:color w:val="auto"/>
        </w:rPr>
        <w:t>a Regulatory Authority in order to maintain a Regulatory Approval for such Licensed Product.</w:t>
      </w:r>
    </w:p>
    <w:p>
      <w:pPr>
        <w:spacing w:after="0" w:line="13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1.82</w:t>
      </w:r>
      <w:r>
        <w:rPr>
          <w:sz w:val="20"/>
          <w:szCs w:val="20"/>
          <w:color w:val="auto"/>
        </w:rPr>
        <w:tab/>
      </w:r>
      <w:r>
        <w:rPr>
          <w:rFonts w:ascii="Arial" w:cs="Arial" w:eastAsia="Arial" w:hAnsi="Arial"/>
          <w:sz w:val="19"/>
          <w:szCs w:val="19"/>
          <w:b w:val="1"/>
          <w:bCs w:val="1"/>
          <w:color w:val="auto"/>
        </w:rPr>
        <w:t>Additional Definitions</w:t>
      </w:r>
      <w:r>
        <w:rPr>
          <w:rFonts w:ascii="Arial" w:cs="Arial" w:eastAsia="Arial" w:hAnsi="Arial"/>
          <w:sz w:val="19"/>
          <w:szCs w:val="19"/>
          <w:color w:val="auto"/>
        </w:rPr>
        <w:t>: The following table identifies the location of definitions set forth in various Sections of the</w:t>
      </w:r>
    </w:p>
    <w:p>
      <w:pPr>
        <w:spacing w:after="0"/>
        <w:rPr>
          <w:sz w:val="20"/>
          <w:szCs w:val="20"/>
          <w:color w:val="auto"/>
        </w:rPr>
      </w:pPr>
      <w:r>
        <w:rPr>
          <w:rFonts w:ascii="Arial" w:cs="Arial" w:eastAsia="Arial" w:hAnsi="Arial"/>
          <w:sz w:val="21"/>
          <w:szCs w:val="21"/>
          <w:color w:val="auto"/>
        </w:rPr>
        <w:t>Agreement:</w:t>
      </w:r>
    </w:p>
    <w:p>
      <w:pPr>
        <w:spacing w:after="0" w:line="212" w:lineRule="exact"/>
        <w:rPr>
          <w:sz w:val="20"/>
          <w:szCs w:val="20"/>
          <w:color w:val="auto"/>
        </w:rPr>
      </w:pPr>
    </w:p>
    <w:tbl>
      <w:tblPr>
        <w:tblLayout w:type="fixed"/>
        <w:tblInd w:w="90" w:type="dxa"/>
        <w:tblCellMar>
          <w:top w:w="0" w:type="dxa"/>
          <w:left w:w="0" w:type="dxa"/>
          <w:bottom w:w="0" w:type="dxa"/>
          <w:right w:w="0" w:type="dxa"/>
        </w:tblCellMar>
      </w:tblPr>
      <w:tr>
        <w:trPr>
          <w:trHeight w:val="282"/>
        </w:trPr>
        <w:tc>
          <w:tcPr>
            <w:tcW w:w="85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b w:val="1"/>
                <w:bCs w:val="1"/>
                <w:color w:val="auto"/>
              </w:rPr>
              <w:t>Defined Terms</w:t>
            </w:r>
          </w:p>
        </w:tc>
        <w:tc>
          <w:tcPr>
            <w:tcW w:w="26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1"/>
                <w:szCs w:val="21"/>
                <w:b w:val="1"/>
                <w:bCs w:val="1"/>
                <w:color w:val="auto"/>
              </w:rPr>
              <w:t>Section</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Acquiring Party</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2.7</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Additional Indication Development Plan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4.3(b)</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Agreement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Preamble</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Alliance Manager</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3.1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API</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1.57</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Claims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Combination Product Dispute</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1.60</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Commercialization Plan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6.2(a)</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Competing Program</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2.5</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Confidentiality Agreement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1.19</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CTD</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1.17</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Data Sharing Agreement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4.7(a)</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Development Plan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4.2</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Dispute</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14.1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Effective Date</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Preamble</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Enforcement Action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9.4(c)(i)</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Enforcing Party</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9.4(c)(i)</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GAAP</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Global Clinical Trial</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4.3(c)</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Global Clinical Trial Plan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4.3(c)</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Hansoh</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Preamble</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Hansoh Indemnitees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Hansoh Inventions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9.1(b)(ii)</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Hansoh Product Mark</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9.6(d)</w:t>
            </w:r>
          </w:p>
        </w:tc>
      </w:tr>
    </w:tbl>
    <w:p>
      <w:pPr>
        <w:spacing w:after="0" w:line="200" w:lineRule="exact"/>
        <w:rPr>
          <w:sz w:val="20"/>
          <w:szCs w:val="20"/>
          <w:color w:val="auto"/>
        </w:rPr>
      </w:pPr>
    </w:p>
    <w:p>
      <w:pPr>
        <w:sectPr>
          <w:pgSz w:w="11900" w:h="16838" w:orient="portrait"/>
          <w:cols w:equalWidth="0" w:num="1">
            <w:col w:w="11260"/>
          </w:cols>
          <w:pgMar w:left="320" w:top="138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60"/>
          </w:cols>
          <w:pgMar w:left="320" w:top="1387" w:right="319" w:bottom="1440" w:gutter="0" w:footer="0" w:header="0"/>
          <w:type w:val="continuous"/>
        </w:sectPr>
      </w:pPr>
    </w:p>
    <w:bookmarkStart w:id="151" w:name="page152"/>
    <w:bookmarkEnd w:id="151"/>
    <w:tbl>
      <w:tblPr>
        <w:tblLayout w:type="fixed"/>
        <w:tblInd w:w="10" w:type="dxa"/>
        <w:tblCellMar>
          <w:top w:w="0" w:type="dxa"/>
          <w:left w:w="0" w:type="dxa"/>
          <w:bottom w:w="0" w:type="dxa"/>
          <w:right w:w="0" w:type="dxa"/>
        </w:tblCellMar>
      </w:tblPr>
      <w:tr>
        <w:trPr>
          <w:trHeight w:val="282"/>
        </w:trPr>
        <w:tc>
          <w:tcPr>
            <w:tcW w:w="85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Hansoh Sublicense</w:t>
            </w:r>
          </w:p>
        </w:tc>
        <w:tc>
          <w:tcPr>
            <w:tcW w:w="260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2.1(c)</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HGRAC</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10.4(a)</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IFRS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Indemnified Party</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11.3</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Indemnifying Party</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11.3</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Infringement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9.4(a)</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Initial Development Plan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4.2</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Joint Coordination Committee (JCC)</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3.2(a)</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Joint Inventions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9.1(b)(iii)</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Keros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Preamble</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Keros Indemnitees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11.2</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Keros Inventions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9.1(b)(i)</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Keros Partner</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2.2</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Licensed Mark</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9.6(a)</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Local Clinical Trial</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4.3(d)</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Local Clinical Trial Plan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4.3(d)</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Losses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11.1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Manufacturing Technology Transfer Agreement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7.2</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NDA</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1.59</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Party</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Preamble</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Pharmacovigilance Agreement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5.8</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Product Materials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4.7(a)</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Publication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12.4</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13.7(g)(ii)</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Region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1.39</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Remedial Action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5.9</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13.7(f)</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Royalty Term</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8.4(b)</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Rules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14.2(a)</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SEC</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12.3(c)</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Step-In Rights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9.2(d)</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Supply Agreement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7.1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Term</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13.1</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Third Party Infringement Actions</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9.5</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Third Party Restriction</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10.2(e)</w:t>
            </w:r>
          </w:p>
        </w:tc>
      </w:tr>
      <w:tr>
        <w:trPr>
          <w:trHeight w:val="262"/>
        </w:trPr>
        <w:tc>
          <w:tcPr>
            <w:tcW w:w="858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VAT</w:t>
            </w: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1"/>
                <w:szCs w:val="21"/>
                <w:color w:val="auto"/>
              </w:rPr>
              <w:t>8.10(c)</w:t>
            </w:r>
          </w:p>
        </w:tc>
      </w:tr>
    </w:tbl>
    <w:p>
      <w:pPr>
        <w:spacing w:after="0" w:line="200" w:lineRule="exact"/>
        <w:rPr>
          <w:sz w:val="20"/>
          <w:szCs w:val="20"/>
          <w:color w:val="auto"/>
        </w:rPr>
      </w:pPr>
    </w:p>
    <w:p>
      <w:pPr>
        <w:sectPr>
          <w:pgSz w:w="11900" w:h="16838" w:orient="portrait"/>
          <w:cols w:equalWidth="0" w:num="1">
            <w:col w:w="11180"/>
          </w:cols>
          <w:pgMar w:left="400" w:top="143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80"/>
          </w:cols>
          <w:pgMar w:left="400" w:top="1435" w:right="319" w:bottom="144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21"/>
          <w:szCs w:val="21"/>
          <w:b w:val="1"/>
          <w:bCs w:val="1"/>
          <w:color w:val="auto"/>
        </w:rPr>
        <w:t>ARTICLE 2</w:t>
      </w:r>
    </w:p>
    <w:p>
      <w:pPr>
        <w:jc w:val="center"/>
        <w:spacing w:after="0"/>
        <w:rPr>
          <w:sz w:val="20"/>
          <w:szCs w:val="20"/>
          <w:color w:val="auto"/>
        </w:rPr>
      </w:pPr>
      <w:r>
        <w:rPr>
          <w:rFonts w:ascii="Arial" w:cs="Arial" w:eastAsia="Arial" w:hAnsi="Arial"/>
          <w:sz w:val="21"/>
          <w:szCs w:val="21"/>
          <w:b w:val="1"/>
          <w:bCs w:val="1"/>
          <w:color w:val="auto"/>
        </w:rPr>
        <w:t>LICENSE</w:t>
      </w:r>
    </w:p>
    <w:p>
      <w:pPr>
        <w:spacing w:after="0" w:line="16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2.1</w:t>
      </w:r>
      <w:r>
        <w:rPr>
          <w:sz w:val="20"/>
          <w:szCs w:val="20"/>
          <w:color w:val="auto"/>
        </w:rPr>
        <w:tab/>
      </w:r>
      <w:r>
        <w:rPr>
          <w:rFonts w:ascii="Arial" w:cs="Arial" w:eastAsia="Arial" w:hAnsi="Arial"/>
          <w:sz w:val="18"/>
          <w:szCs w:val="18"/>
          <w:b w:val="1"/>
          <w:bCs w:val="1"/>
          <w:color w:val="auto"/>
        </w:rPr>
        <w:t>License to Hansoh</w:t>
      </w:r>
      <w:r>
        <w:rPr>
          <w:rFonts w:ascii="Arial" w:cs="Arial" w:eastAsia="Arial" w:hAnsi="Arial"/>
          <w:sz w:val="18"/>
          <w:szCs w:val="18"/>
          <w:color w:val="auto"/>
        </w:rPr>
        <w:t>.</w:t>
      </w:r>
    </w:p>
    <w:p>
      <w:pPr>
        <w:spacing w:after="0" w:line="188" w:lineRule="exact"/>
        <w:rPr>
          <w:sz w:val="20"/>
          <w:szCs w:val="20"/>
          <w:color w:val="auto"/>
        </w:rPr>
      </w:pPr>
    </w:p>
    <w:p>
      <w:pPr>
        <w:jc w:val="both"/>
        <w:ind w:firstLine="1296"/>
        <w:spacing w:after="0" w:line="222" w:lineRule="auto"/>
        <w:tabs>
          <w:tab w:leader="none" w:pos="1873"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License Grant in the Hansoh Territory</w:t>
      </w:r>
      <w:r>
        <w:rPr>
          <w:rFonts w:ascii="Arial" w:cs="Arial" w:eastAsia="Arial" w:hAnsi="Arial"/>
          <w:sz w:val="21"/>
          <w:szCs w:val="21"/>
          <w:color w:val="auto"/>
        </w:rPr>
        <w:t>. Subject to the terms and conditions of this Agreement, Keros</w:t>
      </w:r>
      <w:r>
        <w:rPr>
          <w:rFonts w:ascii="Arial" w:cs="Arial" w:eastAsia="Arial" w:hAnsi="Arial"/>
          <w:sz w:val="21"/>
          <w:szCs w:val="21"/>
          <w:b w:val="1"/>
          <w:bCs w:val="1"/>
          <w:color w:val="auto"/>
        </w:rPr>
        <w:t xml:space="preserve"> </w:t>
      </w:r>
      <w:r>
        <w:rPr>
          <w:rFonts w:ascii="Arial" w:cs="Arial" w:eastAsia="Arial" w:hAnsi="Arial"/>
          <w:sz w:val="21"/>
          <w:szCs w:val="21"/>
          <w:color w:val="auto"/>
        </w:rPr>
        <w:t>hereby grants Hansoh an exclusive (even as to Keros except as provided in Section 2.1(b) below) license, with the right to sublicense (solely as provided in Section 2.1(c)), under the Keros Technology, to Develop, Manufacture and have Manufactured (solely to the extent set forth in Section 7.2), distribute, market, promote, sell, offer for sale, import, or otherwise Commercialize Licensed Products in the Field in the Hansoh Territory. As consideration for the foregoing license and access to and transfers of Information, including Keros Licensed Know-How, under this Agreement, Hansoh will make certain payments to Keros as set out in, and subject to the terms and conditions of Article 8.</w:t>
      </w:r>
    </w:p>
    <w:p>
      <w:pPr>
        <w:spacing w:after="0" w:line="154" w:lineRule="exact"/>
        <w:rPr>
          <w:rFonts w:ascii="Arial" w:cs="Arial" w:eastAsia="Arial" w:hAnsi="Arial"/>
          <w:sz w:val="21"/>
          <w:szCs w:val="21"/>
          <w:b w:val="1"/>
          <w:bCs w:val="1"/>
          <w:color w:val="auto"/>
        </w:rPr>
      </w:pPr>
    </w:p>
    <w:p>
      <w:pPr>
        <w:ind w:left="1920" w:hanging="624"/>
        <w:spacing w:after="0"/>
        <w:tabs>
          <w:tab w:leader="none" w:pos="1920"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Keros Retained Rights</w:t>
      </w:r>
      <w:r>
        <w:rPr>
          <w:rFonts w:ascii="Arial" w:cs="Arial" w:eastAsia="Arial" w:hAnsi="Arial"/>
          <w:sz w:val="20"/>
          <w:szCs w:val="20"/>
          <w:color w:val="auto"/>
        </w:rPr>
        <w:t>. Notwithstanding the rights granted to Hansoh in Section 2.1(a), Keros and its</w:t>
      </w:r>
    </w:p>
    <w:p>
      <w:pPr>
        <w:spacing w:after="0" w:line="8"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Affiliates shall retain:</w:t>
      </w:r>
    </w:p>
    <w:p>
      <w:pPr>
        <w:spacing w:after="0" w:line="169" w:lineRule="exact"/>
        <w:rPr>
          <w:rFonts w:ascii="Arial" w:cs="Arial" w:eastAsia="Arial" w:hAnsi="Arial"/>
          <w:sz w:val="20"/>
          <w:szCs w:val="20"/>
          <w:b w:val="1"/>
          <w:bCs w:val="1"/>
          <w:color w:val="auto"/>
        </w:rPr>
      </w:pPr>
    </w:p>
    <w:p>
      <w:pPr>
        <w:ind w:firstLine="1940"/>
        <w:spacing w:after="0" w:line="245" w:lineRule="auto"/>
        <w:tabs>
          <w:tab w:leader="none" w:pos="2430" w:val="left"/>
        </w:tabs>
        <w:numPr>
          <w:ilvl w:val="1"/>
          <w:numId w:val="83"/>
        </w:numPr>
        <w:rPr>
          <w:rFonts w:ascii="Arial" w:cs="Arial" w:eastAsia="Arial" w:hAnsi="Arial"/>
          <w:sz w:val="21"/>
          <w:szCs w:val="21"/>
          <w:b w:val="1"/>
          <w:bCs w:val="1"/>
          <w:color w:val="auto"/>
        </w:rPr>
      </w:pPr>
      <w:r>
        <w:rPr>
          <w:rFonts w:ascii="Arial" w:cs="Arial" w:eastAsia="Arial" w:hAnsi="Arial"/>
          <w:sz w:val="21"/>
          <w:szCs w:val="21"/>
          <w:color w:val="auto"/>
        </w:rPr>
        <w:t>the right to practice the Keros Technology within the scope of the license granted to Hansoh under Section 2.1(a) in order to perform, or have performed by a Third Party, Keros’ obligations under this Agreement;</w:t>
      </w:r>
    </w:p>
    <w:p>
      <w:pPr>
        <w:spacing w:after="0" w:line="151" w:lineRule="exact"/>
        <w:rPr>
          <w:rFonts w:ascii="Arial" w:cs="Arial" w:eastAsia="Arial" w:hAnsi="Arial"/>
          <w:sz w:val="21"/>
          <w:szCs w:val="21"/>
          <w:b w:val="1"/>
          <w:bCs w:val="1"/>
          <w:color w:val="auto"/>
        </w:rPr>
      </w:pPr>
    </w:p>
    <w:p>
      <w:pPr>
        <w:jc w:val="both"/>
        <w:ind w:firstLine="1940"/>
        <w:spacing w:after="0" w:line="227" w:lineRule="auto"/>
        <w:tabs>
          <w:tab w:leader="none" w:pos="2410" w:val="left"/>
        </w:tabs>
        <w:numPr>
          <w:ilvl w:val="1"/>
          <w:numId w:val="83"/>
        </w:numPr>
        <w:rPr>
          <w:rFonts w:ascii="Arial" w:cs="Arial" w:eastAsia="Arial" w:hAnsi="Arial"/>
          <w:sz w:val="21"/>
          <w:szCs w:val="21"/>
          <w:b w:val="1"/>
          <w:bCs w:val="1"/>
          <w:color w:val="auto"/>
        </w:rPr>
      </w:pPr>
      <w:r>
        <w:rPr>
          <w:rFonts w:ascii="Arial" w:cs="Arial" w:eastAsia="Arial" w:hAnsi="Arial"/>
          <w:sz w:val="21"/>
          <w:szCs w:val="21"/>
          <w:color w:val="auto"/>
        </w:rPr>
        <w:t xml:space="preserve">the right to conduct Development activities for a Licensed Product in the Field in the Hansoh Territory solely for the purpose of obtaining or maintaining Regulatory Approval of Licensed Products in the Keros Territory,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prior to Keros conducting any such Development activities, the Parties shall discuss in good faith such activities and Keros shall reasonably consider any comments of Hansoh in connection therewith; and</w:t>
      </w:r>
    </w:p>
    <w:p>
      <w:pPr>
        <w:spacing w:after="0" w:line="160" w:lineRule="exact"/>
        <w:rPr>
          <w:rFonts w:ascii="Arial" w:cs="Arial" w:eastAsia="Arial" w:hAnsi="Arial"/>
          <w:sz w:val="21"/>
          <w:szCs w:val="21"/>
          <w:b w:val="1"/>
          <w:bCs w:val="1"/>
          <w:color w:val="auto"/>
        </w:rPr>
      </w:pPr>
    </w:p>
    <w:p>
      <w:pPr>
        <w:ind w:firstLine="1940"/>
        <w:spacing w:after="0" w:line="245" w:lineRule="auto"/>
        <w:tabs>
          <w:tab w:leader="none" w:pos="2509" w:val="left"/>
        </w:tabs>
        <w:numPr>
          <w:ilvl w:val="1"/>
          <w:numId w:val="83"/>
        </w:numPr>
        <w:rPr>
          <w:rFonts w:ascii="Arial" w:cs="Arial" w:eastAsia="Arial" w:hAnsi="Arial"/>
          <w:sz w:val="21"/>
          <w:szCs w:val="21"/>
          <w:b w:val="1"/>
          <w:bCs w:val="1"/>
          <w:color w:val="auto"/>
        </w:rPr>
      </w:pPr>
      <w:r>
        <w:rPr>
          <w:rFonts w:ascii="Arial" w:cs="Arial" w:eastAsia="Arial" w:hAnsi="Arial"/>
          <w:sz w:val="21"/>
          <w:szCs w:val="21"/>
          <w:color w:val="auto"/>
        </w:rPr>
        <w:t>the right to Manufacture or have Manufactured Licensed Products anywhere in the world, solely for sale and use in the Keros Territory.</w:t>
      </w:r>
    </w:p>
    <w:p>
      <w:pPr>
        <w:spacing w:after="0" w:line="145" w:lineRule="exact"/>
        <w:rPr>
          <w:rFonts w:ascii="Arial" w:cs="Arial" w:eastAsia="Arial" w:hAnsi="Arial"/>
          <w:sz w:val="21"/>
          <w:szCs w:val="21"/>
          <w:b w:val="1"/>
          <w:bCs w:val="1"/>
          <w:color w:val="auto"/>
        </w:rPr>
      </w:pPr>
    </w:p>
    <w:p>
      <w:pPr>
        <w:jc w:val="both"/>
        <w:ind w:firstLine="1296"/>
        <w:spacing w:after="0" w:line="232" w:lineRule="auto"/>
        <w:tabs>
          <w:tab w:leader="none" w:pos="1784" w:val="left"/>
        </w:tabs>
        <w:numPr>
          <w:ilvl w:val="0"/>
          <w:numId w:val="83"/>
        </w:numPr>
        <w:rPr>
          <w:rFonts w:ascii="Arial" w:cs="Arial" w:eastAsia="Arial" w:hAnsi="Arial"/>
          <w:sz w:val="20"/>
          <w:szCs w:val="20"/>
          <w:b w:val="1"/>
          <w:bCs w:val="1"/>
          <w:color w:val="auto"/>
        </w:rPr>
      </w:pPr>
      <w:r>
        <w:rPr>
          <w:rFonts w:ascii="Arial" w:cs="Arial" w:eastAsia="Arial" w:hAnsi="Arial"/>
          <w:sz w:val="20"/>
          <w:szCs w:val="20"/>
          <w:b w:val="1"/>
          <w:bCs w:val="1"/>
          <w:color w:val="auto"/>
        </w:rPr>
        <w:t>Sublicense Rights</w:t>
      </w:r>
      <w:r>
        <w:rPr>
          <w:rFonts w:ascii="Arial" w:cs="Arial" w:eastAsia="Arial" w:hAnsi="Arial"/>
          <w:sz w:val="20"/>
          <w:szCs w:val="20"/>
          <w:color w:val="auto"/>
        </w:rPr>
        <w:t>. Hansoh shall have the right to grant sublicenses of the license granted in Section 2.1(a),</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sublicenses to a subset of the rights given in Section 2.1(a) to a Third Party, to (i) an Affiliate of Hansoh, and (ii) Third Parties, including without limitation contract research organizations, contract manufacturers, distributors, and other Third Party subcontractors, for the sole purpose of Development, Manufacture, or Commercialization of Licensed Products in the Field in the Hansoh Territory [***]. Each Hansoh Sublicense shall be consistent with the applicable terms and conditions of this Agreement, and Hansoh shall be solely responsible for all of its sublicensees’ activities and any and all failures by its sublicensees to comply with the terms of this Agreement applicable to sublicensees. Without limiting the foregoing, each Hansoh Sublicense shall include the following additional terms and conditions:</w:t>
      </w:r>
    </w:p>
    <w:p>
      <w:pPr>
        <w:spacing w:after="0" w:line="160" w:lineRule="exact"/>
        <w:rPr>
          <w:rFonts w:ascii="Arial" w:cs="Arial" w:eastAsia="Arial" w:hAnsi="Arial"/>
          <w:sz w:val="20"/>
          <w:szCs w:val="20"/>
          <w:b w:val="1"/>
          <w:bCs w:val="1"/>
          <w:color w:val="auto"/>
        </w:rPr>
      </w:pPr>
    </w:p>
    <w:p>
      <w:pPr>
        <w:ind w:left="2420" w:hanging="480"/>
        <w:spacing w:after="0"/>
        <w:tabs>
          <w:tab w:leader="none" w:pos="2420" w:val="left"/>
        </w:tabs>
        <w:numPr>
          <w:ilvl w:val="1"/>
          <w:numId w:val="83"/>
        </w:numPr>
        <w:rPr>
          <w:rFonts w:ascii="Arial" w:cs="Arial" w:eastAsia="Arial" w:hAnsi="Arial"/>
          <w:sz w:val="20"/>
          <w:szCs w:val="20"/>
          <w:b w:val="1"/>
          <w:bCs w:val="1"/>
          <w:color w:val="auto"/>
        </w:rPr>
      </w:pPr>
      <w:r>
        <w:rPr>
          <w:rFonts w:ascii="Arial" w:cs="Arial" w:eastAsia="Arial" w:hAnsi="Arial"/>
          <w:sz w:val="20"/>
          <w:szCs w:val="20"/>
          <w:color w:val="auto"/>
        </w:rPr>
        <w:t>the sublicensee shall be bound by confidentiality obligations no less stringent than those set forth in</w:t>
      </w:r>
    </w:p>
    <w:p>
      <w:pPr>
        <w:spacing w:after="0" w:line="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this Agreement;</w:t>
      </w:r>
    </w:p>
    <w:p>
      <w:pPr>
        <w:spacing w:after="0" w:line="169" w:lineRule="exact"/>
        <w:rPr>
          <w:rFonts w:ascii="Arial" w:cs="Arial" w:eastAsia="Arial" w:hAnsi="Arial"/>
          <w:sz w:val="20"/>
          <w:szCs w:val="20"/>
          <w:b w:val="1"/>
          <w:bCs w:val="1"/>
          <w:color w:val="auto"/>
        </w:rPr>
      </w:pPr>
    </w:p>
    <w:p>
      <w:pPr>
        <w:ind w:right="20" w:firstLine="1940"/>
        <w:spacing w:after="0" w:line="245" w:lineRule="auto"/>
        <w:tabs>
          <w:tab w:leader="none" w:pos="2436" w:val="left"/>
        </w:tabs>
        <w:numPr>
          <w:ilvl w:val="1"/>
          <w:numId w:val="83"/>
        </w:numPr>
        <w:rPr>
          <w:rFonts w:ascii="Arial" w:cs="Arial" w:eastAsia="Arial" w:hAnsi="Arial"/>
          <w:sz w:val="21"/>
          <w:szCs w:val="21"/>
          <w:b w:val="1"/>
          <w:bCs w:val="1"/>
          <w:color w:val="auto"/>
        </w:rPr>
      </w:pPr>
      <w:r>
        <w:rPr>
          <w:rFonts w:ascii="Arial" w:cs="Arial" w:eastAsia="Arial" w:hAnsi="Arial"/>
          <w:sz w:val="21"/>
          <w:szCs w:val="21"/>
          <w:color w:val="auto"/>
        </w:rPr>
        <w:t>the sublicensee shall have the right to grant further sublicenses to the Keros Technology through one tier with prior notice to [***];</w:t>
      </w:r>
    </w:p>
    <w:p>
      <w:pPr>
        <w:spacing w:after="0" w:line="151" w:lineRule="exact"/>
        <w:rPr>
          <w:rFonts w:ascii="Arial" w:cs="Arial" w:eastAsia="Arial" w:hAnsi="Arial"/>
          <w:sz w:val="21"/>
          <w:szCs w:val="21"/>
          <w:b w:val="1"/>
          <w:bCs w:val="1"/>
          <w:color w:val="auto"/>
        </w:rPr>
      </w:pPr>
    </w:p>
    <w:p>
      <w:pPr>
        <w:ind w:firstLine="1940"/>
        <w:spacing w:after="0" w:line="245" w:lineRule="auto"/>
        <w:tabs>
          <w:tab w:leader="none" w:pos="2563" w:val="left"/>
        </w:tabs>
        <w:numPr>
          <w:ilvl w:val="1"/>
          <w:numId w:val="83"/>
        </w:numPr>
        <w:rPr>
          <w:rFonts w:ascii="Arial" w:cs="Arial" w:eastAsia="Arial" w:hAnsi="Arial"/>
          <w:sz w:val="21"/>
          <w:szCs w:val="21"/>
          <w:b w:val="1"/>
          <w:bCs w:val="1"/>
          <w:color w:val="auto"/>
        </w:rPr>
      </w:pPr>
      <w:r>
        <w:rPr>
          <w:rFonts w:ascii="Arial" w:cs="Arial" w:eastAsia="Arial" w:hAnsi="Arial"/>
          <w:sz w:val="21"/>
          <w:szCs w:val="21"/>
          <w:color w:val="auto"/>
        </w:rPr>
        <w:t>Hansoh shall remain directly responsible for all of its obligations under this Agreement that have been delegated or sublicensed to any sublicensee;</w:t>
      </w:r>
    </w:p>
    <w:p>
      <w:pPr>
        <w:spacing w:after="0" w:line="151" w:lineRule="exact"/>
        <w:rPr>
          <w:rFonts w:ascii="Arial" w:cs="Arial" w:eastAsia="Arial" w:hAnsi="Arial"/>
          <w:sz w:val="21"/>
          <w:szCs w:val="21"/>
          <w:b w:val="1"/>
          <w:bCs w:val="1"/>
          <w:color w:val="auto"/>
        </w:rPr>
      </w:pPr>
    </w:p>
    <w:p>
      <w:pPr>
        <w:ind w:firstLine="1940"/>
        <w:spacing w:after="0" w:line="245" w:lineRule="auto"/>
        <w:tabs>
          <w:tab w:leader="none" w:pos="2565" w:val="left"/>
        </w:tabs>
        <w:numPr>
          <w:ilvl w:val="1"/>
          <w:numId w:val="83"/>
        </w:numPr>
        <w:rPr>
          <w:rFonts w:ascii="Arial" w:cs="Arial" w:eastAsia="Arial" w:hAnsi="Arial"/>
          <w:sz w:val="21"/>
          <w:szCs w:val="21"/>
          <w:b w:val="1"/>
          <w:bCs w:val="1"/>
          <w:color w:val="auto"/>
        </w:rPr>
      </w:pPr>
      <w:r>
        <w:rPr>
          <w:rFonts w:ascii="Arial" w:cs="Arial" w:eastAsia="Arial" w:hAnsi="Arial"/>
          <w:sz w:val="21"/>
          <w:szCs w:val="21"/>
          <w:color w:val="auto"/>
        </w:rPr>
        <w:t>the sublicensee shall grant Hansoh all of the rights necessary for Hansoh to fulfill its obligations under this Agreement, including Section 9.1;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84" w:right="339" w:bottom="1440" w:gutter="0" w:footer="0" w:header="0"/>
        </w:sectPr>
      </w:pPr>
    </w:p>
    <w:bookmarkStart w:id="153" w:name="page154"/>
    <w:bookmarkEnd w:id="153"/>
    <w:p>
      <w:pPr>
        <w:jc w:val="both"/>
        <w:ind w:firstLine="1940"/>
        <w:spacing w:after="0" w:line="232" w:lineRule="auto"/>
        <w:tabs>
          <w:tab w:leader="none" w:pos="2425" w:val="left"/>
        </w:tabs>
        <w:numPr>
          <w:ilvl w:val="0"/>
          <w:numId w:val="84"/>
        </w:numPr>
        <w:rPr>
          <w:rFonts w:ascii="Arial" w:cs="Arial" w:eastAsia="Arial" w:hAnsi="Arial"/>
          <w:sz w:val="21"/>
          <w:szCs w:val="21"/>
          <w:b w:val="1"/>
          <w:bCs w:val="1"/>
          <w:color w:val="auto"/>
        </w:rPr>
      </w:pPr>
      <w:r>
        <w:rPr>
          <w:rFonts w:ascii="Arial" w:cs="Arial" w:eastAsia="Arial" w:hAnsi="Arial"/>
          <w:sz w:val="21"/>
          <w:szCs w:val="21"/>
          <w:color w:val="auto"/>
        </w:rPr>
        <w:t>Hansoh shall use Commercially Reasonable Efforts to include in each Hansoh Sublicense a provision that, if this Agreement terminates, Keros may assume, at its sole discretion, Hansoh’s rights and obligations under the Hansoh Sublicense.</w:t>
      </w:r>
    </w:p>
    <w:p>
      <w:pPr>
        <w:spacing w:after="0" w:line="153"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19"/>
          <w:szCs w:val="19"/>
          <w:b w:val="1"/>
          <w:bCs w:val="1"/>
          <w:color w:val="auto"/>
        </w:rPr>
        <w:t>2.2 Keros Partner</w:t>
      </w:r>
      <w:r>
        <w:rPr>
          <w:rFonts w:ascii="Arial" w:cs="Arial" w:eastAsia="Arial" w:hAnsi="Arial"/>
          <w:sz w:val="19"/>
          <w:szCs w:val="19"/>
          <w:color w:val="auto"/>
        </w:rPr>
        <w:t>. Keros has the right, in its sole discretion, to enter into [***] or more agreements with Third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and grant such Third Parties the right to Develop, Manufacture, and Commercialize Licensed Products in [***] or more countries in the Keros Territory (each such Third Party, a “</w:t>
      </w:r>
      <w:r>
        <w:rPr>
          <w:rFonts w:ascii="Arial" w:cs="Arial" w:eastAsia="Arial" w:hAnsi="Arial"/>
          <w:sz w:val="19"/>
          <w:szCs w:val="19"/>
          <w:b w:val="1"/>
          <w:bCs w:val="1"/>
          <w:color w:val="auto"/>
        </w:rPr>
        <w:t>Keros Partner</w:t>
      </w:r>
      <w:r>
        <w:rPr>
          <w:rFonts w:ascii="Arial" w:cs="Arial" w:eastAsia="Arial" w:hAnsi="Arial"/>
          <w:sz w:val="19"/>
          <w:szCs w:val="19"/>
          <w:color w:val="auto"/>
        </w:rPr>
        <w:t>”). In addition, Keros shall have the right (but not the obligation) to exercise any or all of its rights and to fulfill any or all of its obligations under this Agreement through [***] or more Keros Partners. Keros shall use Commercially Reasonable Efforts to require that any such Keros Partner shall cooperate fully with Hansoh to the extent that Keros has the obligation under this Agreement to cooperate with Hansoh. Hansoh shall cooperate fully with any Keros Partner to the extent that Hansoh has the obligation under this Agreement to cooperate with Keros, provided [***]. If any conflict arises, Keros, Hansoh and any Keros Partner shall use good faith efforts to resolve such matter.</w:t>
      </w:r>
    </w:p>
    <w:p>
      <w:pPr>
        <w:spacing w:after="0" w:line="148" w:lineRule="exact"/>
        <w:rPr>
          <w:sz w:val="20"/>
          <w:szCs w:val="20"/>
          <w:color w:val="auto"/>
        </w:rPr>
      </w:pPr>
    </w:p>
    <w:p>
      <w:pPr>
        <w:jc w:val="both"/>
        <w:ind w:right="20" w:firstLine="644"/>
        <w:spacing w:after="0" w:line="251" w:lineRule="auto"/>
        <w:rPr>
          <w:sz w:val="20"/>
          <w:szCs w:val="20"/>
          <w:color w:val="auto"/>
        </w:rPr>
      </w:pPr>
      <w:r>
        <w:rPr>
          <w:rFonts w:ascii="Arial" w:cs="Arial" w:eastAsia="Arial" w:hAnsi="Arial"/>
          <w:sz w:val="21"/>
          <w:szCs w:val="21"/>
          <w:b w:val="1"/>
          <w:bCs w:val="1"/>
          <w:color w:val="auto"/>
        </w:rPr>
        <w:t>2.3 Negative Covenant</w:t>
      </w:r>
      <w:r>
        <w:rPr>
          <w:rFonts w:ascii="Arial" w:cs="Arial" w:eastAsia="Arial" w:hAnsi="Arial"/>
          <w:sz w:val="21"/>
          <w:szCs w:val="21"/>
          <w:color w:val="auto"/>
        </w:rPr>
        <w:t>. Hansoh covenants that it will not, and will not permit any of its Affiliates or sublicensees to,</w:t>
      </w:r>
      <w:r>
        <w:rPr>
          <w:rFonts w:ascii="Arial" w:cs="Arial" w:eastAsia="Arial" w:hAnsi="Arial"/>
          <w:sz w:val="21"/>
          <w:szCs w:val="21"/>
          <w:b w:val="1"/>
          <w:bCs w:val="1"/>
          <w:color w:val="auto"/>
        </w:rPr>
        <w:t xml:space="preserve"> </w:t>
      </w:r>
      <w:r>
        <w:rPr>
          <w:rFonts w:ascii="Arial" w:cs="Arial" w:eastAsia="Arial" w:hAnsi="Arial"/>
          <w:sz w:val="21"/>
          <w:szCs w:val="21"/>
          <w:color w:val="auto"/>
        </w:rPr>
        <w:t>use or practice any Keros Technology outside the scope of the licenses granted to it under Section 2.1(a).</w:t>
      </w:r>
    </w:p>
    <w:p>
      <w:pPr>
        <w:spacing w:after="0" w:line="139" w:lineRule="exact"/>
        <w:rPr>
          <w:sz w:val="20"/>
          <w:szCs w:val="20"/>
          <w:color w:val="auto"/>
        </w:rPr>
      </w:pPr>
    </w:p>
    <w:p>
      <w:pPr>
        <w:jc w:val="both"/>
        <w:ind w:firstLine="644"/>
        <w:spacing w:after="0" w:line="275" w:lineRule="auto"/>
        <w:rPr>
          <w:sz w:val="20"/>
          <w:szCs w:val="20"/>
          <w:color w:val="auto"/>
        </w:rPr>
      </w:pPr>
      <w:r>
        <w:rPr>
          <w:rFonts w:ascii="Arial" w:cs="Arial" w:eastAsia="Arial" w:hAnsi="Arial"/>
          <w:sz w:val="20"/>
          <w:szCs w:val="20"/>
          <w:b w:val="1"/>
          <w:bCs w:val="1"/>
          <w:color w:val="auto"/>
        </w:rPr>
        <w:t>2.4 No Implied Licenses</w:t>
      </w:r>
      <w:r>
        <w:rPr>
          <w:rFonts w:ascii="Arial" w:cs="Arial" w:eastAsia="Arial" w:hAnsi="Arial"/>
          <w:sz w:val="20"/>
          <w:szCs w:val="20"/>
          <w:color w:val="auto"/>
        </w:rPr>
        <w:t>. Except as explicitly set forth in this Agreement, neither Party shall be deemed by estoppel,</w:t>
      </w:r>
      <w:r>
        <w:rPr>
          <w:rFonts w:ascii="Arial" w:cs="Arial" w:eastAsia="Arial" w:hAnsi="Arial"/>
          <w:sz w:val="20"/>
          <w:szCs w:val="20"/>
          <w:b w:val="1"/>
          <w:bCs w:val="1"/>
          <w:color w:val="auto"/>
        </w:rPr>
        <w:t xml:space="preserve"> </w:t>
      </w:r>
      <w:r>
        <w:rPr>
          <w:rFonts w:ascii="Arial" w:cs="Arial" w:eastAsia="Arial" w:hAnsi="Arial"/>
          <w:sz w:val="20"/>
          <w:szCs w:val="20"/>
          <w:color w:val="auto"/>
        </w:rPr>
        <w:t>implication, or otherwise to have granted the other Party any license or other right to any intellectual property of such Party.</w:t>
      </w:r>
    </w:p>
    <w:p>
      <w:pPr>
        <w:spacing w:after="0" w:line="117" w:lineRule="exact"/>
        <w:rPr>
          <w:sz w:val="20"/>
          <w:szCs w:val="20"/>
          <w:color w:val="auto"/>
        </w:rPr>
      </w:pPr>
    </w:p>
    <w:p>
      <w:pPr>
        <w:jc w:val="both"/>
        <w:ind w:firstLine="644"/>
        <w:spacing w:after="0" w:line="239" w:lineRule="auto"/>
        <w:rPr>
          <w:sz w:val="20"/>
          <w:szCs w:val="20"/>
          <w:color w:val="auto"/>
        </w:rPr>
      </w:pPr>
      <w:r>
        <w:rPr>
          <w:rFonts w:ascii="Arial" w:cs="Arial" w:eastAsia="Arial" w:hAnsi="Arial"/>
          <w:sz w:val="19"/>
          <w:szCs w:val="19"/>
          <w:b w:val="1"/>
          <w:bCs w:val="1"/>
          <w:color w:val="auto"/>
        </w:rPr>
        <w:t>2.5 Non-Compete</w:t>
      </w:r>
      <w:r>
        <w:rPr>
          <w:rFonts w:ascii="Arial" w:cs="Arial" w:eastAsia="Arial" w:hAnsi="Arial"/>
          <w:sz w:val="19"/>
          <w:szCs w:val="19"/>
          <w:color w:val="auto"/>
        </w:rPr>
        <w:t>. During the Royalty Term, neither Party shall, directly or indirectly, either by itself or with or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of its Affiliates or any Third Party (including via any arrangement or series of arrangements with a Third Party), Commercialize any Competing Product in the Hansoh Territory. Notwithstanding Section 15.5, either Party may without such consent assign this Agreement and its rights and obligations hereunder in connection with a Change of Control,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either Party’s assignee has an active program for developing, manufacturing or commercializing a Competing Product (a “</w:t>
      </w:r>
      <w:r>
        <w:rPr>
          <w:rFonts w:ascii="Arial" w:cs="Arial" w:eastAsia="Arial" w:hAnsi="Arial"/>
          <w:sz w:val="19"/>
          <w:szCs w:val="19"/>
          <w:b w:val="1"/>
          <w:bCs w:val="1"/>
          <w:color w:val="auto"/>
        </w:rPr>
        <w:t>Competing Program</w:t>
      </w:r>
      <w:r>
        <w:rPr>
          <w:rFonts w:ascii="Arial" w:cs="Arial" w:eastAsia="Arial" w:hAnsi="Arial"/>
          <w:sz w:val="19"/>
          <w:szCs w:val="19"/>
          <w:color w:val="auto"/>
        </w:rPr>
        <w:t>”), then, within [***] after the closing of such Change of Control transaction, or such extended period as the Parties mutually agree, such assignee shall either: (a) Divest the Competing Program (including all rights to the Competing Product) to a Third Party with respect to the Hansoh Territory, (b) discontinue the Competing Program in the Hansoh Territory, or</w:t>
      </w:r>
    </w:p>
    <w:p>
      <w:pPr>
        <w:spacing w:after="0" w:line="1" w:lineRule="exact"/>
        <w:rPr>
          <w:sz w:val="20"/>
          <w:szCs w:val="20"/>
          <w:color w:val="auto"/>
        </w:rPr>
      </w:pPr>
    </w:p>
    <w:p>
      <w:pPr>
        <w:jc w:val="both"/>
        <w:ind w:firstLine="7"/>
        <w:spacing w:after="0" w:line="216" w:lineRule="auto"/>
        <w:tabs>
          <w:tab w:leader="none" w:pos="309"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suspend the Competing Program until the expiration of the non-competition obligations of this Section 2.5,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 such activities are conducted independently of the activities pursuant to this Agreement, (ii) such activities do not use, rely on, or reference any Keros Technology (in the case of Hansoh as the assignor) or Hansoh Technology (in the case of Keros as the assignor), and (iii) a firewall of reasonable safeguards is put in place between individuals with access to the items in clause (ii), on the one hand, and the individuals responsible for conducting such Competing Program, on the other hand. If such assignee fails to Divest, discontinue, or suspend the Competing Program in the Hansoh Territory within such [***] (or extended) period, then the non-assigning Party shall have the right to terminate this Agreement upon written notice to the assigning Party without any obligation to such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notice of termination must be provided within [***] after expiration of such [***] (or extended) period). The foregoing shall apply to any Change of Control of either Party, regardless of whether this Agreement is assigned to any such Third Party acquiror provided such acquiror has a Competing Program as of the consummation of the Change of Control transaction. For clarity, notwithstanding anything to the contrary, the non-assigning Party retains the right under Section 12.5 to seek specific performance of the assigning Party’s obligation to Divest or discontinue the Competing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93" w:right="339" w:bottom="1440" w:gutter="0" w:footer="0" w:header="0"/>
        </w:sectPr>
      </w:pPr>
    </w:p>
    <w:bookmarkStart w:id="154" w:name="page155"/>
    <w:bookmarkEnd w:id="154"/>
    <w:p>
      <w:pPr>
        <w:jc w:val="both"/>
        <w:ind w:firstLine="644"/>
        <w:spacing w:after="0" w:line="229" w:lineRule="auto"/>
        <w:rPr>
          <w:sz w:val="20"/>
          <w:szCs w:val="20"/>
          <w:color w:val="auto"/>
        </w:rPr>
      </w:pPr>
      <w:r>
        <w:rPr>
          <w:rFonts w:ascii="Arial" w:cs="Arial" w:eastAsia="Arial" w:hAnsi="Arial"/>
          <w:sz w:val="21"/>
          <w:szCs w:val="21"/>
          <w:b w:val="1"/>
          <w:bCs w:val="1"/>
          <w:color w:val="auto"/>
        </w:rPr>
        <w:t>2.6 Transfer of Keros Licensed Know-How</w:t>
      </w:r>
      <w:r>
        <w:rPr>
          <w:rFonts w:ascii="Arial" w:cs="Arial" w:eastAsia="Arial" w:hAnsi="Arial"/>
          <w:sz w:val="21"/>
          <w:szCs w:val="21"/>
          <w:color w:val="auto"/>
        </w:rPr>
        <w:t>. Reasonably promptly after the Effective Date, Keros shall, to the extent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expressly provided for in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xml:space="preserve">, provide Hansoh with complete and accurate copies of the Keros Licensed Know-How set forth in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Keros shall reasonably cooperate with Hansoh in providing Hansoh with copies of such Keros Licensed Know-How in accordance with the process and schedule agreed upon through the JCC.</w:t>
      </w:r>
    </w:p>
    <w:p>
      <w:pPr>
        <w:spacing w:after="0" w:line="152"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0"/>
          <w:szCs w:val="20"/>
          <w:b w:val="1"/>
          <w:bCs w:val="1"/>
          <w:color w:val="auto"/>
        </w:rPr>
        <w:t>2.7 Third Party Payment Obligations</w:t>
      </w:r>
      <w:r>
        <w:rPr>
          <w:rFonts w:ascii="Arial" w:cs="Arial" w:eastAsia="Arial" w:hAnsi="Arial"/>
          <w:sz w:val="20"/>
          <w:szCs w:val="20"/>
          <w:color w:val="auto"/>
        </w:rPr>
        <w:t>. In the event that a Party (the “</w:t>
      </w:r>
      <w:r>
        <w:rPr>
          <w:rFonts w:ascii="Arial" w:cs="Arial" w:eastAsia="Arial" w:hAnsi="Arial"/>
          <w:sz w:val="20"/>
          <w:szCs w:val="20"/>
          <w:b w:val="1"/>
          <w:bCs w:val="1"/>
          <w:color w:val="auto"/>
        </w:rPr>
        <w:t>Acquiring Party</w:t>
      </w:r>
      <w:r>
        <w:rPr>
          <w:rFonts w:ascii="Arial" w:cs="Arial" w:eastAsia="Arial" w:hAnsi="Arial"/>
          <w:sz w:val="20"/>
          <w:szCs w:val="20"/>
          <w:color w:val="auto"/>
        </w:rPr>
        <w:t>”) obtains a license or other right</w:t>
      </w:r>
      <w:r>
        <w:rPr>
          <w:rFonts w:ascii="Arial" w:cs="Arial" w:eastAsia="Arial" w:hAnsi="Arial"/>
          <w:sz w:val="20"/>
          <w:szCs w:val="20"/>
          <w:b w:val="1"/>
          <w:bCs w:val="1"/>
          <w:color w:val="auto"/>
        </w:rPr>
        <w:t xml:space="preserve"> </w:t>
      </w:r>
      <w:r>
        <w:rPr>
          <w:rFonts w:ascii="Arial" w:cs="Arial" w:eastAsia="Arial" w:hAnsi="Arial"/>
          <w:sz w:val="20"/>
          <w:szCs w:val="20"/>
          <w:color w:val="auto"/>
        </w:rPr>
        <w:t>to any material, Information, Patent, or other intellectual property of a Third Party which is necessary or reasonably useful to Develop, Manufacture, or Commercialize a Licensed Product and which would require or trigger a payment obligation to grant to the other Party a sublicense or other right to such material, Information, Patent, or other intellectual property, the Acquiring Party will promptly provide written notice to the other Party of such payment obligation. Following such notification, the Parties will negotiate in good faith commercially reasonable terms on which the non-Acquiring Party would (i) assume such payment obligation with respect thereto, and (ii) be bound by any obligations that are required to be passed on to any sublicensees with respect thereto. If the Parties are not able to reach agreement with respect to such terms, such material, Information, Patent, or other intellectual property shall not be deemed to be Controlled by the Acquiring Party for the purposes of this Agreement, and, if the Parties are able to reach agreement with respect to such terms, such material, Information, Patent, or other intellectual property shall, subject to the non-Acquiring Party complying with such payment obligations and terms, be deemed to be Controlled by the Acquiring Party for the purposes of this Agreement. For the avoidance of doubt, the Acquiring Party shall act in good faith during such negotiations [***].</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3</w:t>
      </w:r>
    </w:p>
    <w:p>
      <w:pPr>
        <w:jc w:val="center"/>
        <w:spacing w:after="0"/>
        <w:rPr>
          <w:sz w:val="20"/>
          <w:szCs w:val="20"/>
          <w:color w:val="auto"/>
        </w:rPr>
      </w:pPr>
      <w:r>
        <w:rPr>
          <w:rFonts w:ascii="Arial" w:cs="Arial" w:eastAsia="Arial" w:hAnsi="Arial"/>
          <w:sz w:val="21"/>
          <w:szCs w:val="21"/>
          <w:b w:val="1"/>
          <w:bCs w:val="1"/>
          <w:color w:val="auto"/>
        </w:rPr>
        <w:t>GOVERNANCE</w:t>
      </w:r>
    </w:p>
    <w:p>
      <w:pPr>
        <w:spacing w:after="0" w:line="164" w:lineRule="exact"/>
        <w:rPr>
          <w:sz w:val="20"/>
          <w:szCs w:val="20"/>
          <w:color w:val="auto"/>
        </w:rPr>
      </w:pPr>
    </w:p>
    <w:p>
      <w:pPr>
        <w:jc w:val="both"/>
        <w:ind w:firstLine="644"/>
        <w:spacing w:after="0" w:line="220" w:lineRule="auto"/>
        <w:rPr>
          <w:sz w:val="20"/>
          <w:szCs w:val="20"/>
          <w:color w:val="auto"/>
        </w:rPr>
      </w:pPr>
      <w:r>
        <w:rPr>
          <w:rFonts w:ascii="Arial" w:cs="Arial" w:eastAsia="Arial" w:hAnsi="Arial"/>
          <w:sz w:val="21"/>
          <w:szCs w:val="21"/>
          <w:b w:val="1"/>
          <w:bCs w:val="1"/>
          <w:color w:val="auto"/>
        </w:rPr>
        <w:t>3.1 Alliance Managers</w:t>
      </w:r>
      <w:r>
        <w:rPr>
          <w:rFonts w:ascii="Arial" w:cs="Arial" w:eastAsia="Arial" w:hAnsi="Arial"/>
          <w:sz w:val="21"/>
          <w:szCs w:val="21"/>
          <w:color w:val="auto"/>
        </w:rPr>
        <w:t>. Within [***] after the Effective Date, each Party shall appoint and notify the other Party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identity of a representative having the appropriate qualifications, including a general understanding of pharmaceutical development, manufacturing, and commercialization issues, to act as its alliance manager under this Agreement (the “</w:t>
      </w:r>
      <w:r>
        <w:rPr>
          <w:rFonts w:ascii="Arial" w:cs="Arial" w:eastAsia="Arial" w:hAnsi="Arial"/>
          <w:sz w:val="21"/>
          <w:szCs w:val="21"/>
          <w:b w:val="1"/>
          <w:bCs w:val="1"/>
          <w:color w:val="auto"/>
        </w:rPr>
        <w:t>Alliance</w:t>
      </w:r>
      <w:r>
        <w:rPr>
          <w:rFonts w:ascii="Arial" w:cs="Arial" w:eastAsia="Arial" w:hAnsi="Arial"/>
          <w:sz w:val="21"/>
          <w:szCs w:val="21"/>
          <w:color w:val="auto"/>
        </w:rPr>
        <w:t xml:space="preserve"> </w:t>
      </w:r>
      <w:r>
        <w:rPr>
          <w:rFonts w:ascii="Arial" w:cs="Arial" w:eastAsia="Arial" w:hAnsi="Arial"/>
          <w:sz w:val="21"/>
          <w:szCs w:val="21"/>
          <w:b w:val="1"/>
          <w:bCs w:val="1"/>
          <w:color w:val="auto"/>
        </w:rPr>
        <w:t>Manager</w:t>
      </w:r>
      <w:r>
        <w:rPr>
          <w:rFonts w:ascii="Arial" w:cs="Arial" w:eastAsia="Arial" w:hAnsi="Arial"/>
          <w:sz w:val="21"/>
          <w:szCs w:val="21"/>
          <w:color w:val="auto"/>
        </w:rPr>
        <w:t>”). The Alliance Managers shall serve as the primary contact points between the Parties for the purpose of providing</w:t>
      </w:r>
      <w:r>
        <w:rPr>
          <w:rFonts w:ascii="Arial" w:cs="Arial" w:eastAsia="Arial" w:hAnsi="Arial"/>
          <w:sz w:val="21"/>
          <w:szCs w:val="21"/>
          <w:b w:val="1"/>
          <w:bCs w:val="1"/>
          <w:color w:val="auto"/>
        </w:rPr>
        <w:t xml:space="preserve"> </w:t>
      </w:r>
      <w:r>
        <w:rPr>
          <w:rFonts w:ascii="Arial" w:cs="Arial" w:eastAsia="Arial" w:hAnsi="Arial"/>
          <w:sz w:val="21"/>
          <w:szCs w:val="21"/>
          <w:color w:val="auto"/>
        </w:rPr>
        <w:t>each Party with information on the progress and results of Hansoh’s Development, Manufacturing, and Commercialization of Licensed Products and any progress and results as to joint Development activities of the Parties. The Alliance Managers shall also be primarily responsible for facilitating the flow of information and otherwise promoting communication, coordination, and collaboration between the Parties with respect to Licensed Products. Each Party may replace its Alliance Manager at any time upon [***] written notice to the other Party.</w:t>
      </w:r>
    </w:p>
    <w:p>
      <w:pPr>
        <w:spacing w:after="0" w:line="15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3.2</w:t>
      </w:r>
      <w:r>
        <w:rPr>
          <w:sz w:val="20"/>
          <w:szCs w:val="20"/>
          <w:color w:val="auto"/>
        </w:rPr>
        <w:tab/>
      </w:r>
      <w:r>
        <w:rPr>
          <w:rFonts w:ascii="Arial" w:cs="Arial" w:eastAsia="Arial" w:hAnsi="Arial"/>
          <w:sz w:val="19"/>
          <w:szCs w:val="19"/>
          <w:b w:val="1"/>
          <w:bCs w:val="1"/>
          <w:color w:val="auto"/>
        </w:rPr>
        <w:t>Joint Coordination Committee</w:t>
      </w:r>
      <w:r>
        <w:rPr>
          <w:rFonts w:ascii="Arial" w:cs="Arial" w:eastAsia="Arial" w:hAnsi="Arial"/>
          <w:sz w:val="19"/>
          <w:szCs w:val="19"/>
          <w:color w:val="auto"/>
        </w:rPr>
        <w:t>.</w:t>
      </w:r>
    </w:p>
    <w:p>
      <w:pPr>
        <w:spacing w:after="0" w:line="188" w:lineRule="exact"/>
        <w:rPr>
          <w:sz w:val="20"/>
          <w:szCs w:val="20"/>
          <w:color w:val="auto"/>
        </w:rPr>
      </w:pPr>
    </w:p>
    <w:p>
      <w:pPr>
        <w:jc w:val="both"/>
        <w:ind w:firstLine="1296"/>
        <w:spacing w:after="0" w:line="234" w:lineRule="auto"/>
        <w:tabs>
          <w:tab w:leader="none" w:pos="1829"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Formation; Purpose</w:t>
      </w:r>
      <w:r>
        <w:rPr>
          <w:rFonts w:ascii="Arial" w:cs="Arial" w:eastAsia="Arial" w:hAnsi="Arial"/>
          <w:sz w:val="21"/>
          <w:szCs w:val="21"/>
          <w:color w:val="auto"/>
        </w:rPr>
        <w:t>. Within [***] after the Effective Date, the Parties shall establish a joint coordination</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(the “</w:t>
      </w:r>
      <w:r>
        <w:rPr>
          <w:rFonts w:ascii="Arial" w:cs="Arial" w:eastAsia="Arial" w:hAnsi="Arial"/>
          <w:sz w:val="21"/>
          <w:szCs w:val="21"/>
          <w:b w:val="1"/>
          <w:bCs w:val="1"/>
          <w:color w:val="auto"/>
        </w:rPr>
        <w:t>Joint Coordination Committee</w:t>
      </w:r>
      <w:r>
        <w:rPr>
          <w:rFonts w:ascii="Arial" w:cs="Arial" w:eastAsia="Arial" w:hAnsi="Arial"/>
          <w:sz w:val="21"/>
          <w:szCs w:val="21"/>
          <w:color w:val="auto"/>
        </w:rPr>
        <w:t>” or “</w:t>
      </w:r>
      <w:r>
        <w:rPr>
          <w:rFonts w:ascii="Arial" w:cs="Arial" w:eastAsia="Arial" w:hAnsi="Arial"/>
          <w:sz w:val="21"/>
          <w:szCs w:val="21"/>
          <w:b w:val="1"/>
          <w:bCs w:val="1"/>
          <w:color w:val="auto"/>
        </w:rPr>
        <w:t>JCC</w:t>
      </w:r>
      <w:r>
        <w:rPr>
          <w:rFonts w:ascii="Arial" w:cs="Arial" w:eastAsia="Arial" w:hAnsi="Arial"/>
          <w:sz w:val="21"/>
          <w:szCs w:val="21"/>
          <w:color w:val="auto"/>
        </w:rPr>
        <w:t>”) for the overall coordination and oversight of the Parties’ activities under this Agreement. The role of the JCC shall be to:</w:t>
      </w:r>
    </w:p>
    <w:p>
      <w:pPr>
        <w:spacing w:after="0" w:line="158" w:lineRule="exact"/>
        <w:rPr>
          <w:rFonts w:ascii="Arial" w:cs="Arial" w:eastAsia="Arial" w:hAnsi="Arial"/>
          <w:sz w:val="21"/>
          <w:szCs w:val="21"/>
          <w:b w:val="1"/>
          <w:bCs w:val="1"/>
          <w:color w:val="auto"/>
        </w:rPr>
      </w:pPr>
    </w:p>
    <w:p>
      <w:pPr>
        <w:jc w:val="both"/>
        <w:ind w:firstLine="1940"/>
        <w:spacing w:after="0" w:line="232" w:lineRule="auto"/>
        <w:tabs>
          <w:tab w:leader="none" w:pos="2591" w:val="left"/>
        </w:tabs>
        <w:numPr>
          <w:ilvl w:val="1"/>
          <w:numId w:val="86"/>
        </w:numPr>
        <w:rPr>
          <w:rFonts w:ascii="Arial" w:cs="Arial" w:eastAsia="Arial" w:hAnsi="Arial"/>
          <w:sz w:val="21"/>
          <w:szCs w:val="21"/>
          <w:b w:val="1"/>
          <w:bCs w:val="1"/>
          <w:color w:val="auto"/>
        </w:rPr>
      </w:pPr>
      <w:r>
        <w:rPr>
          <w:rFonts w:ascii="Arial" w:cs="Arial" w:eastAsia="Arial" w:hAnsi="Arial"/>
          <w:sz w:val="21"/>
          <w:szCs w:val="21"/>
          <w:color w:val="auto"/>
        </w:rPr>
        <w:t>review, discuss and coordinate the overall strategy for the Development, Manufacturing, and Commercialization of Licensed Products in the Hansoh Territory, including planning and executing of any Clinical Trials, regulatory filings and/or registration in the Territory;</w:t>
      </w:r>
    </w:p>
    <w:p>
      <w:pPr>
        <w:spacing w:after="0" w:line="158" w:lineRule="exact"/>
        <w:rPr>
          <w:rFonts w:ascii="Arial" w:cs="Arial" w:eastAsia="Arial" w:hAnsi="Arial"/>
          <w:sz w:val="21"/>
          <w:szCs w:val="21"/>
          <w:b w:val="1"/>
          <w:bCs w:val="1"/>
          <w:color w:val="auto"/>
        </w:rPr>
      </w:pPr>
    </w:p>
    <w:p>
      <w:pPr>
        <w:ind w:firstLine="1940"/>
        <w:spacing w:after="0" w:line="245" w:lineRule="auto"/>
        <w:tabs>
          <w:tab w:leader="none" w:pos="2423" w:val="left"/>
        </w:tabs>
        <w:numPr>
          <w:ilvl w:val="1"/>
          <w:numId w:val="86"/>
        </w:numPr>
        <w:rPr>
          <w:rFonts w:ascii="Arial" w:cs="Arial" w:eastAsia="Arial" w:hAnsi="Arial"/>
          <w:sz w:val="21"/>
          <w:szCs w:val="21"/>
          <w:b w:val="1"/>
          <w:bCs w:val="1"/>
          <w:color w:val="auto"/>
        </w:rPr>
      </w:pPr>
      <w:r>
        <w:rPr>
          <w:rFonts w:ascii="Arial" w:cs="Arial" w:eastAsia="Arial" w:hAnsi="Arial"/>
          <w:sz w:val="21"/>
          <w:szCs w:val="21"/>
          <w:color w:val="auto"/>
        </w:rPr>
        <w:t>review, discuss and approve (subject to Section 3.3) the inclusion of Additional Indications within the Field for the Development and Commercialization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87" w:right="339" w:bottom="1440" w:gutter="0" w:footer="0" w:header="0"/>
        </w:sectPr>
      </w:pPr>
    </w:p>
    <w:bookmarkStart w:id="155" w:name="page156"/>
    <w:bookmarkEnd w:id="155"/>
    <w:p>
      <w:pPr>
        <w:spacing w:after="0"/>
        <w:rPr>
          <w:sz w:val="20"/>
          <w:szCs w:val="20"/>
          <w:color w:val="auto"/>
        </w:rPr>
      </w:pPr>
      <w:r>
        <w:rPr>
          <w:rFonts w:ascii="Arial" w:cs="Arial" w:eastAsia="Arial" w:hAnsi="Arial"/>
          <w:sz w:val="21"/>
          <w:szCs w:val="21"/>
          <w:color w:val="auto"/>
        </w:rPr>
        <w:t>Licensed Products in the Hansoh Territory, including approval of the relevant Development Plan for such Indications;</w:t>
      </w:r>
    </w:p>
    <w:p>
      <w:pPr>
        <w:spacing w:after="0" w:line="188" w:lineRule="exact"/>
        <w:rPr>
          <w:sz w:val="20"/>
          <w:szCs w:val="20"/>
          <w:color w:val="auto"/>
        </w:rPr>
      </w:pPr>
    </w:p>
    <w:p>
      <w:pPr>
        <w:ind w:right="180" w:firstLine="1940"/>
        <w:spacing w:after="0" w:line="232" w:lineRule="auto"/>
        <w:tabs>
          <w:tab w:leader="none" w:pos="2469"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review, discuss and approve (subject to Section 3.3) any proposed amendments or revisions to the Development Plan, including those with respect to clinical Development activities set forth in Section 4.3, and to review, discuss and approve (subject to Section 3.3) the conduct of any Development activities by Hansoh;</w:t>
      </w:r>
    </w:p>
    <w:p>
      <w:pPr>
        <w:spacing w:after="0" w:line="185" w:lineRule="exact"/>
        <w:rPr>
          <w:rFonts w:ascii="Arial" w:cs="Arial" w:eastAsia="Arial" w:hAnsi="Arial"/>
          <w:sz w:val="21"/>
          <w:szCs w:val="21"/>
          <w:b w:val="1"/>
          <w:bCs w:val="1"/>
          <w:color w:val="auto"/>
        </w:rPr>
      </w:pPr>
    </w:p>
    <w:p>
      <w:pPr>
        <w:ind w:left="2460" w:hanging="520"/>
        <w:spacing w:after="0"/>
        <w:tabs>
          <w:tab w:leader="none" w:pos="2460" w:val="left"/>
        </w:tabs>
        <w:numPr>
          <w:ilvl w:val="1"/>
          <w:numId w:val="87"/>
        </w:numPr>
        <w:rPr>
          <w:rFonts w:ascii="Arial" w:cs="Arial" w:eastAsia="Arial" w:hAnsi="Arial"/>
          <w:sz w:val="19"/>
          <w:szCs w:val="19"/>
          <w:b w:val="1"/>
          <w:bCs w:val="1"/>
          <w:color w:val="auto"/>
        </w:rPr>
      </w:pPr>
      <w:r>
        <w:rPr>
          <w:rFonts w:ascii="Arial" w:cs="Arial" w:eastAsia="Arial" w:hAnsi="Arial"/>
          <w:sz w:val="19"/>
          <w:szCs w:val="19"/>
          <w:color w:val="auto"/>
        </w:rPr>
        <w:t>review and discuss (but not approve) any Global Clinical Trial Plan and any proposed amendments or</w:t>
      </w:r>
    </w:p>
    <w:p>
      <w:pPr>
        <w:spacing w:after="0" w:line="14"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revisions thereto;</w:t>
      </w:r>
    </w:p>
    <w:p>
      <w:pPr>
        <w:spacing w:after="0" w:line="196" w:lineRule="exact"/>
        <w:rPr>
          <w:rFonts w:ascii="Arial" w:cs="Arial" w:eastAsia="Arial" w:hAnsi="Arial"/>
          <w:sz w:val="19"/>
          <w:szCs w:val="19"/>
          <w:b w:val="1"/>
          <w:bCs w:val="1"/>
          <w:color w:val="auto"/>
        </w:rPr>
      </w:pPr>
    </w:p>
    <w:p>
      <w:pPr>
        <w:ind w:left="2400" w:hanging="460"/>
        <w:spacing w:after="0"/>
        <w:tabs>
          <w:tab w:leader="none" w:pos="2400" w:val="left"/>
        </w:tabs>
        <w:numPr>
          <w:ilvl w:val="1"/>
          <w:numId w:val="87"/>
        </w:numPr>
        <w:rPr>
          <w:rFonts w:ascii="Arial" w:cs="Arial" w:eastAsia="Arial" w:hAnsi="Arial"/>
          <w:sz w:val="19"/>
          <w:szCs w:val="19"/>
          <w:b w:val="1"/>
          <w:bCs w:val="1"/>
          <w:color w:val="auto"/>
        </w:rPr>
      </w:pPr>
      <w:r>
        <w:rPr>
          <w:rFonts w:ascii="Arial" w:cs="Arial" w:eastAsia="Arial" w:hAnsi="Arial"/>
          <w:sz w:val="19"/>
          <w:szCs w:val="19"/>
          <w:color w:val="auto"/>
        </w:rPr>
        <w:t>review and discuss (but not approve) any Local Clinical Trial Plan and any proposed amendments or</w:t>
      </w:r>
    </w:p>
    <w:p>
      <w:pPr>
        <w:spacing w:after="0" w:line="14"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revisions thereto;</w:t>
      </w:r>
    </w:p>
    <w:p>
      <w:pPr>
        <w:spacing w:after="0" w:line="196" w:lineRule="exact"/>
        <w:rPr>
          <w:rFonts w:ascii="Arial" w:cs="Arial" w:eastAsia="Arial" w:hAnsi="Arial"/>
          <w:sz w:val="19"/>
          <w:szCs w:val="19"/>
          <w:b w:val="1"/>
          <w:bCs w:val="1"/>
          <w:color w:val="auto"/>
        </w:rPr>
      </w:pPr>
    </w:p>
    <w:p>
      <w:pPr>
        <w:ind w:right="780" w:firstLine="1940"/>
        <w:spacing w:after="0" w:line="245" w:lineRule="auto"/>
        <w:tabs>
          <w:tab w:leader="none" w:pos="2457"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oversee the initial transfer of the Keros Technology and Development activities related to the Licensed Products from Keros to Hansoh in accordance with the terms of this Agreement;</w:t>
      </w:r>
    </w:p>
    <w:p>
      <w:pPr>
        <w:spacing w:after="0" w:line="178" w:lineRule="exact"/>
        <w:rPr>
          <w:rFonts w:ascii="Arial" w:cs="Arial" w:eastAsia="Arial" w:hAnsi="Arial"/>
          <w:sz w:val="21"/>
          <w:szCs w:val="21"/>
          <w:b w:val="1"/>
          <w:bCs w:val="1"/>
          <w:color w:val="auto"/>
        </w:rPr>
      </w:pPr>
    </w:p>
    <w:p>
      <w:pPr>
        <w:ind w:left="2520" w:hanging="580"/>
        <w:spacing w:after="0"/>
        <w:tabs>
          <w:tab w:leader="none" w:pos="2520" w:val="left"/>
        </w:tabs>
        <w:numPr>
          <w:ilvl w:val="1"/>
          <w:numId w:val="87"/>
        </w:numPr>
        <w:rPr>
          <w:rFonts w:ascii="Arial" w:cs="Arial" w:eastAsia="Arial" w:hAnsi="Arial"/>
          <w:sz w:val="20"/>
          <w:szCs w:val="20"/>
          <w:b w:val="1"/>
          <w:bCs w:val="1"/>
          <w:color w:val="auto"/>
        </w:rPr>
      </w:pPr>
      <w:r>
        <w:rPr>
          <w:rFonts w:ascii="Arial" w:cs="Arial" w:eastAsia="Arial" w:hAnsi="Arial"/>
          <w:sz w:val="20"/>
          <w:szCs w:val="20"/>
          <w:color w:val="auto"/>
        </w:rPr>
        <w:t>review and coordinate the Manufacture of Licensed Products and the transfer thereof by Keros to</w:t>
      </w:r>
    </w:p>
    <w:p>
      <w:pPr>
        <w:spacing w:after="0" w:line="2"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1"/>
          <w:szCs w:val="21"/>
          <w:color w:val="auto"/>
        </w:rPr>
        <w:t>Hansoh;</w:t>
      </w:r>
    </w:p>
    <w:p>
      <w:pPr>
        <w:spacing w:after="0" w:line="196" w:lineRule="exact"/>
        <w:rPr>
          <w:rFonts w:ascii="Arial" w:cs="Arial" w:eastAsia="Arial" w:hAnsi="Arial"/>
          <w:sz w:val="20"/>
          <w:szCs w:val="20"/>
          <w:b w:val="1"/>
          <w:bCs w:val="1"/>
          <w:color w:val="auto"/>
        </w:rPr>
      </w:pPr>
    </w:p>
    <w:p>
      <w:pPr>
        <w:ind w:right="760" w:firstLine="1940"/>
        <w:spacing w:after="0" w:line="296" w:lineRule="auto"/>
        <w:tabs>
          <w:tab w:leader="none" w:pos="2577" w:val="left"/>
        </w:tabs>
        <w:numPr>
          <w:ilvl w:val="1"/>
          <w:numId w:val="87"/>
        </w:numPr>
        <w:rPr>
          <w:rFonts w:ascii="Arial" w:cs="Arial" w:eastAsia="Arial" w:hAnsi="Arial"/>
          <w:sz w:val="19"/>
          <w:szCs w:val="19"/>
          <w:b w:val="1"/>
          <w:bCs w:val="1"/>
          <w:color w:val="auto"/>
        </w:rPr>
      </w:pPr>
      <w:r>
        <w:rPr>
          <w:rFonts w:ascii="Arial" w:cs="Arial" w:eastAsia="Arial" w:hAnsi="Arial"/>
          <w:sz w:val="19"/>
          <w:szCs w:val="19"/>
          <w:color w:val="auto"/>
        </w:rPr>
        <w:t>coordinate the schedule for reporting safety data related to Licensed Products in the Hansoh Territory and any other expected and unrelated serious adverse events and adverse events related to Licensed Products;</w:t>
      </w:r>
    </w:p>
    <w:p>
      <w:pPr>
        <w:spacing w:after="0" w:line="132" w:lineRule="exact"/>
        <w:rPr>
          <w:rFonts w:ascii="Arial" w:cs="Arial" w:eastAsia="Arial" w:hAnsi="Arial"/>
          <w:sz w:val="19"/>
          <w:szCs w:val="19"/>
          <w:b w:val="1"/>
          <w:bCs w:val="1"/>
          <w:color w:val="auto"/>
        </w:rPr>
      </w:pPr>
    </w:p>
    <w:p>
      <w:pPr>
        <w:ind w:left="2460" w:hanging="520"/>
        <w:spacing w:after="0"/>
        <w:tabs>
          <w:tab w:leader="none" w:pos="2460"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facilitate the exchange of Data pursuant to Section 4.7;</w:t>
      </w:r>
    </w:p>
    <w:p>
      <w:pPr>
        <w:spacing w:after="0" w:line="214" w:lineRule="exact"/>
        <w:rPr>
          <w:rFonts w:ascii="Arial" w:cs="Arial" w:eastAsia="Arial" w:hAnsi="Arial"/>
          <w:sz w:val="21"/>
          <w:szCs w:val="21"/>
          <w:b w:val="1"/>
          <w:bCs w:val="1"/>
          <w:color w:val="auto"/>
        </w:rPr>
      </w:pPr>
    </w:p>
    <w:p>
      <w:pPr>
        <w:ind w:left="2400" w:hanging="460"/>
        <w:spacing w:after="0"/>
        <w:tabs>
          <w:tab w:leader="none" w:pos="2400" w:val="left"/>
        </w:tabs>
        <w:numPr>
          <w:ilvl w:val="1"/>
          <w:numId w:val="87"/>
        </w:numPr>
        <w:rPr>
          <w:rFonts w:ascii="Arial" w:cs="Arial" w:eastAsia="Arial" w:hAnsi="Arial"/>
          <w:sz w:val="19"/>
          <w:szCs w:val="19"/>
          <w:b w:val="1"/>
          <w:bCs w:val="1"/>
          <w:color w:val="auto"/>
        </w:rPr>
      </w:pPr>
      <w:r>
        <w:rPr>
          <w:rFonts w:ascii="Arial" w:cs="Arial" w:eastAsia="Arial" w:hAnsi="Arial"/>
          <w:sz w:val="19"/>
          <w:szCs w:val="19"/>
          <w:color w:val="auto"/>
        </w:rPr>
        <w:t>review, coordinate, and discuss the conduct of any combination studies involving Licensed Products in</w:t>
      </w:r>
    </w:p>
    <w:p>
      <w:pPr>
        <w:spacing w:after="0" w:line="14"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the Hansoh Territory; and</w:t>
      </w:r>
    </w:p>
    <w:p>
      <w:pPr>
        <w:spacing w:after="0" w:line="196" w:lineRule="exact"/>
        <w:rPr>
          <w:rFonts w:ascii="Arial" w:cs="Arial" w:eastAsia="Arial" w:hAnsi="Arial"/>
          <w:sz w:val="19"/>
          <w:szCs w:val="19"/>
          <w:b w:val="1"/>
          <w:bCs w:val="1"/>
          <w:color w:val="auto"/>
        </w:rPr>
      </w:pPr>
    </w:p>
    <w:p>
      <w:pPr>
        <w:ind w:firstLine="1940"/>
        <w:spacing w:after="0" w:line="245" w:lineRule="auto"/>
        <w:tabs>
          <w:tab w:leader="none" w:pos="2457"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to perform such other functions as appropriate to further the purposes of this Agreement, as expressly set forth in this Agreement or as determined by the Parties in writing.</w:t>
      </w:r>
    </w:p>
    <w:p>
      <w:pPr>
        <w:spacing w:after="0" w:line="145" w:lineRule="exact"/>
        <w:rPr>
          <w:rFonts w:ascii="Arial" w:cs="Arial" w:eastAsia="Arial" w:hAnsi="Arial"/>
          <w:sz w:val="21"/>
          <w:szCs w:val="21"/>
          <w:b w:val="1"/>
          <w:bCs w:val="1"/>
          <w:color w:val="auto"/>
        </w:rPr>
      </w:pPr>
    </w:p>
    <w:p>
      <w:pPr>
        <w:jc w:val="both"/>
        <w:ind w:firstLine="1296"/>
        <w:spacing w:after="0" w:line="230" w:lineRule="auto"/>
        <w:tabs>
          <w:tab w:leader="none" w:pos="1766"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Members</w:t>
      </w:r>
      <w:r>
        <w:rPr>
          <w:rFonts w:ascii="Arial" w:cs="Arial" w:eastAsia="Arial" w:hAnsi="Arial"/>
          <w:sz w:val="20"/>
          <w:szCs w:val="20"/>
          <w:color w:val="auto"/>
        </w:rPr>
        <w:t>. The JCC shall be comprised of [***] representatives from each Party. Each Party’s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the JCC shall be an officer or employee of such Party or its Affiliate having sufficient seniority within the applicable Party to make decisions arising within the scope of the JCC’s responsibilities. Each Party may replace its representatives to the JCC at any time upon written notice to the other Party. Each Party shall appoint [***] of its representatives on the JCC to act as the co-chairperson. The role of the co-chairpersons shall be to convene and preside at the JCC meetings and to ensure the circulation of meeting agendas at least [***] in advance of JCC meetings and the preparation of meeting minutes and any pre-read materials in accordance with Section 3.2(c), but the co-chairpersons shall have no additional powers or rights beyond those held by other JCC representatives. Employees or consultants of either Party that are not representatives of the Parties on the JCC, including Alliance Managers, may attend meetings of the JCC,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attendees shall not vote or otherwise participate in the decision-making process of the JCC and are subject to obligations of confidentiality substantially similar to the provisions set forth in Section 12.1.</w:t>
      </w:r>
    </w:p>
    <w:p>
      <w:pPr>
        <w:spacing w:after="0" w:line="152" w:lineRule="exact"/>
        <w:rPr>
          <w:rFonts w:ascii="Arial" w:cs="Arial" w:eastAsia="Arial" w:hAnsi="Arial"/>
          <w:sz w:val="20"/>
          <w:szCs w:val="20"/>
          <w:b w:val="1"/>
          <w:bCs w:val="1"/>
          <w:color w:val="auto"/>
        </w:rPr>
      </w:pPr>
    </w:p>
    <w:p>
      <w:pPr>
        <w:jc w:val="both"/>
        <w:ind w:firstLine="1296"/>
        <w:spacing w:after="0" w:line="229" w:lineRule="auto"/>
        <w:tabs>
          <w:tab w:leader="none" w:pos="1782" w:val="left"/>
        </w:tabs>
        <w:numPr>
          <w:ilvl w:val="0"/>
          <w:numId w:val="88"/>
        </w:numPr>
        <w:rPr>
          <w:rFonts w:ascii="Arial" w:cs="Arial" w:eastAsia="Arial" w:hAnsi="Arial"/>
          <w:sz w:val="21"/>
          <w:szCs w:val="21"/>
          <w:b w:val="1"/>
          <w:bCs w:val="1"/>
          <w:color w:val="auto"/>
        </w:rPr>
      </w:pPr>
      <w:r>
        <w:rPr>
          <w:rFonts w:ascii="Arial" w:cs="Arial" w:eastAsia="Arial" w:hAnsi="Arial"/>
          <w:sz w:val="21"/>
          <w:szCs w:val="21"/>
          <w:b w:val="1"/>
          <w:bCs w:val="1"/>
          <w:color w:val="auto"/>
        </w:rPr>
        <w:t>Meetings</w:t>
      </w:r>
      <w:r>
        <w:rPr>
          <w:rFonts w:ascii="Arial" w:cs="Arial" w:eastAsia="Arial" w:hAnsi="Arial"/>
          <w:sz w:val="21"/>
          <w:szCs w:val="21"/>
          <w:color w:val="auto"/>
        </w:rPr>
        <w:t>. The JCC shall meet, in-person or by teleconference or videoconference, at least [***] each [***]</w:t>
      </w:r>
      <w:r>
        <w:rPr>
          <w:rFonts w:ascii="Arial" w:cs="Arial" w:eastAsia="Arial" w:hAnsi="Arial"/>
          <w:sz w:val="21"/>
          <w:szCs w:val="21"/>
          <w:b w:val="1"/>
          <w:bCs w:val="1"/>
          <w:color w:val="auto"/>
        </w:rPr>
        <w:t xml:space="preserve"> </w:t>
      </w:r>
      <w:r>
        <w:rPr>
          <w:rFonts w:ascii="Arial" w:cs="Arial" w:eastAsia="Arial" w:hAnsi="Arial"/>
          <w:sz w:val="21"/>
          <w:szCs w:val="21"/>
          <w:color w:val="auto"/>
        </w:rPr>
        <w:t>for the first [***] of the Term and at least [***] times each [***] during the Term thereafter. Either Party may also call a special JCC meeting (by videoconference or teleconference) with reasonable advanced written notice to the other Party in the event such Party reasonably believes that a significant matter must be addressed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93" w:right="339" w:bottom="1440" w:gutter="0" w:footer="0" w:header="0"/>
        </w:sectPr>
      </w:pPr>
    </w:p>
    <w:bookmarkStart w:id="156" w:name="page157"/>
    <w:bookmarkEnd w:id="156"/>
    <w:p>
      <w:pPr>
        <w:jc w:val="both"/>
        <w:spacing w:after="0" w:line="221" w:lineRule="auto"/>
        <w:rPr>
          <w:sz w:val="20"/>
          <w:szCs w:val="20"/>
          <w:color w:val="auto"/>
        </w:rPr>
      </w:pPr>
      <w:r>
        <w:rPr>
          <w:rFonts w:ascii="Arial" w:cs="Arial" w:eastAsia="Arial" w:hAnsi="Arial"/>
          <w:sz w:val="21"/>
          <w:szCs w:val="21"/>
          <w:color w:val="auto"/>
        </w:rPr>
        <w:t>next regularly scheduled meeting, and such Party shall promptly provide the JCC prior to the special meeting with materials reasonably adequate to enable an informed decision. All JCC meetings shall be conducted in English, and all communications under this Agreement shall be in English. The co-chairpersons shall be responsible for preparing reasonably detailed written minutes of the JCC meetings that reflect all material decisions made at such meetings. The co-chairpersons shall send draft meeting minutes to each representative of the JCC for review and approval within [***] after the JCC meeting if required by both Parties. Such minutes shall be deemed approved unless one or more JCC representatives object to the accuracy of such minutes within [***] of receipt.</w:t>
      </w:r>
    </w:p>
    <w:p>
      <w:pPr>
        <w:spacing w:after="0" w:line="155" w:lineRule="exact"/>
        <w:rPr>
          <w:sz w:val="20"/>
          <w:szCs w:val="20"/>
          <w:color w:val="auto"/>
        </w:rPr>
      </w:pPr>
    </w:p>
    <w:p>
      <w:pPr>
        <w:jc w:val="both"/>
        <w:ind w:firstLine="644"/>
        <w:spacing w:after="0" w:line="222" w:lineRule="auto"/>
        <w:rPr>
          <w:sz w:val="20"/>
          <w:szCs w:val="20"/>
          <w:color w:val="auto"/>
        </w:rPr>
      </w:pPr>
      <w:r>
        <w:rPr>
          <w:rFonts w:ascii="Arial" w:cs="Arial" w:eastAsia="Arial" w:hAnsi="Arial"/>
          <w:sz w:val="21"/>
          <w:szCs w:val="21"/>
          <w:b w:val="1"/>
          <w:bCs w:val="1"/>
          <w:color w:val="auto"/>
        </w:rPr>
        <w:t>3.3 Decision Making</w:t>
      </w:r>
      <w:r>
        <w:rPr>
          <w:rFonts w:ascii="Arial" w:cs="Arial" w:eastAsia="Arial" w:hAnsi="Arial"/>
          <w:sz w:val="21"/>
          <w:szCs w:val="21"/>
          <w:color w:val="auto"/>
        </w:rPr>
        <w:t>. The JCC shall strive to seek consensus in its actions and decision making process, and all</w:t>
      </w:r>
      <w:r>
        <w:rPr>
          <w:rFonts w:ascii="Arial" w:cs="Arial" w:eastAsia="Arial" w:hAnsi="Arial"/>
          <w:sz w:val="21"/>
          <w:szCs w:val="21"/>
          <w:b w:val="1"/>
          <w:bCs w:val="1"/>
          <w:color w:val="auto"/>
        </w:rPr>
        <w:t xml:space="preserve"> </w:t>
      </w:r>
      <w:r>
        <w:rPr>
          <w:rFonts w:ascii="Arial" w:cs="Arial" w:eastAsia="Arial" w:hAnsi="Arial"/>
          <w:sz w:val="21"/>
          <w:szCs w:val="21"/>
          <w:color w:val="auto"/>
        </w:rPr>
        <w:t>decisions by the JCC shall be made by consensus, with each Party having collectively one (1) vote in all decisions. If after reasonable discussion and good faith consideration of each Party’s view on a particular matter before the JCC, the representatives of the Parties cannot reach an agreement as to such matter (to the extent that such matter requires the agreement of the Parties hereunder) within [***] after such matter was brought to the JCC for resolution or after such matter has been referred to the JCC, such disagreement shall be referred to the Executive Officers for resolution. If the Executive Officers cannot resolve such matter within [***] after such matter has been referred to them, then:</w:t>
      </w:r>
    </w:p>
    <w:p>
      <w:pPr>
        <w:spacing w:after="0" w:line="160" w:lineRule="exact"/>
        <w:rPr>
          <w:sz w:val="20"/>
          <w:szCs w:val="20"/>
          <w:color w:val="auto"/>
        </w:rPr>
      </w:pPr>
    </w:p>
    <w:p>
      <w:pPr>
        <w:ind w:firstLine="1296"/>
        <w:spacing w:after="0" w:line="245" w:lineRule="auto"/>
        <w:tabs>
          <w:tab w:leader="none" w:pos="1753" w:val="left"/>
        </w:tabs>
        <w:numPr>
          <w:ilvl w:val="0"/>
          <w:numId w:val="89"/>
        </w:numPr>
        <w:rPr>
          <w:rFonts w:ascii="Arial" w:cs="Arial" w:eastAsia="Arial" w:hAnsi="Arial"/>
          <w:sz w:val="21"/>
          <w:szCs w:val="21"/>
          <w:b w:val="1"/>
          <w:bCs w:val="1"/>
          <w:color w:val="auto"/>
        </w:rPr>
      </w:pPr>
      <w:r>
        <w:rPr>
          <w:rFonts w:ascii="Arial" w:cs="Arial" w:eastAsia="Arial" w:hAnsi="Arial"/>
          <w:sz w:val="21"/>
          <w:szCs w:val="21"/>
          <w:color w:val="auto"/>
        </w:rPr>
        <w:t>except as set forth in Section 3.3(b) below, the Hansoh Executive Officer shall have the final decision making authority with respect to [***]; and</w:t>
      </w:r>
    </w:p>
    <w:p>
      <w:pPr>
        <w:spacing w:after="0" w:line="151" w:lineRule="exact"/>
        <w:rPr>
          <w:rFonts w:ascii="Arial" w:cs="Arial" w:eastAsia="Arial" w:hAnsi="Arial"/>
          <w:sz w:val="21"/>
          <w:szCs w:val="21"/>
          <w:b w:val="1"/>
          <w:bCs w:val="1"/>
          <w:color w:val="auto"/>
        </w:rPr>
      </w:pPr>
    </w:p>
    <w:p>
      <w:pPr>
        <w:ind w:left="1780" w:hanging="484"/>
        <w:spacing w:after="0"/>
        <w:tabs>
          <w:tab w:leader="none" w:pos="1780" w:val="left"/>
        </w:tabs>
        <w:numPr>
          <w:ilvl w:val="0"/>
          <w:numId w:val="89"/>
        </w:numPr>
        <w:rPr>
          <w:rFonts w:ascii="Arial" w:cs="Arial" w:eastAsia="Arial" w:hAnsi="Arial"/>
          <w:sz w:val="21"/>
          <w:szCs w:val="21"/>
          <w:b w:val="1"/>
          <w:bCs w:val="1"/>
          <w:color w:val="auto"/>
        </w:rPr>
      </w:pPr>
      <w:r>
        <w:rPr>
          <w:rFonts w:ascii="Arial" w:cs="Arial" w:eastAsia="Arial" w:hAnsi="Arial"/>
          <w:sz w:val="21"/>
          <w:szCs w:val="21"/>
          <w:color w:val="auto"/>
        </w:rPr>
        <w:t>the Keros Executive Officer shall have the final decision making authority with respect to [***].</w:t>
      </w:r>
    </w:p>
    <w:p>
      <w:pPr>
        <w:spacing w:after="0" w:line="188"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Notwithstanding the foregoing, any JCC decision to approve or reject a proposed additional Indication must be unanimous. For clarity, [***].</w:t>
      </w:r>
    </w:p>
    <w:p>
      <w:pPr>
        <w:spacing w:after="0" w:line="145"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19"/>
          <w:szCs w:val="19"/>
          <w:b w:val="1"/>
          <w:bCs w:val="1"/>
          <w:color w:val="auto"/>
        </w:rPr>
        <w:t>3.4 Limitation of JCC Authority</w:t>
      </w:r>
      <w:r>
        <w:rPr>
          <w:rFonts w:ascii="Arial" w:cs="Arial" w:eastAsia="Arial" w:hAnsi="Arial"/>
          <w:sz w:val="19"/>
          <w:szCs w:val="19"/>
          <w:color w:val="auto"/>
        </w:rPr>
        <w:t>. The JCC shall only have the powers expressly assigned to it in this Article 3 and</w:t>
      </w:r>
      <w:r>
        <w:rPr>
          <w:rFonts w:ascii="Arial" w:cs="Arial" w:eastAsia="Arial" w:hAnsi="Arial"/>
          <w:sz w:val="19"/>
          <w:szCs w:val="19"/>
          <w:b w:val="1"/>
          <w:bCs w:val="1"/>
          <w:color w:val="auto"/>
        </w:rPr>
        <w:t xml:space="preserve"> </w:t>
      </w:r>
      <w:r>
        <w:rPr>
          <w:rFonts w:ascii="Arial" w:cs="Arial" w:eastAsia="Arial" w:hAnsi="Arial"/>
          <w:sz w:val="19"/>
          <w:szCs w:val="19"/>
          <w:color w:val="auto"/>
        </w:rPr>
        <w:t>elsewhere in this Agreement and shall not have the authority to: (a) modify or amend the terms and conditions of this Agreement;</w:t>
      </w:r>
    </w:p>
    <w:p>
      <w:pPr>
        <w:ind w:firstLine="7"/>
        <w:spacing w:after="0" w:line="233" w:lineRule="auto"/>
        <w:tabs>
          <w:tab w:leader="none" w:pos="305" w:val="left"/>
        </w:tabs>
        <w:numPr>
          <w:ilvl w:val="0"/>
          <w:numId w:val="90"/>
        </w:numPr>
        <w:rPr>
          <w:rFonts w:ascii="Arial" w:cs="Arial" w:eastAsia="Arial" w:hAnsi="Arial"/>
          <w:sz w:val="21"/>
          <w:szCs w:val="21"/>
          <w:color w:val="auto"/>
        </w:rPr>
      </w:pPr>
      <w:r>
        <w:rPr>
          <w:rFonts w:ascii="Arial" w:cs="Arial" w:eastAsia="Arial" w:hAnsi="Arial"/>
          <w:sz w:val="21"/>
          <w:szCs w:val="21"/>
          <w:color w:val="auto"/>
        </w:rPr>
        <w:t>waive or determine either Party’s compliance with the terms and conditions of under this Agreement; or (c) decide any issue in a manner that would conflict with the express terms and conditions of this Agreement.</w:t>
      </w:r>
    </w:p>
    <w:p>
      <w:pPr>
        <w:spacing w:after="0" w:line="151"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20"/>
          <w:szCs w:val="20"/>
          <w:b w:val="1"/>
          <w:bCs w:val="1"/>
          <w:color w:val="auto"/>
        </w:rPr>
        <w:t>3.5 Discontinuation of the JCC</w:t>
      </w:r>
      <w:r>
        <w:rPr>
          <w:rFonts w:ascii="Arial" w:cs="Arial" w:eastAsia="Arial" w:hAnsi="Arial"/>
          <w:sz w:val="20"/>
          <w:szCs w:val="20"/>
          <w:color w:val="auto"/>
        </w:rPr>
        <w:t>. The activities to be performed by the JCC shall solely relate to governance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and are not intended to be or involve the delivery of services. The JCC shall continue to exist until the Parties mutually agree to disband the JCC. Thereafter, the JCC shall have no further obligations under this Agreement and, thereafter, each Party shall designate a contact person for the exchange of information relevant to the JCC under this Agreement. The former decisions handled by the JCC shall be decisions of (a) Hansoh with respect to [***]; and (b) Keros with respect to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4</w:t>
      </w:r>
    </w:p>
    <w:p>
      <w:pPr>
        <w:jc w:val="center"/>
        <w:spacing w:after="0"/>
        <w:rPr>
          <w:sz w:val="20"/>
          <w:szCs w:val="20"/>
          <w:color w:val="auto"/>
        </w:rPr>
      </w:pPr>
      <w:r>
        <w:rPr>
          <w:rFonts w:ascii="Arial" w:cs="Arial" w:eastAsia="Arial" w:hAnsi="Arial"/>
          <w:sz w:val="21"/>
          <w:szCs w:val="21"/>
          <w:b w:val="1"/>
          <w:bCs w:val="1"/>
          <w:color w:val="auto"/>
        </w:rPr>
        <w:t>DEVELOPMENT</w:t>
      </w:r>
    </w:p>
    <w:p>
      <w:pPr>
        <w:spacing w:after="0" w:line="164"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9"/>
          <w:szCs w:val="19"/>
          <w:b w:val="1"/>
          <w:bCs w:val="1"/>
          <w:color w:val="auto"/>
        </w:rPr>
        <w:t>4.1 Overview; Diligence</w:t>
      </w:r>
      <w:r>
        <w:rPr>
          <w:rFonts w:ascii="Arial" w:cs="Arial" w:eastAsia="Arial" w:hAnsi="Arial"/>
          <w:sz w:val="19"/>
          <w:szCs w:val="19"/>
          <w:color w:val="auto"/>
        </w:rPr>
        <w:t>. Subject to the terms and conditions of this Agreement (including the diligence obligations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below), Hansoh shall be solely responsible for the Development of Licensed Products in the Field in the Hansoh Territory, at its own cost, including all non-clinical and clinical studies and collection of CMC Information (subject to Keros’ transfer of Keros Licensed Know-How pursuant to Section 2.6 and manufacturing technology pursuant to Section 7.2), as necessary to obtain Regulatory Approval for Licensed Products in any Region in the Hansoh Territory. Hansoh shall use Commercially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93" w:right="339" w:bottom="1440" w:gutter="0" w:footer="0" w:header="0"/>
        </w:sectPr>
      </w:pPr>
    </w:p>
    <w:bookmarkStart w:id="157" w:name="page158"/>
    <w:bookmarkEnd w:id="157"/>
    <w:p>
      <w:pPr>
        <w:jc w:val="both"/>
        <w:spacing w:after="0" w:line="246" w:lineRule="auto"/>
        <w:rPr>
          <w:sz w:val="20"/>
          <w:szCs w:val="20"/>
          <w:color w:val="auto"/>
        </w:rPr>
      </w:pPr>
      <w:r>
        <w:rPr>
          <w:rFonts w:ascii="Arial" w:cs="Arial" w:eastAsia="Arial" w:hAnsi="Arial"/>
          <w:sz w:val="20"/>
          <w:szCs w:val="20"/>
          <w:color w:val="auto"/>
        </w:rPr>
        <w:t>Efforts to Develop and obtain Regulatory Approval for Licensed Products in the Field in each Region in the Hansoh Territory. Without limiting the generality of the foregoing, Hansoh shall conduct its Development activities under and in accordance with the Development Plan. Keros shall be solely responsible for the Development of Licensed Products in the Keros Territory.</w:t>
      </w:r>
    </w:p>
    <w:p>
      <w:pPr>
        <w:spacing w:after="0" w:line="146" w:lineRule="exact"/>
        <w:rPr>
          <w:sz w:val="20"/>
          <w:szCs w:val="20"/>
          <w:color w:val="auto"/>
        </w:rPr>
      </w:pPr>
    </w:p>
    <w:p>
      <w:pPr>
        <w:jc w:val="both"/>
        <w:ind w:firstLine="644"/>
        <w:spacing w:after="0" w:line="222" w:lineRule="auto"/>
        <w:rPr>
          <w:sz w:val="20"/>
          <w:szCs w:val="20"/>
          <w:color w:val="auto"/>
        </w:rPr>
      </w:pPr>
      <w:r>
        <w:rPr>
          <w:rFonts w:ascii="Arial" w:cs="Arial" w:eastAsia="Arial" w:hAnsi="Arial"/>
          <w:sz w:val="21"/>
          <w:szCs w:val="21"/>
          <w:b w:val="1"/>
          <w:bCs w:val="1"/>
          <w:color w:val="auto"/>
        </w:rPr>
        <w:t>4.2 Development Plan</w:t>
      </w:r>
      <w:r>
        <w:rPr>
          <w:rFonts w:ascii="Arial" w:cs="Arial" w:eastAsia="Arial" w:hAnsi="Arial"/>
          <w:sz w:val="21"/>
          <w:szCs w:val="21"/>
          <w:color w:val="auto"/>
        </w:rPr>
        <w:t>. Reasonably promptly after the Effective Date, the Parties (through the JCC) shall draft a</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mutually agreed upon initial Development Plan which shall be attached hereto as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 xml:space="preserve"> and is hereby incorporated by reference (the “</w:t>
      </w:r>
      <w:r>
        <w:rPr>
          <w:rFonts w:ascii="Arial" w:cs="Arial" w:eastAsia="Arial" w:hAnsi="Arial"/>
          <w:sz w:val="21"/>
          <w:szCs w:val="21"/>
          <w:b w:val="1"/>
          <w:bCs w:val="1"/>
          <w:color w:val="auto"/>
        </w:rPr>
        <w:t>Initial Development Plan</w:t>
      </w:r>
      <w:r>
        <w:rPr>
          <w:rFonts w:ascii="Arial" w:cs="Arial" w:eastAsia="Arial" w:hAnsi="Arial"/>
          <w:sz w:val="21"/>
          <w:szCs w:val="21"/>
          <w:color w:val="auto"/>
        </w:rPr>
        <w:t>” and together with any subsequent updates pursuant to this Section 4.2 and any Additional Indication Development Plans (defined below), the “</w:t>
      </w:r>
      <w:r>
        <w:rPr>
          <w:rFonts w:ascii="Arial" w:cs="Arial" w:eastAsia="Arial" w:hAnsi="Arial"/>
          <w:sz w:val="21"/>
          <w:szCs w:val="21"/>
          <w:b w:val="1"/>
          <w:bCs w:val="1"/>
          <w:color w:val="auto"/>
        </w:rPr>
        <w:t>Development Plan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Keros timely provides required information to assist Hansoh to draft the Development Plan. The Development Plan shall include among other things, [***]. From time to time during the Term, Hansoh may prepare written amendments and updates, as appropriate, to the then-current Development Plan, and shall submit such amendments and updates to the JCC.</w:t>
      </w:r>
    </w:p>
    <w:p>
      <w:pPr>
        <w:spacing w:after="0" w:line="15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4.3</w:t>
      </w:r>
      <w:r>
        <w:rPr>
          <w:sz w:val="20"/>
          <w:szCs w:val="20"/>
          <w:color w:val="auto"/>
        </w:rPr>
        <w:tab/>
      </w:r>
      <w:r>
        <w:rPr>
          <w:rFonts w:ascii="Arial" w:cs="Arial" w:eastAsia="Arial" w:hAnsi="Arial"/>
          <w:sz w:val="19"/>
          <w:szCs w:val="19"/>
          <w:b w:val="1"/>
          <w:bCs w:val="1"/>
          <w:color w:val="auto"/>
        </w:rPr>
        <w:t>Other Development Activities</w:t>
      </w:r>
      <w:r>
        <w:rPr>
          <w:rFonts w:ascii="Arial" w:cs="Arial" w:eastAsia="Arial" w:hAnsi="Arial"/>
          <w:sz w:val="19"/>
          <w:szCs w:val="19"/>
          <w:color w:val="auto"/>
        </w:rPr>
        <w:t>.</w:t>
      </w:r>
    </w:p>
    <w:p>
      <w:pPr>
        <w:spacing w:after="0" w:line="188" w:lineRule="exact"/>
        <w:rPr>
          <w:sz w:val="20"/>
          <w:szCs w:val="20"/>
          <w:color w:val="auto"/>
        </w:rPr>
      </w:pPr>
    </w:p>
    <w:p>
      <w:pPr>
        <w:jc w:val="both"/>
        <w:ind w:firstLine="1296"/>
        <w:spacing w:after="0" w:line="233" w:lineRule="auto"/>
        <w:tabs>
          <w:tab w:leader="none" w:pos="1882"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Back-Up Compounds. </w:t>
      </w:r>
      <w:r>
        <w:rPr>
          <w:rFonts w:ascii="Arial" w:cs="Arial" w:eastAsia="Arial" w:hAnsi="Arial"/>
          <w:sz w:val="20"/>
          <w:szCs w:val="20"/>
          <w:color w:val="auto"/>
        </w:rPr>
        <w:t>Keros shall notify Hansoh in writing if Keros identifies and chooses, at its sole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discretion, to Develop a Back-Up Compound. Hansoh shall have [***] from receipt of such notice to notify Keros in writing of Hansoh’s election to include such Back-Up Compound as a Licensed Compound for Development, Manufacture, and Commercialization in the Hansoh Territory. Upon delivery of such notice by Hansoh, such Back-Up Compound shall be included as a Licensed Compound hereunder;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Keros chooses, at its sole discretion, to discontinue Development of the original Licensed Compound, the original Licensed Compound shall no longer be considered a Licensed Compound hereunder while discontinued by Keros and only the Back-Up Compound will be considered a Licensed Compound.</w:t>
      </w:r>
    </w:p>
    <w:p>
      <w:pPr>
        <w:spacing w:after="0" w:line="154" w:lineRule="exact"/>
        <w:rPr>
          <w:rFonts w:ascii="Arial" w:cs="Arial" w:eastAsia="Arial" w:hAnsi="Arial"/>
          <w:sz w:val="20"/>
          <w:szCs w:val="20"/>
          <w:b w:val="1"/>
          <w:bCs w:val="1"/>
          <w:color w:val="auto"/>
        </w:rPr>
      </w:pPr>
    </w:p>
    <w:p>
      <w:pPr>
        <w:jc w:val="both"/>
        <w:ind w:firstLine="1296"/>
        <w:spacing w:after="0" w:line="222" w:lineRule="auto"/>
        <w:tabs>
          <w:tab w:leader="none" w:pos="1754"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Indications</w:t>
      </w:r>
      <w:r>
        <w:rPr>
          <w:rFonts w:ascii="Arial" w:cs="Arial" w:eastAsia="Arial" w:hAnsi="Arial"/>
          <w:sz w:val="21"/>
          <w:szCs w:val="21"/>
          <w:color w:val="auto"/>
        </w:rPr>
        <w:t>. If Hansoh desires to Develop a Licensed Product in the Field in the Hansoh Territory</w:t>
      </w:r>
      <w:r>
        <w:rPr>
          <w:rFonts w:ascii="Arial" w:cs="Arial" w:eastAsia="Arial" w:hAnsi="Arial"/>
          <w:sz w:val="21"/>
          <w:szCs w:val="21"/>
          <w:b w:val="1"/>
          <w:bCs w:val="1"/>
          <w:color w:val="auto"/>
        </w:rPr>
        <w:t xml:space="preserve"> </w:t>
      </w:r>
      <w:r>
        <w:rPr>
          <w:rFonts w:ascii="Arial" w:cs="Arial" w:eastAsia="Arial" w:hAnsi="Arial"/>
          <w:sz w:val="21"/>
          <w:szCs w:val="21"/>
          <w:color w:val="auto"/>
        </w:rPr>
        <w:t>in an Indication that has not been approved by the JCC, Hansoh shall submit to the JCC for review, discussion, and approval a proposed development plan for such Licensed Product in such additional Indication. The JCC shall review and discuss in good faith any such proposal. Upon unanimous JCC approval of the proposed additional Indication and the applicable development plan for such additional Indication, (i) such Indication shall be deemed an Additional Indication hereunder, and (ii) Hansoh shall Develop such Licensed Product in such Additional Indication in accordance with such JCC-approved plan (each an “</w:t>
      </w:r>
      <w:r>
        <w:rPr>
          <w:rFonts w:ascii="Arial" w:cs="Arial" w:eastAsia="Arial" w:hAnsi="Arial"/>
          <w:sz w:val="21"/>
          <w:szCs w:val="21"/>
          <w:b w:val="1"/>
          <w:bCs w:val="1"/>
          <w:color w:val="auto"/>
        </w:rPr>
        <w:t>Additional</w:t>
      </w:r>
      <w:r>
        <w:rPr>
          <w:rFonts w:ascii="Arial" w:cs="Arial" w:eastAsia="Arial" w:hAnsi="Arial"/>
          <w:sz w:val="21"/>
          <w:szCs w:val="21"/>
          <w:color w:val="auto"/>
        </w:rPr>
        <w:t xml:space="preserve"> </w:t>
      </w:r>
      <w:r>
        <w:rPr>
          <w:rFonts w:ascii="Arial" w:cs="Arial" w:eastAsia="Arial" w:hAnsi="Arial"/>
          <w:sz w:val="21"/>
          <w:szCs w:val="21"/>
          <w:b w:val="1"/>
          <w:bCs w:val="1"/>
          <w:color w:val="auto"/>
        </w:rPr>
        <w:t>Indication Development Plan</w:t>
      </w:r>
      <w:r>
        <w:rPr>
          <w:rFonts w:ascii="Arial" w:cs="Arial" w:eastAsia="Arial" w:hAnsi="Arial"/>
          <w:sz w:val="21"/>
          <w:szCs w:val="21"/>
          <w:color w:val="auto"/>
        </w:rPr>
        <w:t>”).</w:t>
      </w:r>
    </w:p>
    <w:p>
      <w:pPr>
        <w:spacing w:after="0" w:line="154" w:lineRule="exact"/>
        <w:rPr>
          <w:rFonts w:ascii="Arial" w:cs="Arial" w:eastAsia="Arial" w:hAnsi="Arial"/>
          <w:sz w:val="21"/>
          <w:szCs w:val="21"/>
          <w:b w:val="1"/>
          <w:bCs w:val="1"/>
          <w:color w:val="auto"/>
        </w:rPr>
      </w:pPr>
    </w:p>
    <w:p>
      <w:pPr>
        <w:ind w:left="1740" w:hanging="444"/>
        <w:spacing w:after="0"/>
        <w:tabs>
          <w:tab w:leader="none" w:pos="1740"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Global Clinical Trials</w:t>
      </w:r>
      <w:r>
        <w:rPr>
          <w:rFonts w:ascii="Arial" w:cs="Arial" w:eastAsia="Arial" w:hAnsi="Arial"/>
          <w:sz w:val="21"/>
          <w:szCs w:val="21"/>
          <w:color w:val="auto"/>
        </w:rPr>
        <w:t>.</w:t>
      </w:r>
    </w:p>
    <w:p>
      <w:pPr>
        <w:spacing w:after="0" w:line="193" w:lineRule="exact"/>
        <w:rPr>
          <w:rFonts w:ascii="Arial" w:cs="Arial" w:eastAsia="Arial" w:hAnsi="Arial"/>
          <w:sz w:val="21"/>
          <w:szCs w:val="21"/>
          <w:b w:val="1"/>
          <w:bCs w:val="1"/>
          <w:color w:val="auto"/>
        </w:rPr>
      </w:pPr>
    </w:p>
    <w:p>
      <w:pPr>
        <w:jc w:val="both"/>
        <w:ind w:firstLine="1940"/>
        <w:spacing w:after="0" w:line="219" w:lineRule="auto"/>
        <w:tabs>
          <w:tab w:leader="none" w:pos="2444" w:val="left"/>
        </w:tabs>
        <w:numPr>
          <w:ilvl w:val="1"/>
          <w:numId w:val="91"/>
        </w:numPr>
        <w:rPr>
          <w:rFonts w:ascii="Arial" w:cs="Arial" w:eastAsia="Arial" w:hAnsi="Arial"/>
          <w:sz w:val="21"/>
          <w:szCs w:val="21"/>
          <w:b w:val="1"/>
          <w:bCs w:val="1"/>
          <w:color w:val="auto"/>
        </w:rPr>
      </w:pPr>
      <w:r>
        <w:rPr>
          <w:rFonts w:ascii="Arial" w:cs="Arial" w:eastAsia="Arial" w:hAnsi="Arial"/>
          <w:sz w:val="21"/>
          <w:szCs w:val="21"/>
          <w:color w:val="auto"/>
        </w:rPr>
        <w:t>If Keros decides, at its sole discretion, to conduct a global or multi-Regional Clinical Trial of any Licensed Product in the Field in an Initial Indication or Additional Indication (each a “</w:t>
      </w:r>
      <w:r>
        <w:rPr>
          <w:rFonts w:ascii="Arial" w:cs="Arial" w:eastAsia="Arial" w:hAnsi="Arial"/>
          <w:sz w:val="21"/>
          <w:szCs w:val="21"/>
          <w:b w:val="1"/>
          <w:bCs w:val="1"/>
          <w:color w:val="auto"/>
        </w:rPr>
        <w:t>Global Clinical Trial</w:t>
      </w:r>
      <w:r>
        <w:rPr>
          <w:rFonts w:ascii="Arial" w:cs="Arial" w:eastAsia="Arial" w:hAnsi="Arial"/>
          <w:sz w:val="21"/>
          <w:szCs w:val="21"/>
          <w:color w:val="auto"/>
        </w:rPr>
        <w:t xml:space="preserve">”), Keros shall notify the JCC in writing of such decision and submit to the JCC a written global clinical trial plan (and any material modifications thereto) for such Global Clinical Trial (each a </w:t>
      </w:r>
      <w:r>
        <w:rPr>
          <w:rFonts w:ascii="Arial" w:cs="Arial" w:eastAsia="Arial" w:hAnsi="Arial"/>
          <w:sz w:val="21"/>
          <w:szCs w:val="21"/>
          <w:b w:val="1"/>
          <w:bCs w:val="1"/>
          <w:color w:val="auto"/>
        </w:rPr>
        <w:t>“Global Clinical Trial Plan</w:t>
      </w:r>
      <w:r>
        <w:rPr>
          <w:rFonts w:ascii="Arial" w:cs="Arial" w:eastAsia="Arial" w:hAnsi="Arial"/>
          <w:sz w:val="21"/>
          <w:szCs w:val="21"/>
          <w:color w:val="auto"/>
        </w:rPr>
        <w:t>”). The JCC shall review and discuss the Global Clinical Trial Plan. Keros shall reasonably consider in good faith any comments from the JCC on each Global Clinical Trial Plan, including without limitation comments regarding conducting a portion of the Global Clinical Trial in any country or Region in the Hansoh Territory. In connection with the conduct of a Global Clinical Trial, each Party shall consider in good faith the best mutual interests of the Parties, including considering [***]. Keros shall provide the JCC with a copy of the final Global Clinical Trial Plan for each such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93" w:right="339" w:bottom="1440" w:gutter="0" w:footer="0" w:header="0"/>
        </w:sectPr>
      </w:pPr>
    </w:p>
    <w:bookmarkStart w:id="158" w:name="page159"/>
    <w:bookmarkEnd w:id="158"/>
    <w:p>
      <w:pPr>
        <w:jc w:val="both"/>
        <w:ind w:firstLine="1940"/>
        <w:spacing w:after="0"/>
        <w:tabs>
          <w:tab w:leader="none" w:pos="2423" w:val="left"/>
        </w:tabs>
        <w:numPr>
          <w:ilvl w:val="1"/>
          <w:numId w:val="92"/>
        </w:numPr>
        <w:rPr>
          <w:rFonts w:ascii="Arial" w:cs="Arial" w:eastAsia="Arial" w:hAnsi="Arial"/>
          <w:sz w:val="19"/>
          <w:szCs w:val="19"/>
          <w:b w:val="1"/>
          <w:bCs w:val="1"/>
          <w:color w:val="auto"/>
        </w:rPr>
      </w:pPr>
      <w:r>
        <w:rPr>
          <w:rFonts w:ascii="Arial" w:cs="Arial" w:eastAsia="Arial" w:hAnsi="Arial"/>
          <w:sz w:val="19"/>
          <w:szCs w:val="19"/>
          <w:color w:val="auto"/>
        </w:rPr>
        <w:t xml:space="preserve">To the extent Keros decides, at its sole discretion, to conduct any portion of a Global Clinical Trial in the Hansoh Territory, within [***] of receipt of each final Global Clinical Trial Plan (and any material modifications thereto) for such Global Clinical Trial, Hansoh may elect to participate in such Global Clinical Trial by providing Keros written notice of such election,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Keros shall provide reasonably detailed study design, feasibility of operating trials, and budget for such Global Clinical Trials to enable Hansoh to make such decision. If Hansoh elects to participate in a Global Clinical Trial in accordance with this Section 4.3(c), Hansoh shall perform all Global Clinical Trial activities for the Hansoh Territory in accordance with such Global Clinical Trial Plan and the then-current Development Plan. The Parties will discuss in good faith the number of patients enrolled in the Hansoh Territory in such Global Clinical Trial, which shall meet the requirements of the Regulatory Authority for Regulatory Approval in the Hansoh Territory. The Parties shall discuss in good faith the allocation of costs for such Global Clinical Trial. If Keros modifies or terminates a Global Clinical Trial, Keros shall provide Hansoh with notice of the same, and Hansoh shall modify its performance of such trial in accordance with Keros’ modifications or terminate its performance of such trial, as applicable, in each case within a commercially reasonable time upon receipt of such notification from Keros. If Hansoh does not elect to participate in a Global Clinical Trial in accordance with this Section 4.3(c), Hansoh may independently conduct, at its cost, one or more Local Clinical Trials (defined below) of such Licensed Product in the Hansoh Territory pursuant to Section 4.3(d). For clarity, Keros shall have the right, but not obligation, (A) to conduct, at its cost, one or more Clinical Trials of any Licensed Product in any Indication in the Hansoh Territory regardless of whether Hansoh elects to participate in any such Clinical Trial and (B) to use any Data arising therefrom solely for the purpose of obtaining or maintaining Regulatory Approval of Licensed Products in the Keros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Keros shall discuss the conduct of such Clinical Trial with Hansoh in good faith prior to conducting such Clinical Trial in the Hansoh Territory.</w:t>
      </w:r>
    </w:p>
    <w:p>
      <w:pPr>
        <w:spacing w:after="0" w:line="355" w:lineRule="exact"/>
        <w:rPr>
          <w:rFonts w:ascii="Arial" w:cs="Arial" w:eastAsia="Arial" w:hAnsi="Arial"/>
          <w:sz w:val="19"/>
          <w:szCs w:val="19"/>
          <w:b w:val="1"/>
          <w:bCs w:val="1"/>
          <w:color w:val="auto"/>
        </w:rPr>
      </w:pPr>
    </w:p>
    <w:p>
      <w:pPr>
        <w:jc w:val="both"/>
        <w:ind w:firstLine="1296"/>
        <w:spacing w:after="0" w:line="220" w:lineRule="auto"/>
        <w:tabs>
          <w:tab w:leader="none" w:pos="1837"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Local Clinical Trials</w:t>
      </w:r>
      <w:r>
        <w:rPr>
          <w:rFonts w:ascii="Arial" w:cs="Arial" w:eastAsia="Arial" w:hAnsi="Arial"/>
          <w:sz w:val="21"/>
          <w:szCs w:val="21"/>
          <w:color w:val="auto"/>
        </w:rPr>
        <w:t>. If Hansoh does not participate in a Global Clinical Trial pursuant to Section 4.3(c),</w:t>
      </w:r>
      <w:r>
        <w:rPr>
          <w:rFonts w:ascii="Arial" w:cs="Arial" w:eastAsia="Arial" w:hAnsi="Arial"/>
          <w:sz w:val="21"/>
          <w:szCs w:val="21"/>
          <w:b w:val="1"/>
          <w:bCs w:val="1"/>
          <w:color w:val="auto"/>
        </w:rPr>
        <w:t xml:space="preserve"> </w:t>
      </w:r>
      <w:r>
        <w:rPr>
          <w:rFonts w:ascii="Arial" w:cs="Arial" w:eastAsia="Arial" w:hAnsi="Arial"/>
          <w:sz w:val="21"/>
          <w:szCs w:val="21"/>
          <w:color w:val="auto"/>
        </w:rPr>
        <w:t>Hansoh shall have the right, but not obligation, to Initiate a Clinical Trial of any Licensed Product in the Field in an Initial Indication or Additional Indication in any country or Region in the Hansoh Territory (each a “</w:t>
      </w:r>
      <w:r>
        <w:rPr>
          <w:rFonts w:ascii="Arial" w:cs="Arial" w:eastAsia="Arial" w:hAnsi="Arial"/>
          <w:sz w:val="21"/>
          <w:szCs w:val="21"/>
          <w:b w:val="1"/>
          <w:bCs w:val="1"/>
          <w:color w:val="auto"/>
        </w:rPr>
        <w:t>Local Clinical Trial</w:t>
      </w:r>
      <w:r>
        <w:rPr>
          <w:rFonts w:ascii="Arial" w:cs="Arial" w:eastAsia="Arial" w:hAnsi="Arial"/>
          <w:sz w:val="21"/>
          <w:szCs w:val="21"/>
          <w:color w:val="auto"/>
        </w:rPr>
        <w:t>”), and Hansoh shall notify the JCC in writing of such decision and submit to the JCC a written local clinical trial plan for such Local Clinical Trial (each a “</w:t>
      </w:r>
      <w:r>
        <w:rPr>
          <w:rFonts w:ascii="Arial" w:cs="Arial" w:eastAsia="Arial" w:hAnsi="Arial"/>
          <w:sz w:val="21"/>
          <w:szCs w:val="21"/>
          <w:b w:val="1"/>
          <w:bCs w:val="1"/>
          <w:color w:val="auto"/>
        </w:rPr>
        <w:t>Local Clinical Trial Plan</w:t>
      </w:r>
      <w:r>
        <w:rPr>
          <w:rFonts w:ascii="Arial" w:cs="Arial" w:eastAsia="Arial" w:hAnsi="Arial"/>
          <w:sz w:val="21"/>
          <w:szCs w:val="21"/>
          <w:color w:val="auto"/>
        </w:rPr>
        <w:t>”). The JCC shall review and discuss the Local Clinical Trial Plan. Hansoh shall reasonably consider in good faith any comments from the JCC on each Local Clinical Trial Plan and shall incorporate any comments from the JCC regarding any portion of the Local Clinical Trial Plan that [***]. Hansoh shall provide the JCC with a copy of the final Local Clinical Trial Plan for each such trial. Hansoh shall not take, or fail to take, any action in connection with a Local Clinical Trial that [***].</w:t>
      </w:r>
    </w:p>
    <w:p>
      <w:pPr>
        <w:spacing w:after="0" w:line="155"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 xml:space="preserve">4.4 Cooperation. </w:t>
      </w:r>
      <w:r>
        <w:rPr>
          <w:rFonts w:ascii="Arial" w:cs="Arial" w:eastAsia="Arial" w:hAnsi="Arial"/>
          <w:sz w:val="21"/>
          <w:szCs w:val="21"/>
          <w:color w:val="auto"/>
        </w:rPr>
        <w:t>Within the first [***] following the Effective Date, Keros shall provide [***] FTE hours of technical</w:t>
      </w:r>
      <w:r>
        <w:rPr>
          <w:rFonts w:ascii="Arial" w:cs="Arial" w:eastAsia="Arial" w:hAnsi="Arial"/>
          <w:sz w:val="21"/>
          <w:szCs w:val="21"/>
          <w:b w:val="1"/>
          <w:bCs w:val="1"/>
          <w:color w:val="auto"/>
        </w:rPr>
        <w:t xml:space="preserve"> </w:t>
      </w:r>
      <w:r>
        <w:rPr>
          <w:rFonts w:ascii="Arial" w:cs="Arial" w:eastAsia="Arial" w:hAnsi="Arial"/>
          <w:sz w:val="21"/>
          <w:szCs w:val="21"/>
          <w:color w:val="auto"/>
        </w:rPr>
        <w:t>assistance and cooperation to Hansoh as Hansoh may reasonably request ([***]), as necessary or reasonably useful for Hansoh to Develop, Manufacture and Commercialize Licensed Products in the Field in the Hansoh Territory. [***].</w:t>
      </w:r>
    </w:p>
    <w:p>
      <w:pPr>
        <w:spacing w:after="0" w:line="153" w:lineRule="exact"/>
        <w:rPr>
          <w:sz w:val="20"/>
          <w:szCs w:val="20"/>
          <w:color w:val="auto"/>
        </w:rPr>
      </w:pPr>
    </w:p>
    <w:p>
      <w:pPr>
        <w:jc w:val="both"/>
        <w:ind w:firstLine="644"/>
        <w:spacing w:after="0" w:line="233" w:lineRule="auto"/>
        <w:rPr>
          <w:sz w:val="20"/>
          <w:szCs w:val="20"/>
          <w:color w:val="auto"/>
        </w:rPr>
      </w:pPr>
      <w:r>
        <w:rPr>
          <w:rFonts w:ascii="Arial" w:cs="Arial" w:eastAsia="Arial" w:hAnsi="Arial"/>
          <w:sz w:val="20"/>
          <w:szCs w:val="20"/>
          <w:b w:val="1"/>
          <w:bCs w:val="1"/>
          <w:color w:val="auto"/>
        </w:rPr>
        <w:t xml:space="preserve">4.5 Development Records. </w:t>
      </w:r>
      <w:r>
        <w:rPr>
          <w:rFonts w:ascii="Arial" w:cs="Arial" w:eastAsia="Arial" w:hAnsi="Arial"/>
          <w:sz w:val="20"/>
          <w:szCs w:val="20"/>
          <w:color w:val="auto"/>
        </w:rPr>
        <w:t>[***] shall maintain complete, current, and accurate records of all activities conducted</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Development Plan by it, its Affiliates and their respective sublicensees, and all Data and other Information resulting from such activities. Such records shall fully and properly reflect all work done and results achieved in the performance of the Development activities in good scientific manner appropriate for regulatory and patent purposes. [***] shall document all non-clinical studies and Clinical Trials in formal written study records in accordance with all Applicable Law, including applicable national and international guidelines such as ICH, GCP and GLP. [***] shall have the right to review and copy such records at reasonable times and to obtain access to review the original to the extent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93" w:right="339" w:bottom="1440" w:gutter="0" w:footer="0" w:header="0"/>
        </w:sectPr>
      </w:pPr>
    </w:p>
    <w:bookmarkStart w:id="159" w:name="page160"/>
    <w:bookmarkEnd w:id="159"/>
    <w:p>
      <w:pPr>
        <w:jc w:val="both"/>
        <w:spacing w:after="0" w:line="296" w:lineRule="auto"/>
        <w:rPr>
          <w:sz w:val="20"/>
          <w:szCs w:val="20"/>
          <w:color w:val="auto"/>
        </w:rPr>
      </w:pPr>
      <w:r>
        <w:rPr>
          <w:rFonts w:ascii="Arial" w:cs="Arial" w:eastAsia="Arial" w:hAnsi="Arial"/>
          <w:sz w:val="19"/>
          <w:szCs w:val="19"/>
          <w:color w:val="auto"/>
        </w:rPr>
        <w:t>reasonably useful for regulatory or patent purposes upon reasonable notice to [***] and at a time and location mutually acceptable to [***]. Notwithstanding anything to the contrary herein, [***] shall have the right to retain the originals of all its records.</w:t>
      </w:r>
    </w:p>
    <w:p>
      <w:pPr>
        <w:spacing w:after="0" w:line="99" w:lineRule="exact"/>
        <w:rPr>
          <w:sz w:val="20"/>
          <w:szCs w:val="20"/>
          <w:color w:val="auto"/>
        </w:rPr>
      </w:pPr>
    </w:p>
    <w:p>
      <w:pPr>
        <w:jc w:val="both"/>
        <w:ind w:firstLine="644"/>
        <w:spacing w:after="0" w:line="220" w:lineRule="auto"/>
        <w:rPr>
          <w:sz w:val="20"/>
          <w:szCs w:val="20"/>
          <w:color w:val="auto"/>
        </w:rPr>
      </w:pPr>
      <w:r>
        <w:rPr>
          <w:rFonts w:ascii="Arial" w:cs="Arial" w:eastAsia="Arial" w:hAnsi="Arial"/>
          <w:sz w:val="21"/>
          <w:szCs w:val="21"/>
          <w:b w:val="1"/>
          <w:bCs w:val="1"/>
          <w:color w:val="auto"/>
        </w:rPr>
        <w:t>4.6 Development Reports</w:t>
      </w:r>
      <w:r>
        <w:rPr>
          <w:rFonts w:ascii="Arial" w:cs="Arial" w:eastAsia="Arial" w:hAnsi="Arial"/>
          <w:sz w:val="21"/>
          <w:szCs w:val="21"/>
          <w:color w:val="auto"/>
        </w:rPr>
        <w:t>. Hansoh shall keep Keros reasonably informed as to the progress and results of its and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and their respective sublicensees’ work under the Development Plan (including prompt reporting of available clinical data). Without limiting the foregoing, at each regularly scheduled JCC meeting, Hansoh shall provide Keros with a written report or update summarizing the Development activities performed since the last JCC meeting and the results thereof, and comparing such activities with the Development Plan for such time period. Such written report or update shall be provided in English and at a level of detail reasonably requested by Keros and sufficient to enable Keros to determine Hansoh’s compliance with its diligence obligations under Section 4.1. At such JCC meeting, the Parties shall discuss the status, progress, and results of Hansoh’s Development activities. Hansoh shall promptly respond to Keros’ reasonable questions or requests for additional information relating to such Development activities. [***].</w:t>
      </w:r>
    </w:p>
    <w:p>
      <w:pPr>
        <w:spacing w:after="0" w:line="15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4.7</w:t>
      </w:r>
      <w:r>
        <w:rPr>
          <w:sz w:val="20"/>
          <w:szCs w:val="20"/>
          <w:color w:val="auto"/>
        </w:rPr>
        <w:tab/>
      </w:r>
      <w:r>
        <w:rPr>
          <w:rFonts w:ascii="Arial" w:cs="Arial" w:eastAsia="Arial" w:hAnsi="Arial"/>
          <w:sz w:val="19"/>
          <w:szCs w:val="19"/>
          <w:b w:val="1"/>
          <w:bCs w:val="1"/>
          <w:color w:val="auto"/>
        </w:rPr>
        <w:t>Data Exchange</w:t>
      </w:r>
      <w:r>
        <w:rPr>
          <w:rFonts w:ascii="Arial" w:cs="Arial" w:eastAsia="Arial" w:hAnsi="Arial"/>
          <w:sz w:val="19"/>
          <w:szCs w:val="19"/>
          <w:color w:val="auto"/>
        </w:rPr>
        <w:t>.</w:t>
      </w:r>
    </w:p>
    <w:p>
      <w:pPr>
        <w:spacing w:after="0" w:line="194" w:lineRule="exact"/>
        <w:rPr>
          <w:sz w:val="20"/>
          <w:szCs w:val="20"/>
          <w:color w:val="auto"/>
        </w:rPr>
      </w:pPr>
    </w:p>
    <w:p>
      <w:pPr>
        <w:jc w:val="both"/>
        <w:ind w:firstLine="1296"/>
        <w:spacing w:after="0" w:line="227" w:lineRule="auto"/>
        <w:tabs>
          <w:tab w:leader="none" w:pos="1834"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In addition to Keros’ obligation with respect to the transfer of Keros Licensed Know-How set forth under Section 2.6 and each Party’s adverse event and safety data reporting obligations pursuant to Section 5.8, but subject to the remainder of this Section 4.7, each Party shall, at its sole cost, provide the other Party (through the JCC) with copies of all Data and access to Regulatory Materials related to all Licensed Products generated by or on behalf of and Controlled by such Party or its Affiliates or their sublicensees in the performance of Development activities of the Licensed Products (the “</w:t>
      </w:r>
      <w:r>
        <w:rPr>
          <w:rFonts w:ascii="Arial" w:cs="Arial" w:eastAsia="Arial" w:hAnsi="Arial"/>
          <w:sz w:val="20"/>
          <w:szCs w:val="20"/>
          <w:b w:val="1"/>
          <w:bCs w:val="1"/>
          <w:color w:val="auto"/>
        </w:rPr>
        <w:t>Product</w:t>
      </w:r>
      <w:r>
        <w:rPr>
          <w:rFonts w:ascii="Arial" w:cs="Arial" w:eastAsia="Arial" w:hAnsi="Arial"/>
          <w:sz w:val="20"/>
          <w:szCs w:val="20"/>
          <w:color w:val="auto"/>
        </w:rPr>
        <w:t xml:space="preserve"> </w:t>
      </w:r>
      <w:r>
        <w:rPr>
          <w:rFonts w:ascii="Arial" w:cs="Arial" w:eastAsia="Arial" w:hAnsi="Arial"/>
          <w:sz w:val="20"/>
          <w:szCs w:val="20"/>
          <w:b w:val="1"/>
          <w:bCs w:val="1"/>
          <w:color w:val="auto"/>
        </w:rPr>
        <w:t>Materials</w:t>
      </w:r>
      <w:r>
        <w:rPr>
          <w:rFonts w:ascii="Arial" w:cs="Arial" w:eastAsia="Arial" w:hAnsi="Arial"/>
          <w:sz w:val="20"/>
          <w:szCs w:val="20"/>
          <w:color w:val="auto"/>
        </w:rPr>
        <w:t>”). Subject to the terms and conditions of this Agreement, (i) Keros may disclose Product Materials of Hansoh to Keros’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and sublicensees of Keros or its Affiliates for use of such Product Materials in the Development, Manufacture, or Commercialization of Licensed Products in the Keros Territory; and (ii) Hansoh may disclose Product Materials of Keros to Hansoh’s Affiliates and sublicensees of Hansoh or its Affiliates for use of such Product Materials in the Development, Manufacture, or Commercialization of Licensed Products in the Hansoh Territory. Within [***] following the Effective Date, the Parties shall negotiate in good faith a data sharing agreement to govern the exchange of Data related to Licensed Products, including Product Materials (the “</w:t>
      </w:r>
      <w:r>
        <w:rPr>
          <w:rFonts w:ascii="Arial" w:cs="Arial" w:eastAsia="Arial" w:hAnsi="Arial"/>
          <w:sz w:val="20"/>
          <w:szCs w:val="20"/>
          <w:b w:val="1"/>
          <w:bCs w:val="1"/>
          <w:color w:val="auto"/>
        </w:rPr>
        <w:t>Data Sharing Agreement</w:t>
      </w:r>
      <w:r>
        <w:rPr>
          <w:rFonts w:ascii="Arial" w:cs="Arial" w:eastAsia="Arial" w:hAnsi="Arial"/>
          <w:sz w:val="20"/>
          <w:szCs w:val="20"/>
          <w:color w:val="auto"/>
        </w:rPr>
        <w:t>”) [***]. For clarity, the JCC may establish reasonable policies to effectuate such exchange of Product Materials between the Parties in accordance with the terms of the Data Sharing Agreement. For clarity, the exchange and each Party’s use of Data and access to Regulatory Materials shall be compliant with Applicable Law, including the General Data Protection Regulation 2016/67, as amended. In addition, Hansoh may select to initiate non-clinical and clinical studies pursuant to this Article 4. Due to different requirements among Regulatory Authorities in the Hansoh Territory and the Keros Territory, there is no guarantee that Data generated from a non-clinical or clinical study in the Hansoh Territory will satisfy the requirements of another Regulatory Authority in the Keros Territory. In such case, both Parties shall discuss and resolve this matter in good faith. If Keros desires to use Data generated by Hansoh in any non-clinical or clinical study for a filing for Regulatory Approval in the Keros Territory, Keros shall reasonably reimburse Hansoh for [***].</w:t>
      </w:r>
    </w:p>
    <w:p>
      <w:pPr>
        <w:spacing w:after="0" w:line="158" w:lineRule="exact"/>
        <w:rPr>
          <w:rFonts w:ascii="Arial" w:cs="Arial" w:eastAsia="Arial" w:hAnsi="Arial"/>
          <w:sz w:val="20"/>
          <w:szCs w:val="20"/>
          <w:b w:val="1"/>
          <w:bCs w:val="1"/>
          <w:color w:val="auto"/>
        </w:rPr>
      </w:pPr>
    </w:p>
    <w:p>
      <w:pPr>
        <w:jc w:val="both"/>
        <w:ind w:firstLine="1296"/>
        <w:spacing w:after="0" w:line="239" w:lineRule="auto"/>
        <w:tabs>
          <w:tab w:leader="none" w:pos="1873"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If a Regulatory Authority requires Hansoh to submit Data or other Information Controlled by Keros and related to the Licensed Compound to submit an IND for a Licensed Product in the Hansoh Territory or obtain Regulatory Approval of such IND, Keros shall transfer such Data and Information to Hansoh within [***] following the later of (i) the Effective Date or (ii) the date on which Hansoh notifies Keros in writing that such Data or Information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93" w:right="339" w:bottom="1440" w:gutter="0" w:footer="0" w:header="0"/>
        </w:sectPr>
      </w:pPr>
    </w:p>
    <w:bookmarkStart w:id="160" w:name="page161"/>
    <w:bookmarkEnd w:id="160"/>
    <w:p>
      <w:pPr>
        <w:jc w:val="both"/>
        <w:ind w:firstLine="644"/>
        <w:spacing w:after="0" w:line="229" w:lineRule="auto"/>
        <w:rPr>
          <w:sz w:val="20"/>
          <w:szCs w:val="20"/>
          <w:color w:val="auto"/>
        </w:rPr>
      </w:pPr>
      <w:r>
        <w:rPr>
          <w:rFonts w:ascii="Arial" w:cs="Arial" w:eastAsia="Arial" w:hAnsi="Arial"/>
          <w:sz w:val="20"/>
          <w:szCs w:val="20"/>
          <w:b w:val="1"/>
          <w:bCs w:val="1"/>
          <w:color w:val="auto"/>
        </w:rPr>
        <w:t>4.8 Subcontractors</w:t>
      </w:r>
      <w:r>
        <w:rPr>
          <w:rFonts w:ascii="Arial" w:cs="Arial" w:eastAsia="Arial" w:hAnsi="Arial"/>
          <w:sz w:val="20"/>
          <w:szCs w:val="20"/>
          <w:color w:val="auto"/>
        </w:rPr>
        <w:t>. Subject to [***], Hansoh shall have the right to engage and sublicense its rights under the Keros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Technology to its subcontractors to the extent necessary or reasonably useful to conduct any activities necessary or reasonably useful for Development of Licensed Products, including but not limited to non-clinical studies, clinical studies, CMC activities, and regulatory services for Licensed Products, under this Agreement,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subcontractors are bound by written obligations of confidentiality consistent with this Agreement and have agreed in writing to assign to Hansoh all Data, Information, inventions or other intellectual property generated by such subcontractor in the course of performing such subcontracted work. Subject to [***], Hansoh may also subcontract its rights to Manufacture the Licensed Product in the Hansoh Territory,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subcontractors are bound by written obligations of confidentiality consistent with this Agreement and have agreed in writing to assign to Hansoh all Data, Information, inventions, and other intellectual property generated by such subcontractor in the course of or as a result of performing such subcontracted work. Hansoh shall remain responsible for any obligations that have been delegated or subcontracted to any subcontractor, and shall be responsible for the performance of its subcontractors. Keros shall reasonably cooperate with any Hansoh subcontractor to the extent that Keros has a corresponding obligation under this Agreement to cooperate with Hansoh.</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5</w:t>
      </w:r>
    </w:p>
    <w:p>
      <w:pPr>
        <w:jc w:val="center"/>
        <w:spacing w:after="0"/>
        <w:rPr>
          <w:sz w:val="20"/>
          <w:szCs w:val="20"/>
          <w:color w:val="auto"/>
        </w:rPr>
      </w:pPr>
      <w:r>
        <w:rPr>
          <w:rFonts w:ascii="Arial" w:cs="Arial" w:eastAsia="Arial" w:hAnsi="Arial"/>
          <w:sz w:val="21"/>
          <w:szCs w:val="21"/>
          <w:b w:val="1"/>
          <w:bCs w:val="1"/>
          <w:color w:val="auto"/>
        </w:rPr>
        <w:t>REGULATORY MATTERS</w:t>
      </w:r>
    </w:p>
    <w:p>
      <w:pPr>
        <w:spacing w:after="0" w:line="16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5.1</w:t>
      </w:r>
      <w:r>
        <w:rPr>
          <w:sz w:val="20"/>
          <w:szCs w:val="20"/>
          <w:color w:val="auto"/>
        </w:rPr>
        <w:tab/>
      </w:r>
      <w:r>
        <w:rPr>
          <w:rFonts w:ascii="Arial" w:cs="Arial" w:eastAsia="Arial" w:hAnsi="Arial"/>
          <w:sz w:val="19"/>
          <w:szCs w:val="19"/>
          <w:b w:val="1"/>
          <w:bCs w:val="1"/>
          <w:color w:val="auto"/>
        </w:rPr>
        <w:t>Regulatory Responsibilities</w:t>
      </w:r>
      <w:r>
        <w:rPr>
          <w:rFonts w:ascii="Arial" w:cs="Arial" w:eastAsia="Arial" w:hAnsi="Arial"/>
          <w:sz w:val="19"/>
          <w:szCs w:val="19"/>
          <w:color w:val="auto"/>
        </w:rPr>
        <w:t>.</w:t>
      </w:r>
    </w:p>
    <w:p>
      <w:pPr>
        <w:spacing w:after="0" w:line="194" w:lineRule="exact"/>
        <w:rPr>
          <w:sz w:val="20"/>
          <w:szCs w:val="20"/>
          <w:color w:val="auto"/>
        </w:rPr>
      </w:pPr>
    </w:p>
    <w:p>
      <w:pPr>
        <w:jc w:val="both"/>
        <w:ind w:firstLine="1296"/>
        <w:spacing w:after="0" w:line="220" w:lineRule="auto"/>
        <w:tabs>
          <w:tab w:leader="none" w:pos="1888" w:val="left"/>
        </w:tabs>
        <w:numPr>
          <w:ilvl w:val="1"/>
          <w:numId w:val="95"/>
        </w:numPr>
        <w:rPr>
          <w:rFonts w:ascii="Arial" w:cs="Arial" w:eastAsia="Arial" w:hAnsi="Arial"/>
          <w:sz w:val="21"/>
          <w:szCs w:val="21"/>
          <w:b w:val="1"/>
          <w:bCs w:val="1"/>
          <w:color w:val="auto"/>
        </w:rPr>
      </w:pPr>
      <w:r>
        <w:rPr>
          <w:rFonts w:ascii="Arial" w:cs="Arial" w:eastAsia="Arial" w:hAnsi="Arial"/>
          <w:sz w:val="21"/>
          <w:szCs w:val="21"/>
          <w:color w:val="auto"/>
        </w:rPr>
        <w:t>Subject to the terms and conditions of this Agreement, Hansoh will be responsible, at its sole cost and expense, for the conduct of all regulatory activities required to obtain and maintain Regulatory Approval of Licensed Products in the Field in the Hansoh Territory, including the preparation and submission of all Regulatory Materials and all communications and interactions with Regulatory Authorities, as necessary to obtain Regulatory Approval for Licensed Products in any Region in the Hansoh Territory. Hansoh shall be responsible for filing each MAA in the Hansoh Territory for each Licensed Product in its own name. The Development Plan shall include the regulatory strategy for obtaining Regulatory Approval of Licensed Products in the Hansoh Territory. Hansoh shall use Commercially Reasonable Efforts to carry out its regulatory obligations for Licensed Products pursuant to such strategy.</w:t>
      </w:r>
    </w:p>
    <w:p>
      <w:pPr>
        <w:spacing w:after="0" w:line="161" w:lineRule="exact"/>
        <w:rPr>
          <w:rFonts w:ascii="Arial" w:cs="Arial" w:eastAsia="Arial" w:hAnsi="Arial"/>
          <w:sz w:val="21"/>
          <w:szCs w:val="21"/>
          <w:b w:val="1"/>
          <w:bCs w:val="1"/>
          <w:color w:val="auto"/>
        </w:rPr>
      </w:pPr>
    </w:p>
    <w:p>
      <w:pPr>
        <w:ind w:left="1900" w:hanging="604"/>
        <w:spacing w:after="0"/>
        <w:tabs>
          <w:tab w:leader="none" w:pos="1900" w:val="left"/>
        </w:tabs>
        <w:numPr>
          <w:ilvl w:val="1"/>
          <w:numId w:val="95"/>
        </w:numPr>
        <w:rPr>
          <w:rFonts w:ascii="Arial" w:cs="Arial" w:eastAsia="Arial" w:hAnsi="Arial"/>
          <w:sz w:val="19"/>
          <w:szCs w:val="19"/>
          <w:b w:val="1"/>
          <w:bCs w:val="1"/>
          <w:color w:val="auto"/>
        </w:rPr>
      </w:pPr>
      <w:r>
        <w:rPr>
          <w:rFonts w:ascii="Arial" w:cs="Arial" w:eastAsia="Arial" w:hAnsi="Arial"/>
          <w:sz w:val="19"/>
          <w:szCs w:val="19"/>
          <w:color w:val="auto"/>
        </w:rPr>
        <w:t>Keros shall provide reasonable assistance and cooperation to Hansoh as Hansoh may reasonably request</w:t>
      </w:r>
    </w:p>
    <w:p>
      <w:pPr>
        <w:spacing w:after="0" w:line="14" w:lineRule="exact"/>
        <w:rPr>
          <w:rFonts w:ascii="Arial" w:cs="Arial" w:eastAsia="Arial" w:hAnsi="Arial"/>
          <w:sz w:val="19"/>
          <w:szCs w:val="19"/>
          <w:b w:val="1"/>
          <w:bCs w:val="1"/>
          <w:color w:val="auto"/>
        </w:rPr>
      </w:pPr>
    </w:p>
    <w:p>
      <w:pPr>
        <w:jc w:val="both"/>
        <w:ind w:firstLine="7"/>
        <w:spacing w:after="0" w:line="239" w:lineRule="auto"/>
        <w:tabs>
          <w:tab w:leader="none" w:pos="534" w:val="left"/>
        </w:tabs>
        <w:numPr>
          <w:ilvl w:val="0"/>
          <w:numId w:val="95"/>
        </w:numPr>
        <w:rPr>
          <w:rFonts w:ascii="Arial" w:cs="Arial" w:eastAsia="Arial" w:hAnsi="Arial"/>
          <w:sz w:val="19"/>
          <w:szCs w:val="19"/>
          <w:color w:val="auto"/>
        </w:rPr>
      </w:pPr>
      <w:r>
        <w:rPr>
          <w:rFonts w:ascii="Arial" w:cs="Arial" w:eastAsia="Arial" w:hAnsi="Arial"/>
          <w:sz w:val="19"/>
          <w:szCs w:val="19"/>
          <w:color w:val="auto"/>
        </w:rPr>
        <w:t>during the Term of this Agreement, with respect to the satisfaction of its obligations under Section 5.1(a), including (i) in connection with the preparation of Regulatory Materials, (ii) providing documentation [***], in each case as requested by Regulatory Authorities, and (iii) transferring to Hansoh additional Regulatory Materials in the Keros Territory as required by Regulatory Authorities in the Hansoh Territory within [***] of Hansoh’s reasonable request. In the event that Keros believes that such requests are not reasonable or are otherwise burdensome to Keros, then such matter shall be promptly submitted to the JCC for review and discussion. Without limiting the foregoing, Keros shall provide Hansoh with modules 2, 3, 4 and 5 of the CTD in a manner sufficient for filing in the U.S. as soon as reasonably practicable after completion thereof. Additionally, Keros shall provide Hansoh with information sufficient for filing modules 2, 3, 4 and 5 of the CTD in the Hansoh Territory. Hansoh shall be responsible for publishing and submitting the CTD (including modules 2, 3, 4 and 5) to the Regulatory Authority in the Hansoh Territory. In order to address questions Hansoh may receive from a Regulatory Authority in the Hansoh Territory related to modules 2, 3, 4 and 5 of the CTD, Keros will assist in the preparation of responses based on information that would be found in: various technical reports, notebooks, executed batch records, master batch records, SOPs, validation protocols and reports, vendor certificates, and Third Party study reports and other CMC related documents not otherwise included in modules 2, 3,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87" w:right="339" w:bottom="1440" w:gutter="0" w:footer="0" w:header="0"/>
        </w:sectPr>
      </w:pPr>
    </w:p>
    <w:bookmarkStart w:id="161" w:name="page162"/>
    <w:bookmarkEnd w:id="161"/>
    <w:p>
      <w:pPr>
        <w:jc w:val="both"/>
        <w:spacing w:after="0" w:line="228" w:lineRule="auto"/>
        <w:rPr>
          <w:sz w:val="20"/>
          <w:szCs w:val="20"/>
          <w:color w:val="auto"/>
        </w:rPr>
      </w:pPr>
      <w:r>
        <w:rPr>
          <w:rFonts w:ascii="Arial" w:cs="Arial" w:eastAsia="Arial" w:hAnsi="Arial"/>
          <w:sz w:val="20"/>
          <w:szCs w:val="20"/>
          <w:color w:val="auto"/>
        </w:rPr>
        <w:t>of the CTD or otherwise already provided to Hansoh. Any such transfer of CMC Information as set forth in this Section 5.1 is conditioned on Hansoh establishing appropriate firewalls or equivalent means to ensure that such CMC Information is protected from unauthorized disclosure and is used only for legal, Development, regulatory compliance and other related purposes which are necessary or reasonably useful for Manufacturing Licensed Product in Hansoh Territory and not for any other purpose. In furtherance of the foregoing, Hansoh shall ensure that any CMC Information provided by or on behalf of Keros pursuant to this Section 5.1 shall only be disclosed to those identified personnel of Hansoh (or a designated agreed Third Party) who (a) have a need to know the same to comply with the above obligations, and (b) have been fully informed of and acknowledge the highly sensitive and proprietary nature of such information and the need to maintain its secrecy and avoid inappropriate usage or disclosure, by using the firewall or equivalent means. Notwithstanding anything to the contrary herein, Keros’ obligations under this Section 5.1(b), including to provide Hansoh with modules 2, 3, 4 and 5 of the CTD and such other information or assistance specified in this Section 5.1(b), shall apply solely to the extent Keros is manufacturing and providing Hansoh with Licensed Products under the clinical Supply Agreement or commercial Supply Agreement. Keros agrees, to the extent CMC Data is required or requested by the Regulatory Authorities, including the NMPA, to generate such Data subject to Hansoh’s reimbursement of Keros’ [***].</w:t>
      </w:r>
    </w:p>
    <w:p>
      <w:pPr>
        <w:spacing w:after="0" w:line="15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5.2</w:t>
      </w:r>
      <w:r>
        <w:rPr>
          <w:sz w:val="20"/>
          <w:szCs w:val="20"/>
          <w:color w:val="auto"/>
        </w:rPr>
        <w:tab/>
      </w:r>
      <w:r>
        <w:rPr>
          <w:rFonts w:ascii="Arial" w:cs="Arial" w:eastAsia="Arial" w:hAnsi="Arial"/>
          <w:sz w:val="19"/>
          <w:szCs w:val="19"/>
          <w:b w:val="1"/>
          <w:bCs w:val="1"/>
          <w:color w:val="auto"/>
        </w:rPr>
        <w:t>Regulatory Information Sharing</w:t>
      </w:r>
      <w:r>
        <w:rPr>
          <w:rFonts w:ascii="Arial" w:cs="Arial" w:eastAsia="Arial" w:hAnsi="Arial"/>
          <w:sz w:val="19"/>
          <w:szCs w:val="19"/>
          <w:color w:val="auto"/>
        </w:rPr>
        <w:t>. Hansoh shall:</w:t>
      </w:r>
    </w:p>
    <w:p>
      <w:pPr>
        <w:spacing w:after="0" w:line="194" w:lineRule="exact"/>
        <w:rPr>
          <w:sz w:val="20"/>
          <w:szCs w:val="20"/>
          <w:color w:val="auto"/>
        </w:rPr>
      </w:pPr>
    </w:p>
    <w:p>
      <w:pPr>
        <w:jc w:val="both"/>
        <w:ind w:firstLine="1296"/>
        <w:spacing w:after="0" w:line="225" w:lineRule="auto"/>
        <w:tabs>
          <w:tab w:leader="none" w:pos="1834" w:val="left"/>
        </w:tabs>
        <w:numPr>
          <w:ilvl w:val="0"/>
          <w:numId w:val="96"/>
        </w:numPr>
        <w:rPr>
          <w:rFonts w:ascii="Arial" w:cs="Arial" w:eastAsia="Arial" w:hAnsi="Arial"/>
          <w:sz w:val="21"/>
          <w:szCs w:val="21"/>
          <w:b w:val="1"/>
          <w:bCs w:val="1"/>
          <w:color w:val="auto"/>
        </w:rPr>
      </w:pPr>
      <w:r>
        <w:rPr>
          <w:rFonts w:ascii="Arial" w:cs="Arial" w:eastAsia="Arial" w:hAnsi="Arial"/>
          <w:sz w:val="21"/>
          <w:szCs w:val="21"/>
          <w:color w:val="auto"/>
        </w:rPr>
        <w:t>[***], if reasonably available to or created by Hansoh, its Affiliates, or its sublicensees or subcontractors, along with the original documents (in the electronic format in which it has been prepared by Hansoh) of draft package inserts, CTA and CTD, for Keros’ review and comment, in connection with obtaining or maintaining any MAA approval for Licensed Products in the Field in the Hansoh Territory, prior to the submission of such documents to the Regulatory Authority in the Hansoh Territory. [***]; and</w:t>
      </w:r>
    </w:p>
    <w:p>
      <w:pPr>
        <w:spacing w:after="0" w:line="156" w:lineRule="exact"/>
        <w:rPr>
          <w:rFonts w:ascii="Arial" w:cs="Arial" w:eastAsia="Arial" w:hAnsi="Arial"/>
          <w:sz w:val="21"/>
          <w:szCs w:val="21"/>
          <w:b w:val="1"/>
          <w:bCs w:val="1"/>
          <w:color w:val="auto"/>
        </w:rPr>
      </w:pPr>
    </w:p>
    <w:p>
      <w:pPr>
        <w:jc w:val="both"/>
        <w:ind w:firstLine="1296"/>
        <w:spacing w:after="0" w:line="223" w:lineRule="auto"/>
        <w:tabs>
          <w:tab w:leader="none" w:pos="1900" w:val="left"/>
        </w:tabs>
        <w:numPr>
          <w:ilvl w:val="0"/>
          <w:numId w:val="96"/>
        </w:numPr>
        <w:rPr>
          <w:rFonts w:ascii="Arial" w:cs="Arial" w:eastAsia="Arial" w:hAnsi="Arial"/>
          <w:sz w:val="21"/>
          <w:szCs w:val="21"/>
          <w:b w:val="1"/>
          <w:bCs w:val="1"/>
          <w:color w:val="auto"/>
        </w:rPr>
      </w:pPr>
      <w:r>
        <w:rPr>
          <w:rFonts w:ascii="Arial" w:cs="Arial" w:eastAsia="Arial" w:hAnsi="Arial"/>
          <w:sz w:val="21"/>
          <w:szCs w:val="21"/>
          <w:color w:val="auto"/>
        </w:rPr>
        <w:t>keep Keros informed of any material verbal or written communication or question relating to Licensed Products received by Hansoh from the Regulatory Authority in the Hansoh Territory. Except as required by Applicable Law, Hansoh, its Affiliates and sublicensees shall not submit any Regulatory Materials to, or communicate with, any Regulatory Authority in the Keros Territory regarding any Licensed Products. If such submission or communication is required by Applicable Law, Hansoh shall immediately notify Keros in writing of such requirement and the content of such submission or communication to allow reasonable time for Keros to provide comment, if possible.</w:t>
      </w:r>
    </w:p>
    <w:p>
      <w:pPr>
        <w:spacing w:after="0" w:line="151"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9"/>
          <w:szCs w:val="19"/>
          <w:b w:val="1"/>
          <w:bCs w:val="1"/>
          <w:color w:val="auto"/>
        </w:rPr>
        <w:t>5.3 Meetings with Regulatory Authorities</w:t>
      </w:r>
      <w:r>
        <w:rPr>
          <w:rFonts w:ascii="Arial" w:cs="Arial" w:eastAsia="Arial" w:hAnsi="Arial"/>
          <w:sz w:val="19"/>
          <w:szCs w:val="19"/>
          <w:color w:val="auto"/>
        </w:rPr>
        <w:t>. Hansoh shall lead all interactions with Regulatory Authorities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Hansoh Territory with respect to Licensed Products. Hansoh shall keep Keros reasonably informed of any material regulatory developments related to Licensed Products in the Field in the Hansoh Territory. At each regularly scheduled JCC meeting, Hansoh shall provide Keros with a list and schedule of any in-person meeting or teleconference with the applicable Regulatory Authorities (or related advisory committees) in the Hansoh Territory planned for the next Calendar Quarter that relates to any Licensed Product in the Field. In addition, Hansoh shall notify Keros as soon as reasonably possible (but in no event later than [***] if possible) after Hansoh becomes aware of any additional such meetings or teleconferences that become scheduled for such Calendar Quarter. To the extent permitted by Applicable Law and by the Regulatory Authorities (as reasonably determined by Hansoh), Keros shall have the right to participate (whether directly or through a representative) in all such meetings and teleconferences. If such participation would result in the disclosure to Keros of Hansoh’s Confidential Information unrelated to the subject matter of this Agreement, the Parties shall enter into a confidentiality agreement covering such unrelated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93" w:right="339" w:bottom="1440" w:gutter="0" w:footer="0" w:header="0"/>
        </w:sectPr>
      </w:pPr>
    </w:p>
    <w:bookmarkStart w:id="162" w:name="page163"/>
    <w:bookmarkEnd w:id="162"/>
    <w:p>
      <w:pPr>
        <w:jc w:val="both"/>
        <w:ind w:firstLine="644"/>
        <w:spacing w:after="0" w:line="251" w:lineRule="auto"/>
        <w:rPr>
          <w:sz w:val="20"/>
          <w:szCs w:val="20"/>
          <w:color w:val="auto"/>
        </w:rPr>
      </w:pPr>
      <w:r>
        <w:rPr>
          <w:rFonts w:ascii="Arial" w:cs="Arial" w:eastAsia="Arial" w:hAnsi="Arial"/>
          <w:sz w:val="21"/>
          <w:szCs w:val="21"/>
          <w:b w:val="1"/>
          <w:bCs w:val="1"/>
          <w:color w:val="auto"/>
        </w:rPr>
        <w:t>5.4 Regulatory Costs</w:t>
      </w:r>
      <w:r>
        <w:rPr>
          <w:rFonts w:ascii="Arial" w:cs="Arial" w:eastAsia="Arial" w:hAnsi="Arial"/>
          <w:sz w:val="21"/>
          <w:szCs w:val="21"/>
          <w:color w:val="auto"/>
        </w:rPr>
        <w:t>. Unless otherwise provided in this Agreement, [***] for Licensed Products in the Field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Hansoh Territory.</w:t>
      </w:r>
    </w:p>
    <w:p>
      <w:pPr>
        <w:spacing w:after="0" w:line="139" w:lineRule="exact"/>
        <w:rPr>
          <w:sz w:val="20"/>
          <w:szCs w:val="20"/>
          <w:color w:val="auto"/>
        </w:rPr>
      </w:pPr>
    </w:p>
    <w:p>
      <w:pPr>
        <w:jc w:val="both"/>
        <w:ind w:firstLine="644"/>
        <w:spacing w:after="0" w:line="230" w:lineRule="auto"/>
        <w:rPr>
          <w:sz w:val="20"/>
          <w:szCs w:val="20"/>
          <w:color w:val="auto"/>
        </w:rPr>
      </w:pPr>
      <w:r>
        <w:rPr>
          <w:rFonts w:ascii="Arial" w:cs="Arial" w:eastAsia="Arial" w:hAnsi="Arial"/>
          <w:sz w:val="20"/>
          <w:szCs w:val="20"/>
          <w:b w:val="1"/>
          <w:bCs w:val="1"/>
          <w:color w:val="auto"/>
        </w:rPr>
        <w:t>5.5 Right of Reference to Regulatory Materials</w:t>
      </w:r>
      <w:r>
        <w:rPr>
          <w:rFonts w:ascii="Arial" w:cs="Arial" w:eastAsia="Arial" w:hAnsi="Arial"/>
          <w:sz w:val="20"/>
          <w:szCs w:val="20"/>
          <w:color w:val="auto"/>
        </w:rPr>
        <w:t>. Each Party hereby grants to the other Party the right of reference to</w:t>
      </w:r>
      <w:r>
        <w:rPr>
          <w:rFonts w:ascii="Arial" w:cs="Arial" w:eastAsia="Arial" w:hAnsi="Arial"/>
          <w:sz w:val="20"/>
          <w:szCs w:val="20"/>
          <w:b w:val="1"/>
          <w:bCs w:val="1"/>
          <w:color w:val="auto"/>
        </w:rPr>
        <w:t xml:space="preserve"> </w:t>
      </w:r>
      <w:r>
        <w:rPr>
          <w:rFonts w:ascii="Arial" w:cs="Arial" w:eastAsia="Arial" w:hAnsi="Arial"/>
          <w:sz w:val="20"/>
          <w:szCs w:val="20"/>
          <w:color w:val="auto"/>
        </w:rPr>
        <w:t>all Regulatory Materials pertaining to Licensed Products submitted by or on behalf of such Party, subject to the limitations set forth in Section 4.7 that there is no guarantee that Data generated from a non-clinical or clinical study in the Hansoh Territory will satisfy the requirements of another Regulatory Authority in the Keros Territory. If Hansoh elects to participate in a Global Clinical Trial, the Parties shall ensure that any Data generated in the Hansoh Territory shall satisfy the requirements of the Regulatory Authority in the Hansoh Territory for the right of reference. The receiving Party may use such right of reference solely for the purpose of seeking, obtaining and maintaining Regulatory Approval of Licensed Products in its respective Territory. Each Party shall support the other Party, as reasonably requested by such other Party [***], in obtaining Regulatory Approvals in such other Party’s Territory, including providing necessary documents or other materials required by Applicable Law to obtain Regulatory Approval in such Territory, all in accordance with the terms and conditions of this Agreement. [***].</w:t>
      </w:r>
    </w:p>
    <w:p>
      <w:pPr>
        <w:spacing w:after="0" w:line="158"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5.6 No Harmful Actions</w:t>
      </w:r>
      <w:r>
        <w:rPr>
          <w:rFonts w:ascii="Arial" w:cs="Arial" w:eastAsia="Arial" w:hAnsi="Arial"/>
          <w:sz w:val="21"/>
          <w:szCs w:val="21"/>
          <w:color w:val="auto"/>
        </w:rPr>
        <w:t>. If either Party believes that the other Party is taking or intends to take any action with respect</w:t>
      </w:r>
      <w:r>
        <w:rPr>
          <w:rFonts w:ascii="Arial" w:cs="Arial" w:eastAsia="Arial" w:hAnsi="Arial"/>
          <w:sz w:val="21"/>
          <w:szCs w:val="21"/>
          <w:b w:val="1"/>
          <w:bCs w:val="1"/>
          <w:color w:val="auto"/>
        </w:rPr>
        <w:t xml:space="preserve"> </w:t>
      </w:r>
      <w:r>
        <w:rPr>
          <w:rFonts w:ascii="Arial" w:cs="Arial" w:eastAsia="Arial" w:hAnsi="Arial"/>
          <w:sz w:val="21"/>
          <w:szCs w:val="21"/>
          <w:color w:val="auto"/>
        </w:rPr>
        <w:t>to any Licensed Product that could reasonably be expected to pose [***], as applicable, the Party may bring the matter to the attention of the JCC and the Parties shall discuss in good faith to promptly resolve such concern.</w:t>
      </w:r>
    </w:p>
    <w:p>
      <w:pPr>
        <w:spacing w:after="0" w:line="153" w:lineRule="exact"/>
        <w:rPr>
          <w:sz w:val="20"/>
          <w:szCs w:val="20"/>
          <w:color w:val="auto"/>
        </w:rPr>
      </w:pPr>
    </w:p>
    <w:p>
      <w:pPr>
        <w:jc w:val="both"/>
        <w:ind w:firstLine="644"/>
        <w:spacing w:after="0" w:line="224" w:lineRule="auto"/>
        <w:rPr>
          <w:sz w:val="20"/>
          <w:szCs w:val="20"/>
          <w:color w:val="auto"/>
        </w:rPr>
      </w:pPr>
      <w:r>
        <w:rPr>
          <w:rFonts w:ascii="Arial" w:cs="Arial" w:eastAsia="Arial" w:hAnsi="Arial"/>
          <w:sz w:val="21"/>
          <w:szCs w:val="21"/>
          <w:b w:val="1"/>
          <w:bCs w:val="1"/>
          <w:color w:val="auto"/>
        </w:rPr>
        <w:t>5.7 Notification of Threatened Action</w:t>
      </w:r>
      <w:r>
        <w:rPr>
          <w:rFonts w:ascii="Arial" w:cs="Arial" w:eastAsia="Arial" w:hAnsi="Arial"/>
          <w:sz w:val="21"/>
          <w:szCs w:val="21"/>
          <w:color w:val="auto"/>
        </w:rPr>
        <w:t>. Each Party shall immediately notify the other Party (including by providing</w:t>
      </w:r>
      <w:r>
        <w:rPr>
          <w:rFonts w:ascii="Arial" w:cs="Arial" w:eastAsia="Arial" w:hAnsi="Arial"/>
          <w:sz w:val="21"/>
          <w:szCs w:val="21"/>
          <w:b w:val="1"/>
          <w:bCs w:val="1"/>
          <w:color w:val="auto"/>
        </w:rPr>
        <w:t xml:space="preserve"> </w:t>
      </w:r>
      <w:r>
        <w:rPr>
          <w:rFonts w:ascii="Arial" w:cs="Arial" w:eastAsia="Arial" w:hAnsi="Arial"/>
          <w:sz w:val="21"/>
          <w:szCs w:val="21"/>
          <w:color w:val="auto"/>
        </w:rPr>
        <w:t>notice to the other Party’s Alliance Manager) of any information it receives regarding any threatened or pending action, inspection, or communication by or from any Third Party, including without limitation a Regulatory Authority, which may affect the Development, Manufacture, Commercialization, or regulatory status of any Licensed Product. Upon receipt of such information, the Parties shall consult with each other in an effort to arrive at a mutually acceptable procedure for taking appropriate action.</w:t>
      </w:r>
    </w:p>
    <w:p>
      <w:pPr>
        <w:spacing w:after="0" w:line="151" w:lineRule="exact"/>
        <w:rPr>
          <w:sz w:val="20"/>
          <w:szCs w:val="20"/>
          <w:color w:val="auto"/>
        </w:rPr>
      </w:pPr>
    </w:p>
    <w:p>
      <w:pPr>
        <w:jc w:val="both"/>
        <w:ind w:firstLine="644"/>
        <w:spacing w:after="0"/>
        <w:rPr>
          <w:sz w:val="20"/>
          <w:szCs w:val="20"/>
          <w:color w:val="auto"/>
        </w:rPr>
      </w:pPr>
      <w:r>
        <w:rPr>
          <w:rFonts w:ascii="Arial" w:cs="Arial" w:eastAsia="Arial" w:hAnsi="Arial"/>
          <w:sz w:val="19"/>
          <w:szCs w:val="19"/>
          <w:b w:val="1"/>
          <w:bCs w:val="1"/>
          <w:color w:val="auto"/>
        </w:rPr>
        <w:t>5.8 Adverse Event Reporting and Safety Data Exchange</w:t>
      </w:r>
      <w:r>
        <w:rPr>
          <w:rFonts w:ascii="Arial" w:cs="Arial" w:eastAsia="Arial" w:hAnsi="Arial"/>
          <w:sz w:val="19"/>
          <w:szCs w:val="19"/>
          <w:color w:val="auto"/>
        </w:rPr>
        <w:t>. No later than [***] before the commencement of a Clinical</w:t>
      </w:r>
      <w:r>
        <w:rPr>
          <w:rFonts w:ascii="Arial" w:cs="Arial" w:eastAsia="Arial" w:hAnsi="Arial"/>
          <w:sz w:val="19"/>
          <w:szCs w:val="19"/>
          <w:b w:val="1"/>
          <w:bCs w:val="1"/>
          <w:color w:val="auto"/>
        </w:rPr>
        <w:t xml:space="preserve"> </w:t>
      </w:r>
      <w:r>
        <w:rPr>
          <w:rFonts w:ascii="Arial" w:cs="Arial" w:eastAsia="Arial" w:hAnsi="Arial"/>
          <w:sz w:val="19"/>
          <w:szCs w:val="19"/>
          <w:color w:val="auto"/>
        </w:rPr>
        <w:t>Trial of any Licensed Product by Hansoh in the Hansoh Territory, the Parties shall define and finalize the actions that the Parties shall employ with respect to such Licensed Product to protect patients and promote their well-being in a written pharmacovigilance agreement (the “</w:t>
      </w:r>
      <w:r>
        <w:rPr>
          <w:rFonts w:ascii="Arial" w:cs="Arial" w:eastAsia="Arial" w:hAnsi="Arial"/>
          <w:sz w:val="19"/>
          <w:szCs w:val="19"/>
          <w:b w:val="1"/>
          <w:bCs w:val="1"/>
          <w:color w:val="auto"/>
        </w:rPr>
        <w:t>Pharmacovigilance Agreement</w:t>
      </w:r>
      <w:r>
        <w:rPr>
          <w:rFonts w:ascii="Arial" w:cs="Arial" w:eastAsia="Arial" w:hAnsi="Arial"/>
          <w:sz w:val="19"/>
          <w:szCs w:val="19"/>
          <w:color w:val="auto"/>
        </w:rPr>
        <w:t>”) for the Development of the Licensed Product. Further, no later than [***] before the anticipated launch date of any Licensed Product in the Hansoh Territory, the Parties shall enter into a separate Pharmacovigilance Agreement for the Commercialization of such Licensed Product. These responsibilities shall include the applicable terms of this Section 5.8 and other mutually acceptable guidelines and procedures for the receipt, investigation, recording, communication, and exchange (as between the Parties) of adverse event reports, pregnancy reports, and any other information concerning the safety of the Licensed Product. Such guidelines and procedures shall be in accordance with, and enable the Parties to fulfill all regulatory reporting obligations under Applicable Law. Furthermore, such agreed procedure shall be consistent with relevant ICH guidelines, except where said guidelines may conflict with existing local regulatory reporting safety reporting requirement, in which case local reporting requirement shall prevail. The Pharmacovigilance Agreement shall require each Party to report any serious related and unexpected adverse event to the other Party or its designee within [***] of becoming aware of such event and shall provide for an adverse event database for the Licensed Products in the Hansoh Territory to be maintained [***], and a global safety database for the Licensed Products, [***]. As between the Parties, Hansoh shall be responsible for preparing all adverse event reports and responses to safety issues and requests of Regulatory Authorities relating to Licensed Products in the Hansoh Territory, and Keros shall be responsible for filing such reports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87" w:right="339" w:bottom="1440" w:gutter="0" w:footer="0" w:header="0"/>
        </w:sectPr>
      </w:pPr>
    </w:p>
    <w:bookmarkStart w:id="163" w:name="page164"/>
    <w:bookmarkEnd w:id="163"/>
    <w:p>
      <w:pPr>
        <w:jc w:val="both"/>
        <w:spacing w:after="0" w:line="227" w:lineRule="auto"/>
        <w:rPr>
          <w:sz w:val="20"/>
          <w:szCs w:val="20"/>
          <w:color w:val="auto"/>
        </w:rPr>
      </w:pPr>
      <w:r>
        <w:rPr>
          <w:rFonts w:ascii="Arial" w:cs="Arial" w:eastAsia="Arial" w:hAnsi="Arial"/>
          <w:sz w:val="21"/>
          <w:szCs w:val="21"/>
          <w:color w:val="auto"/>
        </w:rPr>
        <w:t>responses with Regulatory Authorities in the Keros Territory. As between the Parties, Hansoh shall also be responsible for reporting any quality complaints, adverse events and safety data related to Licensed Products to Keros for inclusion in the global safety database. Each Party hereby agrees to comply with its respective obligations under such Pharmacovigilance Agreement and to cause its Affiliates and permitted sublicensees to comply with such obligations.</w:t>
      </w:r>
    </w:p>
    <w:p>
      <w:pPr>
        <w:spacing w:after="0" w:line="154" w:lineRule="exact"/>
        <w:rPr>
          <w:sz w:val="20"/>
          <w:szCs w:val="20"/>
          <w:color w:val="auto"/>
        </w:rPr>
      </w:pPr>
    </w:p>
    <w:p>
      <w:pPr>
        <w:jc w:val="both"/>
        <w:ind w:firstLine="644"/>
        <w:spacing w:after="0" w:line="228" w:lineRule="auto"/>
        <w:rPr>
          <w:sz w:val="20"/>
          <w:szCs w:val="20"/>
          <w:color w:val="auto"/>
        </w:rPr>
      </w:pPr>
      <w:r>
        <w:rPr>
          <w:rFonts w:ascii="Arial" w:cs="Arial" w:eastAsia="Arial" w:hAnsi="Arial"/>
          <w:sz w:val="20"/>
          <w:szCs w:val="20"/>
          <w:b w:val="1"/>
          <w:bCs w:val="1"/>
          <w:color w:val="auto"/>
        </w:rPr>
        <w:t>5.9 Remedial Actions</w:t>
      </w:r>
      <w:r>
        <w:rPr>
          <w:rFonts w:ascii="Arial" w:cs="Arial" w:eastAsia="Arial" w:hAnsi="Arial"/>
          <w:sz w:val="20"/>
          <w:szCs w:val="20"/>
          <w:color w:val="auto"/>
        </w:rPr>
        <w:t>. Each Party will notify the other Party immediately, and promptly confirm such notice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if it obtains information indicating that any Licensed Product may be subject to any recall, corrective action or other regulatory action taken by virtue of Applicable Law (a “</w:t>
      </w:r>
      <w:r>
        <w:rPr>
          <w:rFonts w:ascii="Arial" w:cs="Arial" w:eastAsia="Arial" w:hAnsi="Arial"/>
          <w:sz w:val="20"/>
          <w:szCs w:val="20"/>
          <w:b w:val="1"/>
          <w:bCs w:val="1"/>
          <w:color w:val="auto"/>
        </w:rPr>
        <w:t>Remedial Action</w:t>
      </w:r>
      <w:r>
        <w:rPr>
          <w:rFonts w:ascii="Arial" w:cs="Arial" w:eastAsia="Arial" w:hAnsi="Arial"/>
          <w:sz w:val="20"/>
          <w:szCs w:val="20"/>
          <w:color w:val="auto"/>
        </w:rPr>
        <w:t xml:space="preserve">”). The Parties will assist each other in gathering and evaluating such information as is necessary to determine the necessity of conducting a Remedial Action. Hansoh shall, and shall ensure that its Affiliates and sublicensees will, maintain adequate records to permit the Parties to trace the packaging, labeling, distribution, sale, and use (to the extent possible) of the Licensed Product in the Hansoh Territory. Hansoh shall have sole discretion with respect to any matters relating to any Remedial Action in the Hansoh Territory, including the decision to commence such Remedial Action and the control over such Remedial Action in the Hansoh Territory [***];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if Keros determines in good faith that any Remedial Action with respect to any Licensed Product in the Hansoh Territory should be commenced or is required by Applicable Law or Regulatory Authority, (a) Keros shall discuss such Remedial Action with Hansoh and (b) Hansoh shall carry out such Remedial Action upon Keros’ request. Notwithstanding anything to the contrary in clause (b) above, if Hansoh in good faith disagrees that such Remedial Action should be commenced or is required by Applicable Law or Regulatory Authority, such Remedial Action shall be conducted at Keros’ cost [***], with such assistance in connection with a Remedial Action as may be reasonably requested by such other Party.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6</w:t>
      </w:r>
    </w:p>
    <w:p>
      <w:pPr>
        <w:jc w:val="center"/>
        <w:spacing w:after="0"/>
        <w:rPr>
          <w:sz w:val="20"/>
          <w:szCs w:val="20"/>
          <w:color w:val="auto"/>
        </w:rPr>
      </w:pPr>
      <w:r>
        <w:rPr>
          <w:rFonts w:ascii="Arial" w:cs="Arial" w:eastAsia="Arial" w:hAnsi="Arial"/>
          <w:sz w:val="21"/>
          <w:szCs w:val="21"/>
          <w:b w:val="1"/>
          <w:bCs w:val="1"/>
          <w:color w:val="auto"/>
        </w:rPr>
        <w:t>COMMERCIALIZATION</w:t>
      </w:r>
    </w:p>
    <w:p>
      <w:pPr>
        <w:spacing w:after="0" w:line="164" w:lineRule="exact"/>
        <w:rPr>
          <w:sz w:val="20"/>
          <w:szCs w:val="20"/>
          <w:color w:val="auto"/>
        </w:rPr>
      </w:pPr>
    </w:p>
    <w:p>
      <w:pPr>
        <w:jc w:val="both"/>
        <w:ind w:firstLine="644"/>
        <w:spacing w:after="0" w:line="237" w:lineRule="auto"/>
        <w:rPr>
          <w:sz w:val="20"/>
          <w:szCs w:val="20"/>
          <w:color w:val="auto"/>
        </w:rPr>
      </w:pPr>
      <w:r>
        <w:rPr>
          <w:rFonts w:ascii="Arial" w:cs="Arial" w:eastAsia="Arial" w:hAnsi="Arial"/>
          <w:sz w:val="20"/>
          <w:szCs w:val="20"/>
          <w:b w:val="1"/>
          <w:bCs w:val="1"/>
          <w:color w:val="auto"/>
        </w:rPr>
        <w:t>6.1 Overview; Diligence</w:t>
      </w:r>
      <w:r>
        <w:rPr>
          <w:rFonts w:ascii="Arial" w:cs="Arial" w:eastAsia="Arial" w:hAnsi="Arial"/>
          <w:sz w:val="20"/>
          <w:szCs w:val="20"/>
          <w:color w:val="auto"/>
        </w:rPr>
        <w:t>. Subject to the terms and conditions of this Agreement (including the diligence obligations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below), Hansoh has the sole right and responsibility for all aspects of the Commercialization of Licensed Products in the Field in the Hansoh Territory, including: [***]. Hansoh shall use Commercially Reasonable Efforts to Commercialize Licensed Products in the Hansoh Territory. Without limiting the generality of the foregoing, Hansoh shall use Commercially Reasonable Efforts to conduct its Commercialization activities under and in accordance with the Commercialization Plan.</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6.2</w:t>
      </w:r>
      <w:r>
        <w:rPr>
          <w:sz w:val="20"/>
          <w:szCs w:val="20"/>
          <w:color w:val="auto"/>
        </w:rPr>
        <w:tab/>
      </w:r>
      <w:r>
        <w:rPr>
          <w:rFonts w:ascii="Arial" w:cs="Arial" w:eastAsia="Arial" w:hAnsi="Arial"/>
          <w:sz w:val="19"/>
          <w:szCs w:val="19"/>
          <w:b w:val="1"/>
          <w:bCs w:val="1"/>
          <w:color w:val="auto"/>
        </w:rPr>
        <w:t>Commercialization Plan</w:t>
      </w:r>
      <w:r>
        <w:rPr>
          <w:rFonts w:ascii="Arial" w:cs="Arial" w:eastAsia="Arial" w:hAnsi="Arial"/>
          <w:sz w:val="19"/>
          <w:szCs w:val="19"/>
          <w:color w:val="auto"/>
        </w:rPr>
        <w:t>.</w:t>
      </w:r>
    </w:p>
    <w:p>
      <w:pPr>
        <w:spacing w:after="0" w:line="188" w:lineRule="exact"/>
        <w:rPr>
          <w:sz w:val="20"/>
          <w:szCs w:val="20"/>
          <w:color w:val="auto"/>
        </w:rPr>
      </w:pPr>
    </w:p>
    <w:p>
      <w:pPr>
        <w:jc w:val="both"/>
        <w:ind w:firstLine="1296"/>
        <w:spacing w:after="0" w:line="234" w:lineRule="auto"/>
        <w:tabs>
          <w:tab w:leader="none" w:pos="1807"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color w:val="auto"/>
        </w:rPr>
        <w:t>General</w:t>
      </w:r>
      <w:r>
        <w:rPr>
          <w:rFonts w:ascii="Arial" w:cs="Arial" w:eastAsia="Arial" w:hAnsi="Arial"/>
          <w:sz w:val="21"/>
          <w:szCs w:val="21"/>
          <w:color w:val="auto"/>
        </w:rPr>
        <w:t>. Hansoh shall Commercialize Licensed Products in the Field in the Hansoh Territory pursuant to a</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commercialization plan (the “</w:t>
      </w:r>
      <w:r>
        <w:rPr>
          <w:rFonts w:ascii="Arial" w:cs="Arial" w:eastAsia="Arial" w:hAnsi="Arial"/>
          <w:sz w:val="21"/>
          <w:szCs w:val="21"/>
          <w:b w:val="1"/>
          <w:bCs w:val="1"/>
          <w:color w:val="auto"/>
        </w:rPr>
        <w:t>Commercialization Plan</w:t>
      </w:r>
      <w:r>
        <w:rPr>
          <w:rFonts w:ascii="Arial" w:cs="Arial" w:eastAsia="Arial" w:hAnsi="Arial"/>
          <w:sz w:val="21"/>
          <w:szCs w:val="21"/>
          <w:color w:val="auto"/>
        </w:rPr>
        <w:t>”). The Commercialization Plan shall include [***] Commercialization activities for Licensed Products in the Hansoh Territory.</w:t>
      </w:r>
    </w:p>
    <w:p>
      <w:pPr>
        <w:spacing w:after="0" w:line="152" w:lineRule="exact"/>
        <w:rPr>
          <w:rFonts w:ascii="Arial" w:cs="Arial" w:eastAsia="Arial" w:hAnsi="Arial"/>
          <w:sz w:val="21"/>
          <w:szCs w:val="21"/>
          <w:b w:val="1"/>
          <w:bCs w:val="1"/>
          <w:color w:val="auto"/>
        </w:rPr>
      </w:pPr>
    </w:p>
    <w:p>
      <w:pPr>
        <w:jc w:val="both"/>
        <w:ind w:firstLine="1296"/>
        <w:spacing w:after="0" w:line="235" w:lineRule="auto"/>
        <w:tabs>
          <w:tab w:leader="none" w:pos="1837"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Initial Plan and Amendments</w:t>
      </w:r>
      <w:r>
        <w:rPr>
          <w:rFonts w:ascii="Arial" w:cs="Arial" w:eastAsia="Arial" w:hAnsi="Arial"/>
          <w:sz w:val="20"/>
          <w:szCs w:val="20"/>
          <w:color w:val="auto"/>
        </w:rPr>
        <w:t>. Within a reasonable time (but no later than [***]) prior to the anticipated</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Approval of each Licensed Product in the Hansoh Territory, Hansoh shall prepare and present to the JCC the initial Commercialization Plan for review and discussion by the JCC. From time to time (but at least on an annual basis) during the Term, Hansoh shall prepare updates and amendments, as appropriate, to the then-current Commercialization Plan, and shall submit all updates and amendments to the Commercialization Plan to the JCC for review and discussion. Subject to Section 3.3(b), the Commercialization Plan, and any updates and amendments thereto, shall not require the approval of the JCC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93" w:right="339" w:bottom="1440" w:gutter="0" w:footer="0" w:header="0"/>
        </w:sectPr>
      </w:pPr>
    </w:p>
    <w:bookmarkStart w:id="164" w:name="page165"/>
    <w:bookmarkEnd w:id="164"/>
    <w:p>
      <w:pPr>
        <w:jc w:val="both"/>
        <w:spacing w:after="0" w:line="245" w:lineRule="auto"/>
        <w:rPr>
          <w:sz w:val="20"/>
          <w:szCs w:val="20"/>
          <w:color w:val="auto"/>
        </w:rPr>
      </w:pPr>
      <w:r>
        <w:rPr>
          <w:rFonts w:ascii="Arial" w:cs="Arial" w:eastAsia="Arial" w:hAnsi="Arial"/>
          <w:sz w:val="21"/>
          <w:szCs w:val="21"/>
          <w:color w:val="auto"/>
        </w:rPr>
        <w:t xml:space="preserve">Keros,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Hansoh considers in good faith any comments by the JCC or Keros concerning consistent global marketing of Licensed Products.</w:t>
      </w:r>
    </w:p>
    <w:p>
      <w:pPr>
        <w:spacing w:after="0" w:line="145"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9"/>
          <w:szCs w:val="19"/>
          <w:b w:val="1"/>
          <w:bCs w:val="1"/>
          <w:color w:val="auto"/>
        </w:rPr>
        <w:t>6.3 No Diversion</w:t>
      </w:r>
      <w:r>
        <w:rPr>
          <w:rFonts w:ascii="Arial" w:cs="Arial" w:eastAsia="Arial" w:hAnsi="Arial"/>
          <w:sz w:val="19"/>
          <w:szCs w:val="19"/>
          <w:color w:val="auto"/>
        </w:rPr>
        <w:t>. Each Party hereby covenants and agrees that it shall not, and shall ensure that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will not, directly or indirectly, promote, market, distribute, import, sell or have sold the Licensed Products, including via internet or mail order, in the other Party’s Territory. With respect to any country or Region in the other Party’s Territory, a Party shall not, and shall ensure that its Affiliates and their respective sublicensees will not: (a) establish or maintain any branch, warehouse or distribution facility for Licensed Products in such countries, (b) knowingly engage in any advertising or promotional activities relating to Licensed Products that are directed primarily to customers or other purchaser or users of Licensed Products located in such countries or Regions, (c) actively solicit orders for Licensed Products from any prospective purchaser located in such countries or Regions, or (d) knowingly sell or distribute Licensed Products to any person in such Party’s Territory who intends to sell or has in the past sold Licensed Products in such countries or Regions. If either Party receives any order for any Licensed Product from a prospective purchaser reasonably believed to be located in a country or Region in the other Party’s Territory, the receiving Party shall immediately refer that order to the other Party and such Party shall not accept any such orders. Each Party shall not deliver or tender (or cause to be delivered or tendered) Licensed Products into a country or Region in the other Party’s Territory. Each Party shall not, and shall ensure that its Affiliates and their respective sublicensees will not, knowingly restrict or impede in any manner the other Party’s exercise of its retained exclusive rights in the other Party’s Territory.</w:t>
      </w:r>
    </w:p>
    <w:p>
      <w:pPr>
        <w:spacing w:after="0" w:line="149" w:lineRule="exact"/>
        <w:rPr>
          <w:sz w:val="20"/>
          <w:szCs w:val="20"/>
          <w:color w:val="auto"/>
        </w:rPr>
      </w:pPr>
    </w:p>
    <w:p>
      <w:pPr>
        <w:jc w:val="both"/>
        <w:ind w:firstLine="644"/>
        <w:spacing w:after="0" w:line="226" w:lineRule="auto"/>
        <w:rPr>
          <w:sz w:val="20"/>
          <w:szCs w:val="20"/>
          <w:color w:val="auto"/>
        </w:rPr>
      </w:pPr>
      <w:r>
        <w:rPr>
          <w:rFonts w:ascii="Arial" w:cs="Arial" w:eastAsia="Arial" w:hAnsi="Arial"/>
          <w:sz w:val="21"/>
          <w:szCs w:val="21"/>
          <w:b w:val="1"/>
          <w:bCs w:val="1"/>
          <w:color w:val="auto"/>
        </w:rPr>
        <w:t>6.4 Field Restrictions</w:t>
      </w:r>
      <w:r>
        <w:rPr>
          <w:rFonts w:ascii="Arial" w:cs="Arial" w:eastAsia="Arial" w:hAnsi="Arial"/>
          <w:sz w:val="21"/>
          <w:szCs w:val="21"/>
          <w:color w:val="auto"/>
        </w:rPr>
        <w:t>. Hansoh hereby covenants that it shall not, nor shall it permit any Affiliate or sublicensee to,</w:t>
      </w:r>
      <w:r>
        <w:rPr>
          <w:rFonts w:ascii="Arial" w:cs="Arial" w:eastAsia="Arial" w:hAnsi="Arial"/>
          <w:sz w:val="21"/>
          <w:szCs w:val="21"/>
          <w:b w:val="1"/>
          <w:bCs w:val="1"/>
          <w:color w:val="auto"/>
        </w:rPr>
        <w:t xml:space="preserve"> </w:t>
      </w:r>
      <w:r>
        <w:rPr>
          <w:rFonts w:ascii="Arial" w:cs="Arial" w:eastAsia="Arial" w:hAnsi="Arial"/>
          <w:sz w:val="21"/>
          <w:szCs w:val="21"/>
          <w:color w:val="auto"/>
        </w:rPr>
        <w:t>directly or indirectly, market, promote, detail, sell or offer for sale Licensed Products in the Hansoh Territory for any use outside the Field. Keros acknowledges and understands that Hansoh cannot control the ultimate use of Licensed Products it sells and that the purpose of the foregoing covenant is to prevent Hansoh and its Affiliates and sublicensees from facilitating or encouraging uses outside the Field.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7</w:t>
      </w:r>
    </w:p>
    <w:p>
      <w:pPr>
        <w:jc w:val="center"/>
        <w:spacing w:after="0"/>
        <w:rPr>
          <w:sz w:val="20"/>
          <w:szCs w:val="20"/>
          <w:color w:val="auto"/>
        </w:rPr>
      </w:pPr>
      <w:r>
        <w:rPr>
          <w:rFonts w:ascii="Arial" w:cs="Arial" w:eastAsia="Arial" w:hAnsi="Arial"/>
          <w:sz w:val="21"/>
          <w:szCs w:val="21"/>
          <w:b w:val="1"/>
          <w:bCs w:val="1"/>
          <w:color w:val="auto"/>
        </w:rPr>
        <w:t>MANUFACTURE AND SUPPLY</w:t>
      </w:r>
    </w:p>
    <w:p>
      <w:pPr>
        <w:spacing w:after="0" w:line="164" w:lineRule="exact"/>
        <w:rPr>
          <w:sz w:val="20"/>
          <w:szCs w:val="20"/>
          <w:color w:val="auto"/>
        </w:rPr>
      </w:pPr>
    </w:p>
    <w:p>
      <w:pPr>
        <w:jc w:val="both"/>
        <w:ind w:firstLine="644"/>
        <w:spacing w:after="0" w:line="219" w:lineRule="auto"/>
        <w:rPr>
          <w:sz w:val="20"/>
          <w:szCs w:val="20"/>
          <w:color w:val="auto"/>
        </w:rPr>
      </w:pPr>
      <w:r>
        <w:rPr>
          <w:rFonts w:ascii="Arial" w:cs="Arial" w:eastAsia="Arial" w:hAnsi="Arial"/>
          <w:sz w:val="21"/>
          <w:szCs w:val="21"/>
          <w:b w:val="1"/>
          <w:bCs w:val="1"/>
          <w:color w:val="auto"/>
        </w:rPr>
        <w:t>7.1 Keros Manufacture and Supply</w:t>
      </w:r>
      <w:r>
        <w:rPr>
          <w:rFonts w:ascii="Arial" w:cs="Arial" w:eastAsia="Arial" w:hAnsi="Arial"/>
          <w:sz w:val="21"/>
          <w:szCs w:val="21"/>
          <w:color w:val="auto"/>
        </w:rPr>
        <w:t>. Hansoh shall purchase from Keros, and Keros shall use Commercially Reasonable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Efforts to supply to Hansoh, all of its requirements for Licensed Products at Keros’ Fully Burdened Manufacturing Cost, plus a premium of [***]), for Hansoh to conduct any Clinical Trial for obtaining any Regulatory Approval and for commercial purposes, in each case in the Field in the Hansoh Territory,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Hansoh provides Keros with a forecast of its requirements for Licensed Products at least (i) [***] in advance for preclinical and Phase 1 clinical materials, (ii) at least [***] in advance for all other clinical materials not covered under Section 7.1(a)(i), and (iii) at least [***] in advance for commercial supply, and (b) submits a purchase order for such Licensed Products upon [***] written notice to Keros. The Parties shall negotiate in good faith a clinical supply agreement to be executed within [***] after the Effective Date. Additionally, the Parties shall negotiate in good faith a commercial supply agreement to be executed within [***] prior to the anticipated First Commercial Sale of a Licensed Product by Hansoh in the Hansoh Territory (each of the clinical supply agreement and the commercial supply agreement, a “</w:t>
      </w:r>
      <w:r>
        <w:rPr>
          <w:rFonts w:ascii="Arial" w:cs="Arial" w:eastAsia="Arial" w:hAnsi="Arial"/>
          <w:sz w:val="21"/>
          <w:szCs w:val="21"/>
          <w:b w:val="1"/>
          <w:bCs w:val="1"/>
          <w:color w:val="auto"/>
        </w:rPr>
        <w:t>Supply Agreement</w:t>
      </w:r>
      <w:r>
        <w:rPr>
          <w:rFonts w:ascii="Arial" w:cs="Arial" w:eastAsia="Arial" w:hAnsi="Arial"/>
          <w:sz w:val="21"/>
          <w:szCs w:val="21"/>
          <w:color w:val="auto"/>
        </w:rPr>
        <w:t>”). [***].</w:t>
      </w:r>
    </w:p>
    <w:p>
      <w:pPr>
        <w:spacing w:after="0" w:line="153" w:lineRule="exact"/>
        <w:rPr>
          <w:sz w:val="20"/>
          <w:szCs w:val="20"/>
          <w:color w:val="auto"/>
        </w:rPr>
      </w:pPr>
    </w:p>
    <w:p>
      <w:pPr>
        <w:jc w:val="both"/>
        <w:ind w:firstLine="644"/>
        <w:spacing w:after="0" w:line="226" w:lineRule="auto"/>
        <w:rPr>
          <w:sz w:val="20"/>
          <w:szCs w:val="20"/>
          <w:color w:val="auto"/>
        </w:rPr>
      </w:pPr>
      <w:r>
        <w:rPr>
          <w:rFonts w:ascii="Arial" w:cs="Arial" w:eastAsia="Arial" w:hAnsi="Arial"/>
          <w:sz w:val="21"/>
          <w:szCs w:val="21"/>
          <w:b w:val="1"/>
          <w:bCs w:val="1"/>
          <w:color w:val="auto"/>
        </w:rPr>
        <w:t>7.2 Manufacturing Technology Transfer</w:t>
      </w:r>
      <w:r>
        <w:rPr>
          <w:rFonts w:ascii="Arial" w:cs="Arial" w:eastAsia="Arial" w:hAnsi="Arial"/>
          <w:sz w:val="21"/>
          <w:szCs w:val="21"/>
          <w:color w:val="auto"/>
        </w:rPr>
        <w:t>. Within [***] following the Effective Date, Hansoh shall request to initiate</w:t>
      </w:r>
      <w:r>
        <w:rPr>
          <w:rFonts w:ascii="Arial" w:cs="Arial" w:eastAsia="Arial" w:hAnsi="Arial"/>
          <w:sz w:val="21"/>
          <w:szCs w:val="21"/>
          <w:b w:val="1"/>
          <w:bCs w:val="1"/>
          <w:color w:val="auto"/>
        </w:rPr>
        <w:t xml:space="preserve"> </w:t>
      </w:r>
      <w:r>
        <w:rPr>
          <w:rFonts w:ascii="Arial" w:cs="Arial" w:eastAsia="Arial" w:hAnsi="Arial"/>
          <w:sz w:val="21"/>
          <w:szCs w:val="21"/>
          <w:color w:val="auto"/>
        </w:rPr>
        <w:t>the manufacturing technology transfer in accordance with this Section 7.2, and the Parties shall enter into a manufacturing technology transfer agreement (“</w:t>
      </w:r>
      <w:r>
        <w:rPr>
          <w:rFonts w:ascii="Arial" w:cs="Arial" w:eastAsia="Arial" w:hAnsi="Arial"/>
          <w:sz w:val="21"/>
          <w:szCs w:val="21"/>
          <w:b w:val="1"/>
          <w:bCs w:val="1"/>
          <w:color w:val="auto"/>
        </w:rPr>
        <w:t>Manufacturing Technology Transfer Agreement</w:t>
      </w:r>
      <w:r>
        <w:rPr>
          <w:rFonts w:ascii="Arial" w:cs="Arial" w:eastAsia="Arial" w:hAnsi="Arial"/>
          <w:sz w:val="21"/>
          <w:szCs w:val="21"/>
          <w:color w:val="auto"/>
        </w:rPr>
        <w:t>”) within [***] following the Effective Date to govern the transfer to Hansoh of all documents and information, and shall use Commercially Reasonable Efforts to complete the manufacturing technology transfer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93" w:right="339" w:bottom="1440" w:gutter="0" w:footer="0" w:header="0"/>
        </w:sectPr>
      </w:pPr>
    </w:p>
    <w:bookmarkStart w:id="165" w:name="page166"/>
    <w:bookmarkEnd w:id="165"/>
    <w:p>
      <w:pPr>
        <w:jc w:val="both"/>
        <w:ind w:firstLine="7"/>
        <w:spacing w:after="0" w:line="225" w:lineRule="auto"/>
        <w:tabs>
          <w:tab w:leader="none" w:pos="565" w:val="left"/>
        </w:tabs>
        <w:numPr>
          <w:ilvl w:val="0"/>
          <w:numId w:val="98"/>
        </w:numPr>
        <w:rPr>
          <w:rFonts w:ascii="Arial" w:cs="Arial" w:eastAsia="Arial" w:hAnsi="Arial"/>
          <w:sz w:val="21"/>
          <w:szCs w:val="21"/>
          <w:color w:val="auto"/>
        </w:rPr>
      </w:pPr>
      <w:r>
        <w:rPr>
          <w:rFonts w:ascii="Arial" w:cs="Arial" w:eastAsia="Arial" w:hAnsi="Arial"/>
          <w:sz w:val="21"/>
          <w:szCs w:val="21"/>
          <w:color w:val="auto"/>
        </w:rPr>
        <w:t>following the Effective Date (except as extended by mutual written agreement of the Parties), and provide technical assistance, Information, and support [***] for Hansoh to Manufacture or have Manufactured by a Third Party contractor engaged by Hansoh, Licensed Product to the extent it is to be actually used in the Manufacture of Licensed Products in the Hansoh Territory. Hansoh shall pay Keros’[***] providing such information or assistance pursuant to this Section 7.2, except as otherwise set forth in the Manufacturing Technology Transfer Agreement.</w:t>
      </w:r>
    </w:p>
    <w:p>
      <w:pPr>
        <w:spacing w:after="0" w:line="150"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7.3 Distribution</w:t>
      </w:r>
      <w:r>
        <w:rPr>
          <w:rFonts w:ascii="Arial" w:cs="Arial" w:eastAsia="Arial" w:hAnsi="Arial"/>
          <w:sz w:val="21"/>
          <w:szCs w:val="21"/>
          <w:color w:val="auto"/>
        </w:rPr>
        <w:t>. Hansoh will be solely responsible for the distribution of Licensed Products in the Field in the Hansoh</w:t>
      </w:r>
      <w:r>
        <w:rPr>
          <w:rFonts w:ascii="Arial" w:cs="Arial" w:eastAsia="Arial" w:hAnsi="Arial"/>
          <w:sz w:val="21"/>
          <w:szCs w:val="21"/>
          <w:b w:val="1"/>
          <w:bCs w:val="1"/>
          <w:color w:val="auto"/>
        </w:rPr>
        <w:t xml:space="preserve"> </w:t>
      </w:r>
      <w:r>
        <w:rPr>
          <w:rFonts w:ascii="Arial" w:cs="Arial" w:eastAsia="Arial" w:hAnsi="Arial"/>
          <w:sz w:val="21"/>
          <w:szCs w:val="21"/>
          <w:color w:val="auto"/>
        </w:rPr>
        <w:t>Territory.</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7.4 Brand Security and Anti-Counterfeiting</w:t>
      </w:r>
      <w:r>
        <w:rPr>
          <w:rFonts w:ascii="Arial" w:cs="Arial" w:eastAsia="Arial" w:hAnsi="Arial"/>
          <w:sz w:val="21"/>
          <w:szCs w:val="21"/>
          <w:color w:val="auto"/>
        </w:rPr>
        <w:t>. The Parties will establish contacts for communication regarding brand</w:t>
      </w:r>
      <w:r>
        <w:rPr>
          <w:rFonts w:ascii="Arial" w:cs="Arial" w:eastAsia="Arial" w:hAnsi="Arial"/>
          <w:sz w:val="21"/>
          <w:szCs w:val="21"/>
          <w:b w:val="1"/>
          <w:bCs w:val="1"/>
          <w:color w:val="auto"/>
        </w:rPr>
        <w:t xml:space="preserve"> </w:t>
      </w:r>
      <w:r>
        <w:rPr>
          <w:rFonts w:ascii="Arial" w:cs="Arial" w:eastAsia="Arial" w:hAnsi="Arial"/>
          <w:sz w:val="21"/>
          <w:szCs w:val="21"/>
          <w:color w:val="auto"/>
        </w:rPr>
        <w:t>security issues, and each Party shall reasonably cooperate with the other Party with respect thereto.</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8</w:t>
      </w:r>
    </w:p>
    <w:p>
      <w:pPr>
        <w:jc w:val="center"/>
        <w:spacing w:after="0"/>
        <w:rPr>
          <w:sz w:val="20"/>
          <w:szCs w:val="20"/>
          <w:color w:val="auto"/>
        </w:rPr>
      </w:pPr>
      <w:r>
        <w:rPr>
          <w:rFonts w:ascii="Arial" w:cs="Arial" w:eastAsia="Arial" w:hAnsi="Arial"/>
          <w:sz w:val="21"/>
          <w:szCs w:val="21"/>
          <w:b w:val="1"/>
          <w:bCs w:val="1"/>
          <w:color w:val="auto"/>
        </w:rPr>
        <w:t>COMPENSATION</w:t>
      </w:r>
    </w:p>
    <w:p>
      <w:pPr>
        <w:spacing w:after="0" w:line="164"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8.1 Initial Payment</w:t>
      </w:r>
      <w:r>
        <w:rPr>
          <w:rFonts w:ascii="Arial" w:cs="Arial" w:eastAsia="Arial" w:hAnsi="Arial"/>
          <w:sz w:val="21"/>
          <w:szCs w:val="21"/>
          <w:color w:val="auto"/>
        </w:rPr>
        <w:t>. Within [***] after receipt by Hansoh of Keros’ invoice in respect thereof, which invoice may be</w:t>
      </w:r>
      <w:r>
        <w:rPr>
          <w:rFonts w:ascii="Arial" w:cs="Arial" w:eastAsia="Arial" w:hAnsi="Arial"/>
          <w:sz w:val="21"/>
          <w:szCs w:val="21"/>
          <w:b w:val="1"/>
          <w:bCs w:val="1"/>
          <w:color w:val="auto"/>
        </w:rPr>
        <w:t xml:space="preserve"> </w:t>
      </w:r>
      <w:r>
        <w:rPr>
          <w:rFonts w:ascii="Arial" w:cs="Arial" w:eastAsia="Arial" w:hAnsi="Arial"/>
          <w:sz w:val="21"/>
          <w:szCs w:val="21"/>
          <w:color w:val="auto"/>
        </w:rPr>
        <w:t>delivered by Keros on or following the Effective Date, Hansoh shall pay to Keros a one-time, non-refundable, non-creditable payment of twenty million U.S. Dollars (US$20,000,000).</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8.2</w:t>
      </w:r>
      <w:r>
        <w:rPr>
          <w:sz w:val="20"/>
          <w:szCs w:val="20"/>
          <w:color w:val="auto"/>
        </w:rPr>
        <w:tab/>
      </w:r>
      <w:r>
        <w:rPr>
          <w:rFonts w:ascii="Arial" w:cs="Arial" w:eastAsia="Arial" w:hAnsi="Arial"/>
          <w:sz w:val="19"/>
          <w:szCs w:val="19"/>
          <w:b w:val="1"/>
          <w:bCs w:val="1"/>
          <w:color w:val="auto"/>
        </w:rPr>
        <w:t>Development Milestone Payments</w:t>
      </w:r>
      <w:r>
        <w:rPr>
          <w:rFonts w:ascii="Arial" w:cs="Arial" w:eastAsia="Arial" w:hAnsi="Arial"/>
          <w:sz w:val="19"/>
          <w:szCs w:val="19"/>
          <w:color w:val="auto"/>
        </w:rPr>
        <w:t>.</w:t>
      </w:r>
    </w:p>
    <w:p>
      <w:pPr>
        <w:spacing w:after="0" w:line="188" w:lineRule="exact"/>
        <w:rPr>
          <w:sz w:val="20"/>
          <w:szCs w:val="20"/>
          <w:color w:val="auto"/>
        </w:rPr>
      </w:pPr>
    </w:p>
    <w:p>
      <w:pPr>
        <w:jc w:val="both"/>
        <w:ind w:firstLine="1296"/>
        <w:spacing w:after="0" w:line="234" w:lineRule="auto"/>
        <w:tabs>
          <w:tab w:leader="none" w:pos="1852"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color w:val="auto"/>
        </w:rPr>
        <w:t>Development Milestone Events</w:t>
      </w:r>
      <w:r>
        <w:rPr>
          <w:rFonts w:ascii="Arial" w:cs="Arial" w:eastAsia="Arial" w:hAnsi="Arial"/>
          <w:sz w:val="21"/>
          <w:szCs w:val="21"/>
          <w:color w:val="auto"/>
        </w:rPr>
        <w:t>. Hansoh shall pay to Keros the one-time, non-refundable, non-creditable</w:t>
      </w:r>
      <w:r>
        <w:rPr>
          <w:rFonts w:ascii="Arial" w:cs="Arial" w:eastAsia="Arial" w:hAnsi="Arial"/>
          <w:sz w:val="21"/>
          <w:szCs w:val="21"/>
          <w:b w:val="1"/>
          <w:bCs w:val="1"/>
          <w:color w:val="auto"/>
        </w:rPr>
        <w:t xml:space="preserve"> </w:t>
      </w:r>
      <w:r>
        <w:rPr>
          <w:rFonts w:ascii="Arial" w:cs="Arial" w:eastAsia="Arial" w:hAnsi="Arial"/>
          <w:sz w:val="21"/>
          <w:szCs w:val="21"/>
          <w:color w:val="auto"/>
        </w:rPr>
        <w:t>payments set forth in the table below upon the first achievement by a Licensed Product of the applicable milestone event in the Hansoh Territory, whether by or on behalf of Hansoh, its Affiliate, or their respective sublicensees.</w:t>
      </w:r>
    </w:p>
    <w:p>
      <w:pPr>
        <w:spacing w:after="0" w:line="200" w:lineRule="exact"/>
        <w:rPr>
          <w:sz w:val="20"/>
          <w:szCs w:val="20"/>
          <w:color w:val="auto"/>
        </w:rPr>
      </w:pPr>
    </w:p>
    <w:tbl>
      <w:tblPr>
        <w:tblLayout w:type="fixed"/>
        <w:tblInd w:w="170" w:type="dxa"/>
        <w:tblCellMar>
          <w:top w:w="0" w:type="dxa"/>
          <w:left w:w="0" w:type="dxa"/>
          <w:bottom w:w="0" w:type="dxa"/>
          <w:right w:w="0" w:type="dxa"/>
        </w:tblCellMar>
      </w:tblPr>
      <w:tr>
        <w:trPr>
          <w:trHeight w:val="293"/>
        </w:trPr>
        <w:tc>
          <w:tcPr>
            <w:tcW w:w="640" w:type="dxa"/>
            <w:vAlign w:val="bottom"/>
            <w:tcBorders>
              <w:top w:val="single" w:sz="8" w:color="auto"/>
              <w:left w:val="single" w:sz="8" w:color="auto"/>
            </w:tcBorders>
            <w:shd w:val="clear" w:color="auto" w:fill="BDD6EE"/>
          </w:tcPr>
          <w:p>
            <w:pPr>
              <w:spacing w:after="0"/>
              <w:rPr>
                <w:sz w:val="24"/>
                <w:szCs w:val="24"/>
                <w:color w:val="auto"/>
              </w:rPr>
            </w:pPr>
          </w:p>
        </w:tc>
        <w:tc>
          <w:tcPr>
            <w:tcW w:w="1580" w:type="dxa"/>
            <w:vAlign w:val="bottom"/>
            <w:tcBorders>
              <w:top w:val="single" w:sz="8" w:color="auto"/>
            </w:tcBorders>
            <w:shd w:val="clear" w:color="auto" w:fill="BDD6EE"/>
          </w:tcPr>
          <w:p>
            <w:pPr>
              <w:spacing w:after="0"/>
              <w:rPr>
                <w:sz w:val="24"/>
                <w:szCs w:val="24"/>
                <w:color w:val="auto"/>
              </w:rPr>
            </w:pPr>
          </w:p>
        </w:tc>
        <w:tc>
          <w:tcPr>
            <w:tcW w:w="6020" w:type="dxa"/>
            <w:vAlign w:val="bottom"/>
            <w:tcBorders>
              <w:top w:val="single" w:sz="8" w:color="auto"/>
              <w:right w:val="single" w:sz="8" w:color="auto"/>
            </w:tcBorders>
            <w:vMerge w:val="restart"/>
            <w:shd w:val="clear" w:color="auto" w:fill="BDD6EE"/>
          </w:tcPr>
          <w:p>
            <w:pPr>
              <w:ind w:left="1000"/>
              <w:spacing w:after="0"/>
              <w:rPr>
                <w:sz w:val="20"/>
                <w:szCs w:val="20"/>
                <w:color w:val="auto"/>
              </w:rPr>
            </w:pPr>
            <w:r>
              <w:rPr>
                <w:rFonts w:ascii="Arial" w:cs="Arial" w:eastAsia="Arial" w:hAnsi="Arial"/>
                <w:sz w:val="21"/>
                <w:szCs w:val="21"/>
                <w:b w:val="1"/>
                <w:bCs w:val="1"/>
                <w:color w:val="auto"/>
              </w:rPr>
              <w:t>Milestone Event</w:t>
            </w:r>
          </w:p>
        </w:tc>
        <w:tc>
          <w:tcPr>
            <w:tcW w:w="2800" w:type="dxa"/>
            <w:vAlign w:val="bottom"/>
            <w:tcBorders>
              <w:top w:val="single" w:sz="8" w:color="auto"/>
              <w:right w:val="single" w:sz="8" w:color="auto"/>
            </w:tcBorders>
            <w:shd w:val="clear" w:color="auto" w:fill="BDD6EE"/>
          </w:tcPr>
          <w:p>
            <w:pPr>
              <w:jc w:val="center"/>
              <w:spacing w:after="0"/>
              <w:rPr>
                <w:sz w:val="20"/>
                <w:szCs w:val="20"/>
                <w:color w:val="auto"/>
              </w:rPr>
            </w:pPr>
            <w:r>
              <w:rPr>
                <w:rFonts w:ascii="Arial" w:cs="Arial" w:eastAsia="Arial" w:hAnsi="Arial"/>
                <w:sz w:val="21"/>
                <w:szCs w:val="21"/>
                <w:b w:val="1"/>
                <w:bCs w:val="1"/>
                <w:color w:val="auto"/>
                <w:w w:val="92"/>
              </w:rPr>
              <w:t>Milestone Payment</w:t>
            </w:r>
          </w:p>
        </w:tc>
        <w:tc>
          <w:tcPr>
            <w:tcW w:w="0" w:type="dxa"/>
            <w:vAlign w:val="bottom"/>
          </w:tcPr>
          <w:p>
            <w:pPr>
              <w:spacing w:after="0"/>
              <w:rPr>
                <w:sz w:val="1"/>
                <w:szCs w:val="1"/>
                <w:color w:val="auto"/>
              </w:rPr>
            </w:pPr>
          </w:p>
        </w:tc>
      </w:tr>
      <w:tr>
        <w:trPr>
          <w:trHeight w:val="93"/>
        </w:trPr>
        <w:tc>
          <w:tcPr>
            <w:tcW w:w="640" w:type="dxa"/>
            <w:vAlign w:val="bottom"/>
            <w:tcBorders>
              <w:left w:val="single" w:sz="8" w:color="auto"/>
            </w:tcBorders>
            <w:shd w:val="clear" w:color="auto" w:fill="BDD6EE"/>
          </w:tcPr>
          <w:p>
            <w:pPr>
              <w:spacing w:after="0"/>
              <w:rPr>
                <w:sz w:val="8"/>
                <w:szCs w:val="8"/>
                <w:color w:val="auto"/>
              </w:rPr>
            </w:pPr>
          </w:p>
        </w:tc>
        <w:tc>
          <w:tcPr>
            <w:tcW w:w="1580" w:type="dxa"/>
            <w:vAlign w:val="bottom"/>
            <w:shd w:val="clear" w:color="auto" w:fill="BDD6EE"/>
          </w:tcPr>
          <w:p>
            <w:pPr>
              <w:spacing w:after="0"/>
              <w:rPr>
                <w:sz w:val="8"/>
                <w:szCs w:val="8"/>
                <w:color w:val="auto"/>
              </w:rPr>
            </w:pPr>
          </w:p>
        </w:tc>
        <w:tc>
          <w:tcPr>
            <w:tcW w:w="6020" w:type="dxa"/>
            <w:vAlign w:val="bottom"/>
            <w:tcBorders>
              <w:right w:val="single" w:sz="8" w:color="auto"/>
            </w:tcBorders>
            <w:vMerge w:val="continue"/>
            <w:shd w:val="clear" w:color="auto" w:fill="BDD6EE"/>
          </w:tcPr>
          <w:p>
            <w:pPr>
              <w:spacing w:after="0"/>
              <w:rPr>
                <w:sz w:val="8"/>
                <w:szCs w:val="8"/>
                <w:color w:val="auto"/>
              </w:rPr>
            </w:pPr>
          </w:p>
        </w:tc>
        <w:tc>
          <w:tcPr>
            <w:tcW w:w="2800" w:type="dxa"/>
            <w:vAlign w:val="bottom"/>
            <w:tcBorders>
              <w:right w:val="single" w:sz="8" w:color="auto"/>
            </w:tcBorders>
            <w:shd w:val="clear" w:color="auto" w:fill="BDD6E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shd w:val="clear" w:color="auto" w:fill="BDD6EE"/>
          </w:tcPr>
          <w:p>
            <w:pPr>
              <w:spacing w:after="0"/>
              <w:rPr>
                <w:sz w:val="9"/>
                <w:szCs w:val="9"/>
                <w:color w:val="auto"/>
              </w:rPr>
            </w:pPr>
          </w:p>
        </w:tc>
        <w:tc>
          <w:tcPr>
            <w:tcW w:w="1580" w:type="dxa"/>
            <w:vAlign w:val="bottom"/>
            <w:tcBorders>
              <w:bottom w:val="single" w:sz="8" w:color="auto"/>
            </w:tcBorders>
            <w:shd w:val="clear" w:color="auto" w:fill="BDD6EE"/>
          </w:tcPr>
          <w:p>
            <w:pPr>
              <w:spacing w:after="0"/>
              <w:rPr>
                <w:sz w:val="9"/>
                <w:szCs w:val="9"/>
                <w:color w:val="auto"/>
              </w:rPr>
            </w:pPr>
          </w:p>
        </w:tc>
        <w:tc>
          <w:tcPr>
            <w:tcW w:w="6020" w:type="dxa"/>
            <w:vAlign w:val="bottom"/>
            <w:tcBorders>
              <w:bottom w:val="single" w:sz="8" w:color="auto"/>
              <w:right w:val="single" w:sz="8" w:color="auto"/>
            </w:tcBorders>
            <w:shd w:val="clear" w:color="auto" w:fill="BDD6EE"/>
          </w:tcPr>
          <w:p>
            <w:pPr>
              <w:spacing w:after="0"/>
              <w:rPr>
                <w:sz w:val="9"/>
                <w:szCs w:val="9"/>
                <w:color w:val="auto"/>
              </w:rPr>
            </w:pPr>
          </w:p>
        </w:tc>
        <w:tc>
          <w:tcPr>
            <w:tcW w:w="2800" w:type="dxa"/>
            <w:vAlign w:val="bottom"/>
            <w:tcBorders>
              <w:bottom w:val="single" w:sz="8" w:color="auto"/>
              <w:right w:val="single" w:sz="8" w:color="auto"/>
            </w:tcBorders>
            <w:shd w:val="clear" w:color="auto" w:fill="BDD6EE"/>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1.</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2.</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3.</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4.</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5.</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6.</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7.</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8.</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640" w:type="dxa"/>
            <w:vAlign w:val="bottom"/>
            <w:tcBorders>
              <w:left w:val="single" w:sz="8" w:color="auto"/>
            </w:tcBorders>
            <w:vMerge w:val="restart"/>
          </w:tcPr>
          <w:p>
            <w:pPr>
              <w:jc w:val="right"/>
              <w:spacing w:after="0"/>
              <w:rPr>
                <w:sz w:val="20"/>
                <w:szCs w:val="20"/>
                <w:color w:val="auto"/>
              </w:rPr>
            </w:pPr>
            <w:r>
              <w:rPr>
                <w:rFonts w:ascii="Arial" w:cs="Arial" w:eastAsia="Arial" w:hAnsi="Arial"/>
                <w:sz w:val="21"/>
                <w:szCs w:val="21"/>
                <w:color w:val="auto"/>
              </w:rPr>
              <w:t>9.</w:t>
            </w:r>
          </w:p>
        </w:tc>
        <w:tc>
          <w:tcPr>
            <w:tcW w:w="1580" w:type="dxa"/>
            <w:vAlign w:val="bottom"/>
            <w:vMerge w:val="restart"/>
          </w:tcPr>
          <w:p>
            <w:pPr>
              <w:jc w:val="right"/>
              <w:ind w:right="893"/>
              <w:spacing w:after="0"/>
              <w:rPr>
                <w:sz w:val="20"/>
                <w:szCs w:val="20"/>
                <w:color w:val="auto"/>
              </w:rPr>
            </w:pPr>
            <w:r>
              <w:rPr>
                <w:rFonts w:ascii="Arial" w:cs="Arial" w:eastAsia="Arial" w:hAnsi="Arial"/>
                <w:sz w:val="21"/>
                <w:szCs w:val="21"/>
                <w:color w:val="auto"/>
              </w:rPr>
              <w:t>[***]</w:t>
            </w:r>
          </w:p>
        </w:tc>
        <w:tc>
          <w:tcPr>
            <w:tcW w:w="6020" w:type="dxa"/>
            <w:vAlign w:val="bottom"/>
            <w:tcBorders>
              <w:right w:val="single" w:sz="8" w:color="auto"/>
            </w:tcBorders>
          </w:tcPr>
          <w:p>
            <w:pPr>
              <w:spacing w:after="0"/>
              <w:rPr>
                <w:sz w:val="23"/>
                <w:szCs w:val="23"/>
                <w:color w:val="auto"/>
              </w:rPr>
            </w:pP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99"/>
        </w:trPr>
        <w:tc>
          <w:tcPr>
            <w:tcW w:w="640" w:type="dxa"/>
            <w:vAlign w:val="bottom"/>
            <w:tcBorders>
              <w:left w:val="single" w:sz="8" w:color="auto"/>
            </w:tcBorders>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6020" w:type="dxa"/>
            <w:vAlign w:val="bottom"/>
            <w:tcBorders>
              <w:right w:val="single" w:sz="8" w:color="auto"/>
            </w:tcBorders>
          </w:tcPr>
          <w:p>
            <w:pPr>
              <w:spacing w:after="0"/>
              <w:rPr>
                <w:sz w:val="8"/>
                <w:szCs w:val="8"/>
                <w:color w:val="auto"/>
              </w:rPr>
            </w:pPr>
          </w:p>
        </w:tc>
        <w:tc>
          <w:tcPr>
            <w:tcW w:w="28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640" w:type="dxa"/>
            <w:vAlign w:val="bottom"/>
            <w:tcBorders>
              <w:left w:val="single" w:sz="8" w:color="auto"/>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602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93" w:right="339" w:bottom="1440" w:gutter="0" w:footer="0" w:header="0"/>
        </w:sectPr>
      </w:pPr>
    </w:p>
    <w:bookmarkStart w:id="166" w:name="page167"/>
    <w:bookmarkEnd w:id="166"/>
    <w:p>
      <w:pPr>
        <w:spacing w:after="0" w:line="200" w:lineRule="exact"/>
        <w:rPr>
          <w:sz w:val="20"/>
          <w:szCs w:val="20"/>
          <w:color w:val="auto"/>
        </w:rPr>
      </w:pPr>
    </w:p>
    <w:p>
      <w:pPr>
        <w:spacing w:after="0" w:line="21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If a milestone event is achieved and the prior milestone payment with respect to any previous milestone event in the same Indication has not been paid, then Hansoh shall pay Keros the applicable unpaid previous milestone payment(s) pursuant to Section 8.2(b). For clarity, if a milestone event is achieved with respect to any Licensed Product and Hansoh has paid Keros the corresponding milestone payment pursuant to Section 8.2(b), then Hansoh shall have no obligation to make a further milestone payment if such milestone event is achieved again with respect to another Licensed Product (e.g., a Licensed Product containing a different Licensed Compound than the initial Licensed Product which first achieved such milestone event).</w:t>
      </w:r>
    </w:p>
    <w:p>
      <w:pPr>
        <w:spacing w:after="0" w:line="152" w:lineRule="exact"/>
        <w:rPr>
          <w:sz w:val="20"/>
          <w:szCs w:val="20"/>
          <w:color w:val="auto"/>
        </w:rPr>
      </w:pPr>
    </w:p>
    <w:p>
      <w:pPr>
        <w:jc w:val="both"/>
        <w:ind w:firstLine="1296"/>
        <w:spacing w:after="0" w:line="229" w:lineRule="auto"/>
        <w:tabs>
          <w:tab w:leader="none" w:pos="1810"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color w:val="auto"/>
        </w:rPr>
        <w:t>Notice and Payment</w:t>
      </w:r>
      <w:r>
        <w:rPr>
          <w:rFonts w:ascii="Arial" w:cs="Arial" w:eastAsia="Arial" w:hAnsi="Arial"/>
          <w:sz w:val="21"/>
          <w:szCs w:val="21"/>
          <w:color w:val="auto"/>
        </w:rPr>
        <w:t>. Hansoh shall notify Keros in writing within [***] after the first achievement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milestone event set forth above by Hansoh, its Affiliate, or their respective sublicensees. Keros will invoice Hansoh following receipt of such written notice and Hansoh shall pay to Keros the corresponding milestone payment within [***] after receipt of such invoice.</w:t>
      </w:r>
    </w:p>
    <w:p>
      <w:pPr>
        <w:spacing w:after="0" w:line="1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8.3</w:t>
      </w:r>
      <w:r>
        <w:rPr>
          <w:sz w:val="20"/>
          <w:szCs w:val="20"/>
          <w:color w:val="auto"/>
        </w:rPr>
        <w:tab/>
      </w:r>
      <w:r>
        <w:rPr>
          <w:rFonts w:ascii="Arial" w:cs="Arial" w:eastAsia="Arial" w:hAnsi="Arial"/>
          <w:sz w:val="19"/>
          <w:szCs w:val="19"/>
          <w:b w:val="1"/>
          <w:bCs w:val="1"/>
          <w:color w:val="auto"/>
        </w:rPr>
        <w:t>Commercial Milestone Payments</w:t>
      </w:r>
      <w:r>
        <w:rPr>
          <w:rFonts w:ascii="Arial" w:cs="Arial" w:eastAsia="Arial" w:hAnsi="Arial"/>
          <w:sz w:val="19"/>
          <w:szCs w:val="19"/>
          <w:color w:val="auto"/>
        </w:rPr>
        <w:t>.</w:t>
      </w:r>
    </w:p>
    <w:p>
      <w:pPr>
        <w:spacing w:after="0" w:line="188" w:lineRule="exact"/>
        <w:rPr>
          <w:sz w:val="20"/>
          <w:szCs w:val="20"/>
          <w:color w:val="auto"/>
        </w:rPr>
      </w:pPr>
    </w:p>
    <w:p>
      <w:pPr>
        <w:jc w:val="both"/>
        <w:ind w:firstLine="1296"/>
        <w:spacing w:after="0" w:line="234" w:lineRule="auto"/>
        <w:tabs>
          <w:tab w:leader="none" w:pos="1843"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color w:val="auto"/>
        </w:rPr>
        <w:t>Commercial Milestone Events</w:t>
      </w:r>
      <w:r>
        <w:rPr>
          <w:rFonts w:ascii="Arial" w:cs="Arial" w:eastAsia="Arial" w:hAnsi="Arial"/>
          <w:sz w:val="21"/>
          <w:szCs w:val="21"/>
          <w:color w:val="auto"/>
        </w:rPr>
        <w:t>. Hansoh shall pay to Keros the additional one-time, non-refundable, non-creditable payments set forth in the table below for the licenses herein upon the first achievement of each milestone event described below.</w:t>
      </w:r>
    </w:p>
    <w:p>
      <w:pPr>
        <w:spacing w:after="0" w:line="200" w:lineRule="exact"/>
        <w:rPr>
          <w:sz w:val="20"/>
          <w:szCs w:val="20"/>
          <w:color w:val="auto"/>
        </w:rPr>
      </w:pPr>
    </w:p>
    <w:tbl>
      <w:tblPr>
        <w:tblLayout w:type="fixed"/>
        <w:tblInd w:w="170" w:type="dxa"/>
        <w:tblCellMar>
          <w:top w:w="0" w:type="dxa"/>
          <w:left w:w="0" w:type="dxa"/>
          <w:bottom w:w="0" w:type="dxa"/>
          <w:right w:w="0" w:type="dxa"/>
        </w:tblCellMar>
      </w:tblPr>
      <w:tr>
        <w:trPr>
          <w:trHeight w:val="282"/>
        </w:trPr>
        <w:tc>
          <w:tcPr>
            <w:tcW w:w="8100" w:type="dxa"/>
            <w:vAlign w:val="bottom"/>
            <w:tcBorders>
              <w:top w:val="single" w:sz="8" w:color="auto"/>
              <w:left w:val="single" w:sz="8" w:color="auto"/>
              <w:bottom w:val="single" w:sz="8" w:color="auto"/>
              <w:right w:val="single" w:sz="8" w:color="auto"/>
            </w:tcBorders>
            <w:shd w:val="clear" w:color="auto" w:fill="C6D9F1"/>
          </w:tcPr>
          <w:p>
            <w:pPr>
              <w:jc w:val="right"/>
              <w:ind w:right="2613"/>
              <w:spacing w:after="0"/>
              <w:rPr>
                <w:sz w:val="20"/>
                <w:szCs w:val="20"/>
                <w:color w:val="auto"/>
              </w:rPr>
            </w:pPr>
            <w:r>
              <w:rPr>
                <w:rFonts w:ascii="Arial" w:cs="Arial" w:eastAsia="Arial" w:hAnsi="Arial"/>
                <w:sz w:val="21"/>
                <w:szCs w:val="21"/>
                <w:b w:val="1"/>
                <w:bCs w:val="1"/>
                <w:color w:val="auto"/>
              </w:rPr>
              <w:t>Commercial Milestone Event</w:t>
            </w:r>
          </w:p>
        </w:tc>
        <w:tc>
          <w:tcPr>
            <w:tcW w:w="278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1"/>
                <w:szCs w:val="21"/>
                <w:b w:val="1"/>
                <w:bCs w:val="1"/>
                <w:color w:val="auto"/>
                <w:w w:val="92"/>
              </w:rPr>
              <w:t>Milestone Payment</w:t>
            </w:r>
          </w:p>
        </w:tc>
      </w:tr>
      <w:tr>
        <w:trPr>
          <w:trHeight w:val="262"/>
        </w:trPr>
        <w:tc>
          <w:tcPr>
            <w:tcW w:w="8100" w:type="dxa"/>
            <w:vAlign w:val="bottom"/>
            <w:tcBorders>
              <w:left w:val="single" w:sz="8" w:color="auto"/>
              <w:bottom w:val="single" w:sz="8" w:color="auto"/>
              <w:right w:val="single" w:sz="8" w:color="auto"/>
            </w:tcBorders>
          </w:tcPr>
          <w:p>
            <w:pPr>
              <w:jc w:val="right"/>
              <w:ind w:right="7453"/>
              <w:spacing w:after="0"/>
              <w:rPr>
                <w:sz w:val="20"/>
                <w:szCs w:val="20"/>
                <w:color w:val="auto"/>
              </w:rPr>
            </w:pPr>
            <w:r>
              <w:rPr>
                <w:rFonts w:ascii="Arial" w:cs="Arial" w:eastAsia="Arial" w:hAnsi="Arial"/>
                <w:sz w:val="21"/>
                <w:szCs w:val="21"/>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r>
      <w:tr>
        <w:trPr>
          <w:trHeight w:val="262"/>
        </w:trPr>
        <w:tc>
          <w:tcPr>
            <w:tcW w:w="8100" w:type="dxa"/>
            <w:vAlign w:val="bottom"/>
            <w:tcBorders>
              <w:left w:val="single" w:sz="8" w:color="auto"/>
              <w:bottom w:val="single" w:sz="8" w:color="auto"/>
              <w:right w:val="single" w:sz="8" w:color="auto"/>
            </w:tcBorders>
          </w:tcPr>
          <w:p>
            <w:pPr>
              <w:jc w:val="right"/>
              <w:ind w:right="7453"/>
              <w:spacing w:after="0"/>
              <w:rPr>
                <w:sz w:val="20"/>
                <w:szCs w:val="20"/>
                <w:color w:val="auto"/>
              </w:rPr>
            </w:pPr>
            <w:r>
              <w:rPr>
                <w:rFonts w:ascii="Arial" w:cs="Arial" w:eastAsia="Arial" w:hAnsi="Arial"/>
                <w:sz w:val="21"/>
                <w:szCs w:val="21"/>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r>
      <w:tr>
        <w:trPr>
          <w:trHeight w:val="262"/>
        </w:trPr>
        <w:tc>
          <w:tcPr>
            <w:tcW w:w="8100" w:type="dxa"/>
            <w:vAlign w:val="bottom"/>
            <w:tcBorders>
              <w:left w:val="single" w:sz="8" w:color="auto"/>
              <w:bottom w:val="single" w:sz="8" w:color="auto"/>
              <w:right w:val="single" w:sz="8" w:color="auto"/>
            </w:tcBorders>
          </w:tcPr>
          <w:p>
            <w:pPr>
              <w:jc w:val="right"/>
              <w:ind w:right="7453"/>
              <w:spacing w:after="0"/>
              <w:rPr>
                <w:sz w:val="20"/>
                <w:szCs w:val="20"/>
                <w:color w:val="auto"/>
              </w:rPr>
            </w:pPr>
            <w:r>
              <w:rPr>
                <w:rFonts w:ascii="Arial" w:cs="Arial" w:eastAsia="Arial" w:hAnsi="Arial"/>
                <w:sz w:val="21"/>
                <w:szCs w:val="21"/>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r>
      <w:tr>
        <w:trPr>
          <w:trHeight w:val="262"/>
        </w:trPr>
        <w:tc>
          <w:tcPr>
            <w:tcW w:w="8100" w:type="dxa"/>
            <w:vAlign w:val="bottom"/>
            <w:tcBorders>
              <w:left w:val="single" w:sz="8" w:color="auto"/>
              <w:bottom w:val="single" w:sz="8" w:color="auto"/>
              <w:right w:val="single" w:sz="8" w:color="auto"/>
            </w:tcBorders>
          </w:tcPr>
          <w:p>
            <w:pPr>
              <w:jc w:val="right"/>
              <w:ind w:right="7453"/>
              <w:spacing w:after="0"/>
              <w:rPr>
                <w:sz w:val="20"/>
                <w:szCs w:val="20"/>
                <w:color w:val="auto"/>
              </w:rPr>
            </w:pPr>
            <w:r>
              <w:rPr>
                <w:rFonts w:ascii="Arial" w:cs="Arial" w:eastAsia="Arial" w:hAnsi="Arial"/>
                <w:sz w:val="21"/>
                <w:szCs w:val="21"/>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r>
    </w:tbl>
    <w:p>
      <w:pPr>
        <w:spacing w:after="0" w:line="295" w:lineRule="exact"/>
        <w:rPr>
          <w:sz w:val="20"/>
          <w:szCs w:val="20"/>
          <w:color w:val="auto"/>
        </w:rPr>
      </w:pPr>
    </w:p>
    <w:p>
      <w:pPr>
        <w:jc w:val="both"/>
        <w:ind w:firstLine="1296"/>
        <w:spacing w:after="0" w:line="229" w:lineRule="auto"/>
        <w:tabs>
          <w:tab w:leader="none" w:pos="1837" w:val="left"/>
        </w:tabs>
        <w:numPr>
          <w:ilvl w:val="0"/>
          <w:numId w:val="102"/>
        </w:numPr>
        <w:rPr>
          <w:rFonts w:ascii="Arial" w:cs="Arial" w:eastAsia="Arial" w:hAnsi="Arial"/>
          <w:sz w:val="20"/>
          <w:szCs w:val="20"/>
          <w:b w:val="1"/>
          <w:bCs w:val="1"/>
          <w:color w:val="auto"/>
        </w:rPr>
      </w:pPr>
      <w:r>
        <w:rPr>
          <w:rFonts w:ascii="Arial" w:cs="Arial" w:eastAsia="Arial" w:hAnsi="Arial"/>
          <w:sz w:val="20"/>
          <w:szCs w:val="20"/>
          <w:b w:val="1"/>
          <w:bCs w:val="1"/>
          <w:color w:val="auto"/>
        </w:rPr>
        <w:t>Notice and Payment</w:t>
      </w:r>
      <w:r>
        <w:rPr>
          <w:rFonts w:ascii="Arial" w:cs="Arial" w:eastAsia="Arial" w:hAnsi="Arial"/>
          <w:sz w:val="20"/>
          <w:szCs w:val="20"/>
          <w:color w:val="auto"/>
        </w:rPr>
        <w:t>. Within [***] after Hansoh expects to achieve any commercial milestone event(s) of</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8.3(a), Hansoh will provide notice to Keros and Keros will invoice Hansoh for the corresponding milestone payment(s) based on Hansoh’s estimates set forth in its notice. Hansoh shall pay Keros the corresponding milestone payment(s) within [***] after receipt of such invoice. As part of the royalty report in Section 8.5, Hansoh shall provide written notice to Keros if the aggregated annual Net Sales of all Licensed Products in the Hansoh Territory first reach any threshold value set forth in Section 8.3(a) above during the time period to which such royalty report pertains. The Parties shall work in good faith to reconcile (if necessary) the amounts paid by Hansoh to Keros pursuant to the invoice with the amounts set forth in the semi-annual final royalty report. Should any issues with accounting or revenue recognition arise, the Parties shall work together in good faith to adjust this notice and payment procedure. For clarity, the milestone payments in this Section 8.3 shall be additive such that if multiple milestone events specified above are achieved in the same calendar month, then the milestone payments for all such milestone events shall be payable within [***] after receipt of such invoice. For clarity, each of the above milestone payments shall be payable only once regardless of the number of times such milestone event is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440" w:right="339" w:bottom="1440" w:gutter="0" w:footer="0" w:header="0"/>
        </w:sectPr>
      </w:pPr>
    </w:p>
    <w:bookmarkStart w:id="167" w:name="page168"/>
    <w:bookmarkEnd w:id="167"/>
    <w:p>
      <w:pPr>
        <w:ind w:left="660"/>
        <w:spacing w:after="0"/>
        <w:tabs>
          <w:tab w:leader="none" w:pos="1120" w:val="left"/>
        </w:tabs>
        <w:rPr>
          <w:sz w:val="20"/>
          <w:szCs w:val="20"/>
          <w:color w:val="auto"/>
        </w:rPr>
      </w:pPr>
      <w:r>
        <w:rPr>
          <w:rFonts w:ascii="Arial" w:cs="Arial" w:eastAsia="Arial" w:hAnsi="Arial"/>
          <w:sz w:val="21"/>
          <w:szCs w:val="21"/>
          <w:b w:val="1"/>
          <w:bCs w:val="1"/>
          <w:color w:val="auto"/>
        </w:rPr>
        <w:t>8.4</w:t>
      </w:r>
      <w:r>
        <w:rPr>
          <w:sz w:val="20"/>
          <w:szCs w:val="20"/>
          <w:color w:val="auto"/>
        </w:rPr>
        <w:tab/>
      </w:r>
      <w:r>
        <w:rPr>
          <w:rFonts w:ascii="Arial" w:cs="Arial" w:eastAsia="Arial" w:hAnsi="Arial"/>
          <w:sz w:val="18"/>
          <w:szCs w:val="18"/>
          <w:b w:val="1"/>
          <w:bCs w:val="1"/>
          <w:color w:val="auto"/>
        </w:rPr>
        <w:t>Royalties on Net Sales</w:t>
      </w:r>
      <w:r>
        <w:rPr>
          <w:rFonts w:ascii="Arial" w:cs="Arial" w:eastAsia="Arial" w:hAnsi="Arial"/>
          <w:sz w:val="18"/>
          <w:szCs w:val="18"/>
          <w:color w:val="auto"/>
        </w:rPr>
        <w:t>.</w:t>
      </w:r>
    </w:p>
    <w:p>
      <w:pPr>
        <w:spacing w:after="0" w:line="188" w:lineRule="exact"/>
        <w:rPr>
          <w:sz w:val="20"/>
          <w:szCs w:val="20"/>
          <w:color w:val="auto"/>
        </w:rPr>
      </w:pPr>
    </w:p>
    <w:p>
      <w:pPr>
        <w:jc w:val="both"/>
        <w:ind w:firstLine="1296"/>
        <w:spacing w:after="0" w:line="229" w:lineRule="auto"/>
        <w:tabs>
          <w:tab w:leader="none" w:pos="1764"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color w:val="auto"/>
        </w:rPr>
        <w:t>Royalty Rate</w:t>
      </w:r>
      <w:r>
        <w:rPr>
          <w:rFonts w:ascii="Arial" w:cs="Arial" w:eastAsia="Arial" w:hAnsi="Arial"/>
          <w:sz w:val="21"/>
          <w:szCs w:val="21"/>
          <w:color w:val="auto"/>
        </w:rPr>
        <w:t>. Subject to the terms and conditions of this Section 8.4, during the Royalty Term, Hansoh shall</w:t>
      </w:r>
      <w:r>
        <w:rPr>
          <w:rFonts w:ascii="Arial" w:cs="Arial" w:eastAsia="Arial" w:hAnsi="Arial"/>
          <w:sz w:val="21"/>
          <w:szCs w:val="21"/>
          <w:b w:val="1"/>
          <w:bCs w:val="1"/>
          <w:color w:val="auto"/>
        </w:rPr>
        <w:t xml:space="preserve"> </w:t>
      </w:r>
      <w:r>
        <w:rPr>
          <w:rFonts w:ascii="Arial" w:cs="Arial" w:eastAsia="Arial" w:hAnsi="Arial"/>
          <w:sz w:val="21"/>
          <w:szCs w:val="21"/>
          <w:color w:val="auto"/>
        </w:rPr>
        <w:t>pay to Keros non-creditable, non-refundable royalties on annual Net Sales in the Hansoh Territory for the licenses herein during such Calendar Quarter, as calculated by multiplying the applicable royalty rate by the corresponding amount of incremental Net Sales in the Hansoh Territory, as follows:</w:t>
      </w:r>
    </w:p>
    <w:p>
      <w:pPr>
        <w:spacing w:after="0" w:line="200" w:lineRule="exact"/>
        <w:rPr>
          <w:sz w:val="20"/>
          <w:szCs w:val="20"/>
          <w:color w:val="auto"/>
        </w:rPr>
      </w:pPr>
    </w:p>
    <w:tbl>
      <w:tblPr>
        <w:tblLayout w:type="fixed"/>
        <w:tblInd w:w="170" w:type="dxa"/>
        <w:tblCellMar>
          <w:top w:w="0" w:type="dxa"/>
          <w:left w:w="0" w:type="dxa"/>
          <w:bottom w:w="0" w:type="dxa"/>
          <w:right w:w="0" w:type="dxa"/>
        </w:tblCellMar>
      </w:tblPr>
      <w:tr>
        <w:trPr>
          <w:trHeight w:val="282"/>
        </w:trPr>
        <w:tc>
          <w:tcPr>
            <w:tcW w:w="8240" w:type="dxa"/>
            <w:vAlign w:val="bottom"/>
            <w:tcBorders>
              <w:top w:val="single" w:sz="8" w:color="auto"/>
              <w:left w:val="single" w:sz="8" w:color="auto"/>
              <w:bottom w:val="single" w:sz="8" w:color="auto"/>
              <w:right w:val="single" w:sz="8" w:color="auto"/>
            </w:tcBorders>
            <w:shd w:val="clear" w:color="auto" w:fill="C6D9F1"/>
          </w:tcPr>
          <w:p>
            <w:pPr>
              <w:ind w:left="2760"/>
              <w:spacing w:after="0"/>
              <w:rPr>
                <w:sz w:val="20"/>
                <w:szCs w:val="20"/>
                <w:color w:val="auto"/>
              </w:rPr>
            </w:pPr>
            <w:r>
              <w:rPr>
                <w:rFonts w:ascii="Arial" w:cs="Arial" w:eastAsia="Arial" w:hAnsi="Arial"/>
                <w:sz w:val="21"/>
                <w:szCs w:val="21"/>
                <w:b w:val="1"/>
                <w:bCs w:val="1"/>
                <w:color w:val="auto"/>
              </w:rPr>
              <w:t>Net Sales of Licensed Product</w:t>
            </w:r>
          </w:p>
        </w:tc>
        <w:tc>
          <w:tcPr>
            <w:tcW w:w="2800" w:type="dxa"/>
            <w:vAlign w:val="bottom"/>
            <w:tcBorders>
              <w:top w:val="single" w:sz="8" w:color="auto"/>
              <w:bottom w:val="single" w:sz="8" w:color="auto"/>
              <w:right w:val="single" w:sz="8" w:color="auto"/>
            </w:tcBorders>
            <w:shd w:val="clear" w:color="auto" w:fill="C6D9F1"/>
          </w:tcPr>
          <w:p>
            <w:pPr>
              <w:jc w:val="center"/>
              <w:spacing w:after="0"/>
              <w:rPr>
                <w:sz w:val="20"/>
                <w:szCs w:val="20"/>
                <w:color w:val="auto"/>
              </w:rPr>
            </w:pPr>
            <w:r>
              <w:rPr>
                <w:rFonts w:ascii="Arial" w:cs="Arial" w:eastAsia="Arial" w:hAnsi="Arial"/>
                <w:sz w:val="21"/>
                <w:szCs w:val="21"/>
                <w:b w:val="1"/>
                <w:bCs w:val="1"/>
                <w:color w:val="auto"/>
                <w:w w:val="94"/>
              </w:rPr>
              <w:t>Royalty Rate</w:t>
            </w:r>
          </w:p>
        </w:tc>
      </w:tr>
      <w:tr>
        <w:trPr>
          <w:trHeight w:val="262"/>
        </w:trPr>
        <w:tc>
          <w:tcPr>
            <w:tcW w:w="8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For that portion of Net Sales of Licensed Products in each calendar year less than [***]</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w:t>
            </w:r>
          </w:p>
        </w:tc>
      </w:tr>
      <w:tr>
        <w:trPr>
          <w:trHeight w:val="200"/>
        </w:trPr>
        <w:tc>
          <w:tcPr>
            <w:tcW w:w="8240" w:type="dxa"/>
            <w:vAlign w:val="bottom"/>
            <w:tcBorders>
              <w:left w:val="single" w:sz="8" w:color="auto"/>
              <w:right w:val="single" w:sz="8" w:color="auto"/>
            </w:tcBorders>
          </w:tcPr>
          <w:p>
            <w:pPr>
              <w:ind w:left="80"/>
              <w:spacing w:after="0" w:line="200" w:lineRule="exact"/>
              <w:rPr>
                <w:sz w:val="20"/>
                <w:szCs w:val="20"/>
                <w:color w:val="auto"/>
              </w:rPr>
            </w:pPr>
            <w:r>
              <w:rPr>
                <w:rFonts w:ascii="Arial" w:cs="Arial" w:eastAsia="Arial" w:hAnsi="Arial"/>
                <w:sz w:val="21"/>
                <w:szCs w:val="21"/>
                <w:color w:val="auto"/>
                <w:w w:val="93"/>
              </w:rPr>
              <w:t>For that portion of Net Sales of Licensed Products in each calendar year greater than or equal</w:t>
            </w:r>
          </w:p>
        </w:tc>
        <w:tc>
          <w:tcPr>
            <w:tcW w:w="28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1"/>
                <w:szCs w:val="21"/>
                <w:color w:val="auto"/>
              </w:rPr>
              <w:t>[***]%</w:t>
            </w:r>
          </w:p>
        </w:tc>
      </w:tr>
      <w:tr>
        <w:trPr>
          <w:trHeight w:val="275"/>
        </w:trPr>
        <w:tc>
          <w:tcPr>
            <w:tcW w:w="8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to [***] but less than [***]</w:t>
            </w:r>
          </w:p>
        </w:tc>
        <w:tc>
          <w:tcPr>
            <w:tcW w:w="2800" w:type="dxa"/>
            <w:vAlign w:val="bottom"/>
            <w:tcBorders>
              <w:bottom w:val="single" w:sz="8" w:color="auto"/>
              <w:right w:val="single" w:sz="8" w:color="auto"/>
            </w:tcBorders>
          </w:tcPr>
          <w:p>
            <w:pPr>
              <w:spacing w:after="0"/>
              <w:rPr>
                <w:sz w:val="23"/>
                <w:szCs w:val="23"/>
                <w:color w:val="auto"/>
              </w:rPr>
            </w:pPr>
          </w:p>
        </w:tc>
      </w:tr>
      <w:tr>
        <w:trPr>
          <w:trHeight w:val="202"/>
        </w:trPr>
        <w:tc>
          <w:tcPr>
            <w:tcW w:w="82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1"/>
                <w:szCs w:val="21"/>
                <w:color w:val="auto"/>
                <w:w w:val="93"/>
              </w:rPr>
              <w:t>For that portion of Net Sales of Licensed Products in each calendar year greater than or equal</w:t>
            </w:r>
          </w:p>
        </w:tc>
        <w:tc>
          <w:tcPr>
            <w:tcW w:w="2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1"/>
                <w:szCs w:val="21"/>
                <w:color w:val="auto"/>
              </w:rPr>
              <w:t>[***]%</w:t>
            </w:r>
          </w:p>
        </w:tc>
      </w:tr>
      <w:tr>
        <w:trPr>
          <w:trHeight w:val="275"/>
        </w:trPr>
        <w:tc>
          <w:tcPr>
            <w:tcW w:w="8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to [***] but less than [***]</w:t>
            </w:r>
          </w:p>
        </w:tc>
        <w:tc>
          <w:tcPr>
            <w:tcW w:w="2800" w:type="dxa"/>
            <w:vAlign w:val="bottom"/>
            <w:tcBorders>
              <w:bottom w:val="single" w:sz="8" w:color="auto"/>
              <w:right w:val="single" w:sz="8" w:color="auto"/>
            </w:tcBorders>
          </w:tcPr>
          <w:p>
            <w:pPr>
              <w:spacing w:after="0"/>
              <w:rPr>
                <w:sz w:val="23"/>
                <w:szCs w:val="23"/>
                <w:color w:val="auto"/>
              </w:rPr>
            </w:pPr>
          </w:p>
        </w:tc>
      </w:tr>
      <w:tr>
        <w:trPr>
          <w:trHeight w:val="202"/>
        </w:trPr>
        <w:tc>
          <w:tcPr>
            <w:tcW w:w="82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1"/>
                <w:szCs w:val="21"/>
                <w:color w:val="auto"/>
                <w:w w:val="93"/>
              </w:rPr>
              <w:t>For that portion of Net Sales of Licensed Products in each calendar year greater than or equal</w:t>
            </w:r>
          </w:p>
        </w:tc>
        <w:tc>
          <w:tcPr>
            <w:tcW w:w="2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1"/>
                <w:szCs w:val="21"/>
                <w:color w:val="auto"/>
              </w:rPr>
              <w:t>[***]%</w:t>
            </w:r>
          </w:p>
        </w:tc>
      </w:tr>
      <w:tr>
        <w:trPr>
          <w:trHeight w:val="275"/>
        </w:trPr>
        <w:tc>
          <w:tcPr>
            <w:tcW w:w="8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to [***] but less than [***]</w:t>
            </w:r>
          </w:p>
        </w:tc>
        <w:tc>
          <w:tcPr>
            <w:tcW w:w="2800" w:type="dxa"/>
            <w:vAlign w:val="bottom"/>
            <w:tcBorders>
              <w:bottom w:val="single" w:sz="8" w:color="auto"/>
              <w:right w:val="single" w:sz="8" w:color="auto"/>
            </w:tcBorders>
          </w:tcPr>
          <w:p>
            <w:pPr>
              <w:spacing w:after="0"/>
              <w:rPr>
                <w:sz w:val="23"/>
                <w:szCs w:val="23"/>
                <w:color w:val="auto"/>
              </w:rPr>
            </w:pPr>
          </w:p>
        </w:tc>
      </w:tr>
      <w:tr>
        <w:trPr>
          <w:trHeight w:val="202"/>
        </w:trPr>
        <w:tc>
          <w:tcPr>
            <w:tcW w:w="82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1"/>
                <w:szCs w:val="21"/>
                <w:color w:val="auto"/>
                <w:w w:val="93"/>
              </w:rPr>
              <w:t>For that portion of Net Sales of Licensed Products in each calendar year greater than or equal</w:t>
            </w:r>
          </w:p>
        </w:tc>
        <w:tc>
          <w:tcPr>
            <w:tcW w:w="2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1"/>
                <w:szCs w:val="21"/>
                <w:color w:val="auto"/>
              </w:rPr>
              <w:t>[***]%</w:t>
            </w:r>
          </w:p>
        </w:tc>
      </w:tr>
      <w:tr>
        <w:trPr>
          <w:trHeight w:val="275"/>
        </w:trPr>
        <w:tc>
          <w:tcPr>
            <w:tcW w:w="8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to [***] but less than [***]</w:t>
            </w:r>
          </w:p>
        </w:tc>
        <w:tc>
          <w:tcPr>
            <w:tcW w:w="2800" w:type="dxa"/>
            <w:vAlign w:val="bottom"/>
            <w:tcBorders>
              <w:bottom w:val="single" w:sz="8" w:color="auto"/>
              <w:right w:val="single" w:sz="8" w:color="auto"/>
            </w:tcBorders>
          </w:tcPr>
          <w:p>
            <w:pPr>
              <w:spacing w:after="0"/>
              <w:rPr>
                <w:sz w:val="23"/>
                <w:szCs w:val="23"/>
                <w:color w:val="auto"/>
              </w:rPr>
            </w:pPr>
          </w:p>
        </w:tc>
      </w:tr>
      <w:tr>
        <w:trPr>
          <w:trHeight w:val="202"/>
        </w:trPr>
        <w:tc>
          <w:tcPr>
            <w:tcW w:w="82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21"/>
                <w:szCs w:val="21"/>
                <w:color w:val="auto"/>
                <w:w w:val="93"/>
              </w:rPr>
              <w:t>For that portion of Net Sales of Licensed Products in each calendar year greater than or equal</w:t>
            </w:r>
          </w:p>
        </w:tc>
        <w:tc>
          <w:tcPr>
            <w:tcW w:w="2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21"/>
                <w:szCs w:val="21"/>
                <w:color w:val="auto"/>
              </w:rPr>
              <w:t>[***]%</w:t>
            </w:r>
          </w:p>
        </w:tc>
      </w:tr>
      <w:tr>
        <w:trPr>
          <w:trHeight w:val="275"/>
        </w:trPr>
        <w:tc>
          <w:tcPr>
            <w:tcW w:w="82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1"/>
                <w:szCs w:val="21"/>
                <w:color w:val="auto"/>
              </w:rPr>
              <w:t>to [***]</w:t>
            </w:r>
          </w:p>
        </w:tc>
        <w:tc>
          <w:tcPr>
            <w:tcW w:w="2800" w:type="dxa"/>
            <w:vAlign w:val="bottom"/>
            <w:tcBorders>
              <w:bottom w:val="single" w:sz="8" w:color="auto"/>
              <w:right w:val="single" w:sz="8" w:color="auto"/>
            </w:tcBorders>
          </w:tcPr>
          <w:p>
            <w:pPr>
              <w:spacing w:after="0"/>
              <w:rPr>
                <w:sz w:val="23"/>
                <w:szCs w:val="23"/>
                <w:color w:val="auto"/>
              </w:rPr>
            </w:pPr>
          </w:p>
        </w:tc>
      </w:tr>
    </w:tbl>
    <w:p>
      <w:pPr>
        <w:spacing w:after="0" w:line="200" w:lineRule="exact"/>
        <w:rPr>
          <w:sz w:val="20"/>
          <w:szCs w:val="20"/>
          <w:color w:val="auto"/>
        </w:rPr>
      </w:pPr>
    </w:p>
    <w:p>
      <w:pPr>
        <w:spacing w:after="0" w:line="309" w:lineRule="exact"/>
        <w:rPr>
          <w:sz w:val="20"/>
          <w:szCs w:val="20"/>
          <w:color w:val="auto"/>
        </w:rPr>
      </w:pPr>
    </w:p>
    <w:p>
      <w:pPr>
        <w:jc w:val="both"/>
        <w:ind w:firstLine="1296"/>
        <w:spacing w:after="0" w:line="222" w:lineRule="auto"/>
        <w:tabs>
          <w:tab w:leader="none" w:pos="1808"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Royalty Term</w:t>
      </w:r>
      <w:r>
        <w:rPr>
          <w:rFonts w:ascii="Arial" w:cs="Arial" w:eastAsia="Arial" w:hAnsi="Arial"/>
          <w:sz w:val="21"/>
          <w:szCs w:val="21"/>
          <w:color w:val="auto"/>
        </w:rPr>
        <w:t>. Royalties payable under Section 8.4(a) shall be paid by Hansoh (on a Licensed Product-by-Licensed Product and Region-by-Region basis) beginning on the date of the First Commercial Sale of each such Licensed Product in such Region in the Hansoh Territory and continuing until the latest of: (i) ten (10) years from the date of First Commercial Sale of such Licensed Product in such Region, (ii) expiration of the last Valid Claim of a Keros Licensed Patent or Joint Patent (1) Covering the composition of matter of such Licensed Product and (2) that is (A) a pending Patent application that would Cover a Generic Product in such Region or (B) an issued or granted Patent, or (iii) expiration of Regulatory Exclusivity in such Region (the “</w:t>
      </w:r>
      <w:r>
        <w:rPr>
          <w:rFonts w:ascii="Arial" w:cs="Arial" w:eastAsia="Arial" w:hAnsi="Arial"/>
          <w:sz w:val="21"/>
          <w:szCs w:val="21"/>
          <w:b w:val="1"/>
          <w:bCs w:val="1"/>
          <w:color w:val="auto"/>
        </w:rPr>
        <w:t>Royalty Term</w:t>
      </w:r>
      <w:r>
        <w:rPr>
          <w:rFonts w:ascii="Arial" w:cs="Arial" w:eastAsia="Arial" w:hAnsi="Arial"/>
          <w:sz w:val="21"/>
          <w:szCs w:val="21"/>
          <w:color w:val="auto"/>
        </w:rPr>
        <w:t>”).</w:t>
      </w:r>
    </w:p>
    <w:p>
      <w:pPr>
        <w:spacing w:after="0" w:line="154" w:lineRule="exact"/>
        <w:rPr>
          <w:rFonts w:ascii="Arial" w:cs="Arial" w:eastAsia="Arial" w:hAnsi="Arial"/>
          <w:sz w:val="21"/>
          <w:szCs w:val="21"/>
          <w:b w:val="1"/>
          <w:bCs w:val="1"/>
          <w:color w:val="auto"/>
        </w:rPr>
      </w:pPr>
    </w:p>
    <w:p>
      <w:pPr>
        <w:ind w:left="1740" w:hanging="444"/>
        <w:spacing w:after="0"/>
        <w:tabs>
          <w:tab w:leader="none" w:pos="1740"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color w:val="auto"/>
        </w:rPr>
        <w:t>Royalty Reduction</w:t>
      </w:r>
      <w:r>
        <w:rPr>
          <w:rFonts w:ascii="Arial" w:cs="Arial" w:eastAsia="Arial" w:hAnsi="Arial"/>
          <w:sz w:val="21"/>
          <w:szCs w:val="21"/>
          <w:color w:val="auto"/>
        </w:rPr>
        <w:t>.</w:t>
      </w:r>
    </w:p>
    <w:p>
      <w:pPr>
        <w:spacing w:after="0" w:line="187" w:lineRule="exact"/>
        <w:rPr>
          <w:rFonts w:ascii="Arial" w:cs="Arial" w:eastAsia="Arial" w:hAnsi="Arial"/>
          <w:sz w:val="21"/>
          <w:szCs w:val="21"/>
          <w:b w:val="1"/>
          <w:bCs w:val="1"/>
          <w:color w:val="auto"/>
        </w:rPr>
      </w:pPr>
    </w:p>
    <w:p>
      <w:pPr>
        <w:jc w:val="both"/>
        <w:ind w:firstLine="1940"/>
        <w:spacing w:after="0" w:line="249" w:lineRule="auto"/>
        <w:tabs>
          <w:tab w:leader="none" w:pos="2350" w:val="left"/>
        </w:tabs>
        <w:numPr>
          <w:ilvl w:val="1"/>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Royalty Reduction for Third Party Licenses</w:t>
      </w:r>
      <w:r>
        <w:rPr>
          <w:rFonts w:ascii="Arial" w:cs="Arial" w:eastAsia="Arial" w:hAnsi="Arial"/>
          <w:sz w:val="20"/>
          <w:szCs w:val="20"/>
          <w:color w:val="auto"/>
        </w:rPr>
        <w:t>. If Hansoh reasonably determines in good faith that it is</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obtain a license under any Patent in a Region in the Hansoh Territory controlled by a Third Party in order to Develop, Manufacture and have Manufactured (solely to the extent set forth in Section 7.2), distribute, market, promote,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87" w:right="339" w:bottom="1440" w:gutter="0" w:footer="0" w:header="0"/>
        </w:sectPr>
      </w:pPr>
    </w:p>
    <w:bookmarkStart w:id="168" w:name="page169"/>
    <w:bookmarkEnd w:id="168"/>
    <w:p>
      <w:pPr>
        <w:jc w:val="both"/>
        <w:spacing w:after="0" w:line="255" w:lineRule="auto"/>
        <w:rPr>
          <w:sz w:val="20"/>
          <w:szCs w:val="20"/>
          <w:color w:val="auto"/>
        </w:rPr>
      </w:pPr>
      <w:r>
        <w:rPr>
          <w:rFonts w:ascii="Arial" w:cs="Arial" w:eastAsia="Arial" w:hAnsi="Arial"/>
          <w:sz w:val="19"/>
          <w:szCs w:val="19"/>
          <w:color w:val="auto"/>
        </w:rPr>
        <w:t>sell, offer for sale, import, or otherwise Commercialize Licensed Products in the Field in the Hansoh Territory, then Hansoh may deduct from the royalty payment that would otherwise have been due under Section 8.4(a) with respect to Net Sales of such Licensed Product in such Region in any Calendar Quarter an amount equal to [***] of the royalties paid by Hansoh to such Third Party pursuant to such license on account of the sale of such Licensed Product in such Region during such Calendar Quarter.</w:t>
      </w:r>
    </w:p>
    <w:p>
      <w:pPr>
        <w:spacing w:after="0" w:line="139" w:lineRule="exact"/>
        <w:rPr>
          <w:sz w:val="20"/>
          <w:szCs w:val="20"/>
          <w:color w:val="auto"/>
        </w:rPr>
      </w:pPr>
    </w:p>
    <w:p>
      <w:pPr>
        <w:jc w:val="both"/>
        <w:ind w:firstLine="1940"/>
        <w:spacing w:after="0" w:line="224" w:lineRule="auto"/>
        <w:tabs>
          <w:tab w:leader="none" w:pos="2420" w:val="left"/>
        </w:tabs>
        <w:numPr>
          <w:ilvl w:val="1"/>
          <w:numId w:val="105"/>
        </w:numPr>
        <w:rPr>
          <w:rFonts w:ascii="Arial" w:cs="Arial" w:eastAsia="Arial" w:hAnsi="Arial"/>
          <w:sz w:val="21"/>
          <w:szCs w:val="21"/>
          <w:b w:val="1"/>
          <w:bCs w:val="1"/>
          <w:color w:val="auto"/>
        </w:rPr>
      </w:pPr>
      <w:r>
        <w:rPr>
          <w:rFonts w:ascii="Arial" w:cs="Arial" w:eastAsia="Arial" w:hAnsi="Arial"/>
          <w:sz w:val="21"/>
          <w:szCs w:val="21"/>
          <w:b w:val="1"/>
          <w:bCs w:val="1"/>
          <w:color w:val="auto"/>
        </w:rPr>
        <w:t>Generic Entry</w:t>
      </w:r>
      <w:r>
        <w:rPr>
          <w:rFonts w:ascii="Arial" w:cs="Arial" w:eastAsia="Arial" w:hAnsi="Arial"/>
          <w:sz w:val="21"/>
          <w:szCs w:val="21"/>
          <w:color w:val="auto"/>
        </w:rPr>
        <w:t>. If at any time during the Royalty Term, there is a Generic Product sold in any Region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Hansoh Territory in which the corresponding Licensed Product is then being sold by Hansoh, its Affiliate, or their sublicensee and such Generic Product reduces Hansoh’s market share by at least [***] in such Region for such Licensed Product, then, on a Calendar Quarterly basis, Hansoh may reduce the royalty payment that would otherwise have been due under Section 8.4(a) with respect to Net Sales of such Licensed Product in such Region in a such Calendar Quarter by [***] pursuant to this Section 8.4(c)(ii).</w:t>
      </w:r>
    </w:p>
    <w:p>
      <w:pPr>
        <w:spacing w:after="0" w:line="150" w:lineRule="exact"/>
        <w:rPr>
          <w:rFonts w:ascii="Arial" w:cs="Arial" w:eastAsia="Arial" w:hAnsi="Arial"/>
          <w:sz w:val="21"/>
          <w:szCs w:val="21"/>
          <w:b w:val="1"/>
          <w:bCs w:val="1"/>
          <w:color w:val="auto"/>
        </w:rPr>
      </w:pPr>
    </w:p>
    <w:p>
      <w:pPr>
        <w:jc w:val="both"/>
        <w:ind w:firstLine="1296"/>
        <w:spacing w:after="0" w:line="229" w:lineRule="auto"/>
        <w:tabs>
          <w:tab w:leader="none" w:pos="1830"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color w:val="auto"/>
        </w:rPr>
        <w:t>Royalty Floor</w:t>
      </w:r>
      <w:r>
        <w:rPr>
          <w:rFonts w:ascii="Arial" w:cs="Arial" w:eastAsia="Arial" w:hAnsi="Arial"/>
          <w:sz w:val="21"/>
          <w:szCs w:val="21"/>
          <w:color w:val="auto"/>
        </w:rPr>
        <w:t>. Notwithstanding Section 8.4(c), in no event shall any reduction permitted in Section 8.4(c)</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(individually or in the aggregate) reduce the royalty rate payable to Keros hereunder by more than [***] of the royalty rate that would have applied prior to any reduction, in each case, for a given Licensed Product in a given Region during each Calendar Quarter.</w:t>
      </w:r>
    </w:p>
    <w:p>
      <w:pPr>
        <w:spacing w:after="0" w:line="152" w:lineRule="exact"/>
        <w:rPr>
          <w:sz w:val="20"/>
          <w:szCs w:val="20"/>
          <w:color w:val="auto"/>
        </w:rPr>
      </w:pPr>
    </w:p>
    <w:p>
      <w:pPr>
        <w:jc w:val="both"/>
        <w:ind w:firstLine="644"/>
        <w:spacing w:after="0" w:line="227" w:lineRule="auto"/>
        <w:rPr>
          <w:sz w:val="20"/>
          <w:szCs w:val="20"/>
          <w:color w:val="auto"/>
        </w:rPr>
      </w:pPr>
      <w:r>
        <w:rPr>
          <w:rFonts w:ascii="Arial" w:cs="Arial" w:eastAsia="Arial" w:hAnsi="Arial"/>
          <w:sz w:val="20"/>
          <w:szCs w:val="20"/>
          <w:b w:val="1"/>
          <w:bCs w:val="1"/>
          <w:color w:val="auto"/>
        </w:rPr>
        <w:t>8.5 Royalty Payments; Reports</w:t>
      </w:r>
      <w:r>
        <w:rPr>
          <w:rFonts w:ascii="Arial" w:cs="Arial" w:eastAsia="Arial" w:hAnsi="Arial"/>
          <w:sz w:val="20"/>
          <w:szCs w:val="20"/>
          <w:color w:val="auto"/>
        </w:rPr>
        <w:t>. Royalties under Section 8.4 shall be calculated and reported for each Calendar Quarter</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Royalty Term, commencing with the Calendar Quarter in which the First Commercial Sale of a Licensed Product occurs. Within [***] after the end of each Calendar Quarter, commencing with the Calendar Quarter in which the First Commercial Sale of a Licensed Product occurs, Hansoh shall provide Keros with a preliminary report of Net Sales of Licensed Products by Hansoh, its Affiliates and their respective sublicensees that contains the following information for the applicable Calendar Quarter: (a) the aggregate amount of gross sales and Net Sales of Licensed Products in the Hansoh Territory on a Licensed Product-by-Licensed Product and Region-by-Region basis during the applicable Calendar Quarter, (b) an itemized calculation showing the deductions from gross sales (by each major category as set forth in the definition of Net Sales herein) to determine Net Sales, (c) a calculation of the amount of royalties due to Keros in U.S. Dollars, including the application of any exchange rate used in such calculation in accordance with Section 8.7, and (d) whether any commercial milestone event has been achieved. Upon receipt of the applicable quarterly preliminary royalty report, Keros will invoice Hansoh based on such preliminary royalty report and Hansoh shall pay to Keros in U.S. Dollars the royalties owed with respect to Net Sales for such Calendar Quarter based on such preliminary report within [***] after receipt of such invoice. Hansoh shall provide a semi-annual final royalty report within [***] after the second Calendar Quarter and [***] after the fourth Calendar Quarter of each calendar year instead of the foregoing preliminary report. Such final royalty report will reconcile (if necessary) the amounts paid by Hansoh to Keros pursuant to the invoice in the prior Calendar Quarter with the royalty amounts set forth in the semi-annual final royalty report for the two Calendar Quarters covered by such final report. Upon receipt of the applicable semi-annual final royalty report, Keros will invoice Hansoh based on such final report and Hansoh shall pay to Keros in U.S. Dollars the royalties owned with respect to Net Sales based on the semi-annual final royalty report within [***] after receipt of such invoice.</w:t>
      </w:r>
    </w:p>
    <w:p>
      <w:pPr>
        <w:spacing w:after="0" w:line="15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1"/>
          <w:szCs w:val="21"/>
          <w:b w:val="1"/>
          <w:bCs w:val="1"/>
          <w:color w:val="auto"/>
        </w:rPr>
        <w:t>8.6</w:t>
      </w:r>
      <w:r>
        <w:rPr>
          <w:sz w:val="20"/>
          <w:szCs w:val="20"/>
          <w:color w:val="auto"/>
        </w:rPr>
        <w:tab/>
      </w:r>
      <w:r>
        <w:rPr>
          <w:rFonts w:ascii="Arial" w:cs="Arial" w:eastAsia="Arial" w:hAnsi="Arial"/>
          <w:sz w:val="19"/>
          <w:szCs w:val="19"/>
          <w:b w:val="1"/>
          <w:bCs w:val="1"/>
          <w:color w:val="auto"/>
        </w:rPr>
        <w:t>Product Supply Payments</w:t>
      </w:r>
      <w:r>
        <w:rPr>
          <w:rFonts w:ascii="Arial" w:cs="Arial" w:eastAsia="Arial" w:hAnsi="Arial"/>
          <w:sz w:val="19"/>
          <w:szCs w:val="19"/>
          <w:color w:val="auto"/>
        </w:rPr>
        <w:t>. Hansoh shall pay Keros for Licensed Products supplied by Keros as set forth in Section</w:t>
      </w:r>
    </w:p>
    <w:p>
      <w:pPr>
        <w:spacing w:after="0"/>
        <w:rPr>
          <w:sz w:val="20"/>
          <w:szCs w:val="20"/>
          <w:color w:val="auto"/>
        </w:rPr>
      </w:pPr>
      <w:r>
        <w:rPr>
          <w:rFonts w:ascii="Arial" w:cs="Arial" w:eastAsia="Arial" w:hAnsi="Arial"/>
          <w:sz w:val="21"/>
          <w:szCs w:val="21"/>
          <w:color w:val="auto"/>
        </w:rPr>
        <w:t>7.1 or in the applicable Supply Agreement.</w:t>
      </w:r>
    </w:p>
    <w:p>
      <w:pPr>
        <w:spacing w:after="0" w:line="164"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8.7 Payment Method; Foreign Exchange</w:t>
      </w:r>
      <w:r>
        <w:rPr>
          <w:rFonts w:ascii="Arial" w:cs="Arial" w:eastAsia="Arial" w:hAnsi="Arial"/>
          <w:sz w:val="21"/>
          <w:szCs w:val="21"/>
          <w:color w:val="auto"/>
        </w:rPr>
        <w:t>. All payments owed by Hansoh under this Agreement shall be made by wire</w:t>
      </w:r>
      <w:r>
        <w:rPr>
          <w:rFonts w:ascii="Arial" w:cs="Arial" w:eastAsia="Arial" w:hAnsi="Arial"/>
          <w:sz w:val="21"/>
          <w:szCs w:val="21"/>
          <w:b w:val="1"/>
          <w:bCs w:val="1"/>
          <w:color w:val="auto"/>
        </w:rPr>
        <w:t xml:space="preserve"> </w:t>
      </w:r>
      <w:r>
        <w:rPr>
          <w:rFonts w:ascii="Arial" w:cs="Arial" w:eastAsia="Arial" w:hAnsi="Arial"/>
          <w:sz w:val="21"/>
          <w:szCs w:val="21"/>
          <w:color w:val="auto"/>
        </w:rPr>
        <w:t>transfer in immediately available funds to a bank and account designated in writing by Keros. For clarity, all payments by Hansoh to Keros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393" w:right="339" w:bottom="1440" w:gutter="0" w:footer="0" w:header="0"/>
        </w:sectPr>
      </w:pPr>
    </w:p>
    <w:bookmarkStart w:id="169" w:name="page170"/>
    <w:bookmarkEnd w:id="169"/>
    <w:p>
      <w:pPr>
        <w:jc w:val="both"/>
        <w:spacing w:after="0" w:line="232" w:lineRule="auto"/>
        <w:rPr>
          <w:sz w:val="20"/>
          <w:szCs w:val="20"/>
          <w:color w:val="auto"/>
        </w:rPr>
      </w:pPr>
      <w:r>
        <w:rPr>
          <w:rFonts w:ascii="Arial" w:cs="Arial" w:eastAsia="Arial" w:hAnsi="Arial"/>
          <w:sz w:val="21"/>
          <w:szCs w:val="21"/>
          <w:color w:val="auto"/>
        </w:rPr>
        <w:t>Agreement shall be in U.S. Dollars. The rate of exchange to be used in computing the amount of currency equivalent in U.S. Dollars of any amounts payable in U.S. Dollars by Hansoh to Keros under this Agreement shall be determined and calculated [***].</w:t>
      </w:r>
    </w:p>
    <w:p>
      <w:pPr>
        <w:spacing w:after="0" w:line="153"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8.8 Interest on Late Payments</w:t>
      </w:r>
      <w:r>
        <w:rPr>
          <w:rFonts w:ascii="Arial" w:cs="Arial" w:eastAsia="Arial" w:hAnsi="Arial"/>
          <w:sz w:val="21"/>
          <w:szCs w:val="21"/>
          <w:color w:val="auto"/>
        </w:rPr>
        <w:t>. If Keros does not receive payment of any sum due to it on or before the due date,</w:t>
      </w:r>
      <w:r>
        <w:rPr>
          <w:rFonts w:ascii="Arial" w:cs="Arial" w:eastAsia="Arial" w:hAnsi="Arial"/>
          <w:sz w:val="21"/>
          <w:szCs w:val="21"/>
          <w:b w:val="1"/>
          <w:bCs w:val="1"/>
          <w:color w:val="auto"/>
        </w:rPr>
        <w:t xml:space="preserve"> </w:t>
      </w:r>
      <w:r>
        <w:rPr>
          <w:rFonts w:ascii="Arial" w:cs="Arial" w:eastAsia="Arial" w:hAnsi="Arial"/>
          <w:sz w:val="21"/>
          <w:szCs w:val="21"/>
          <w:color w:val="auto"/>
        </w:rPr>
        <w:t>interest shall thereafter accrue on the sum due to Keros until the date of payment at the per annum rate of [***] over the then-current prime rate reported in The Wall Street Journal or the maximum rate allowable by Applicable Law, whichever is lower, with such interest compounded quarterly.</w:t>
      </w:r>
    </w:p>
    <w:p>
      <w:pPr>
        <w:spacing w:after="0" w:line="15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8.9</w:t>
      </w:r>
      <w:r>
        <w:rPr>
          <w:sz w:val="20"/>
          <w:szCs w:val="20"/>
          <w:color w:val="auto"/>
        </w:rPr>
        <w:tab/>
      </w:r>
      <w:r>
        <w:rPr>
          <w:rFonts w:ascii="Arial" w:cs="Arial" w:eastAsia="Arial" w:hAnsi="Arial"/>
          <w:sz w:val="19"/>
          <w:szCs w:val="19"/>
          <w:b w:val="1"/>
          <w:bCs w:val="1"/>
          <w:color w:val="auto"/>
        </w:rPr>
        <w:t>Records; Audits</w:t>
      </w:r>
      <w:r>
        <w:rPr>
          <w:rFonts w:ascii="Arial" w:cs="Arial" w:eastAsia="Arial" w:hAnsi="Arial"/>
          <w:sz w:val="19"/>
          <w:szCs w:val="19"/>
          <w:color w:val="auto"/>
        </w:rPr>
        <w:t>.</w:t>
      </w:r>
    </w:p>
    <w:p>
      <w:pPr>
        <w:spacing w:after="0" w:line="194" w:lineRule="exact"/>
        <w:rPr>
          <w:sz w:val="20"/>
          <w:szCs w:val="20"/>
          <w:color w:val="auto"/>
        </w:rPr>
      </w:pPr>
    </w:p>
    <w:p>
      <w:pPr>
        <w:jc w:val="both"/>
        <w:ind w:firstLine="1296"/>
        <w:spacing w:after="0" w:line="228" w:lineRule="auto"/>
        <w:tabs>
          <w:tab w:leader="none" w:pos="1901"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Hansoh shall, and shall cause its Affiliates and their respective sublicensees, to maintain complete and accurate records in accordance with Accounting Standards and in sufficient detail to permit Keros to confirm the accuracy of the calculation of royalty payments and the achievement of the milestone events. All payments and other amounts under this Agreement shall be accounted for in accordance with Accounting Standards. Upon reasonable prior notice, such records shall be available for examination during regular business hours for a period of [***] from the end of the calendar year to which they pertain, and not more often than [***] each calendar year, by an independent certified public accountant selected by Keros and reasonably acceptable to Hansoh, for the sole purpose of verifying the accuracy of the financial reports furnished by Hansoh pursuant to this Agreement and any payments with respect thereto. Any such auditor shall not disclose Hansoh’s Confidential Information, except to the extent such disclosure is necessary to verify the accuracy of the financial reports furnished by Hansoh or the amount of payments due under this Agreement. Any amounts shown to be owed but unpaid shall be paid within [***] from the accountant’s report, [***] from the original due date. Keros shall bear the full cost of such audit unless such audit discloses an underpayment by Hansoh of more than [***] of the amount due for the audited period, in which case Hansoh shall bear the full cost of such audit.</w:t>
      </w:r>
    </w:p>
    <w:p>
      <w:pPr>
        <w:spacing w:after="0" w:line="166" w:lineRule="exact"/>
        <w:rPr>
          <w:rFonts w:ascii="Arial" w:cs="Arial" w:eastAsia="Arial" w:hAnsi="Arial"/>
          <w:sz w:val="20"/>
          <w:szCs w:val="20"/>
          <w:b w:val="1"/>
          <w:bCs w:val="1"/>
          <w:color w:val="auto"/>
        </w:rPr>
      </w:pPr>
    </w:p>
    <w:p>
      <w:pPr>
        <w:jc w:val="both"/>
        <w:ind w:firstLine="1296"/>
        <w:spacing w:after="0" w:line="234" w:lineRule="auto"/>
        <w:tabs>
          <w:tab w:leader="none" w:pos="1846" w:val="left"/>
        </w:tabs>
        <w:numPr>
          <w:ilvl w:val="0"/>
          <w:numId w:val="107"/>
        </w:numPr>
        <w:rPr>
          <w:rFonts w:ascii="Arial" w:cs="Arial" w:eastAsia="Arial" w:hAnsi="Arial"/>
          <w:sz w:val="20"/>
          <w:szCs w:val="20"/>
          <w:b w:val="1"/>
          <w:bCs w:val="1"/>
          <w:color w:val="auto"/>
        </w:rPr>
      </w:pPr>
      <w:r>
        <w:rPr>
          <w:rFonts w:ascii="Arial" w:cs="Arial" w:eastAsia="Arial" w:hAnsi="Arial"/>
          <w:sz w:val="20"/>
          <w:szCs w:val="20"/>
          <w:color w:val="auto"/>
        </w:rPr>
        <w:t>Keros shall, and shall require its Affiliates and its and their respective employees, agents and contractors, maintain complete and accurate records with respect to Keros’ pharmacovigilance-related obligations set forth in Section 5.8. Upon reasonable prior notice, such records shall be available for examination during regular business hours for a period of [***] from the end of the calendar year to which they pertain, and not more often than [***] each calendar year, by Hansoh or its designee that is reasonably acceptable to Keros, for the sole purpose of ensuring compliance with NMPA and other Regulatory Authority regulations. Any such records shall be deemed Confidential Information of Keros.</w:t>
      </w:r>
    </w:p>
    <w:p>
      <w:pPr>
        <w:spacing w:after="0" w:line="15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8.10</w:t>
      </w:r>
      <w:r>
        <w:rPr>
          <w:sz w:val="20"/>
          <w:szCs w:val="20"/>
          <w:color w:val="auto"/>
        </w:rPr>
        <w:tab/>
      </w:r>
      <w:r>
        <w:rPr>
          <w:rFonts w:ascii="Arial" w:cs="Arial" w:eastAsia="Arial" w:hAnsi="Arial"/>
          <w:sz w:val="17"/>
          <w:szCs w:val="17"/>
          <w:b w:val="1"/>
          <w:bCs w:val="1"/>
          <w:color w:val="auto"/>
        </w:rPr>
        <w:t>Taxes</w:t>
      </w:r>
      <w:r>
        <w:rPr>
          <w:rFonts w:ascii="Arial" w:cs="Arial" w:eastAsia="Arial" w:hAnsi="Arial"/>
          <w:sz w:val="17"/>
          <w:szCs w:val="17"/>
          <w:color w:val="auto"/>
        </w:rPr>
        <w:t>.</w:t>
      </w:r>
    </w:p>
    <w:p>
      <w:pPr>
        <w:spacing w:after="0" w:line="188" w:lineRule="exact"/>
        <w:rPr>
          <w:sz w:val="20"/>
          <w:szCs w:val="20"/>
          <w:color w:val="auto"/>
        </w:rPr>
      </w:pPr>
    </w:p>
    <w:p>
      <w:pPr>
        <w:ind w:firstLine="1296"/>
        <w:spacing w:after="0" w:line="251" w:lineRule="auto"/>
        <w:tabs>
          <w:tab w:leader="none" w:pos="1759"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color w:val="auto"/>
        </w:rPr>
        <w:t>Taxes on Income</w:t>
      </w:r>
      <w:r>
        <w:rPr>
          <w:rFonts w:ascii="Arial" w:cs="Arial" w:eastAsia="Arial" w:hAnsi="Arial"/>
          <w:sz w:val="21"/>
          <w:szCs w:val="21"/>
          <w:color w:val="auto"/>
        </w:rPr>
        <w:t>. Subject to the provisions of this Section 8.10, each Party shall be solely responsible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of all taxes imposed on its net income by Applicable Law.</w:t>
      </w:r>
    </w:p>
    <w:p>
      <w:pPr>
        <w:spacing w:after="0" w:line="139" w:lineRule="exact"/>
        <w:rPr>
          <w:rFonts w:ascii="Arial" w:cs="Arial" w:eastAsia="Arial" w:hAnsi="Arial"/>
          <w:sz w:val="21"/>
          <w:szCs w:val="21"/>
          <w:b w:val="1"/>
          <w:bCs w:val="1"/>
          <w:color w:val="auto"/>
        </w:rPr>
      </w:pPr>
    </w:p>
    <w:p>
      <w:pPr>
        <w:jc w:val="both"/>
        <w:ind w:firstLine="1296"/>
        <w:spacing w:after="0" w:line="233" w:lineRule="auto"/>
        <w:tabs>
          <w:tab w:leader="none" w:pos="1826"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Tax Cooperation</w:t>
      </w:r>
      <w:r>
        <w:rPr>
          <w:rFonts w:ascii="Arial" w:cs="Arial" w:eastAsia="Arial" w:hAnsi="Arial"/>
          <w:sz w:val="20"/>
          <w:szCs w:val="20"/>
          <w:color w:val="auto"/>
        </w:rPr>
        <w:t>. The Parties agree to cooperate with one another and use reasonable efforts to reduce or</w:t>
      </w:r>
      <w:r>
        <w:rPr>
          <w:rFonts w:ascii="Arial" w:cs="Arial" w:eastAsia="Arial" w:hAnsi="Arial"/>
          <w:sz w:val="20"/>
          <w:szCs w:val="20"/>
          <w:b w:val="1"/>
          <w:bCs w:val="1"/>
          <w:color w:val="auto"/>
        </w:rPr>
        <w:t xml:space="preserve"> </w:t>
      </w:r>
      <w:r>
        <w:rPr>
          <w:rFonts w:ascii="Arial" w:cs="Arial" w:eastAsia="Arial" w:hAnsi="Arial"/>
          <w:sz w:val="20"/>
          <w:szCs w:val="20"/>
          <w:color w:val="auto"/>
        </w:rPr>
        <w:t>eliminate Tax Withholding or similar obligations in respect of payments made by Hansoh to Keros under this Agreement (including pursuant to Sections 8.1, 8.2, 8.3, 8.4 and 8.6). To the extent Hansoh is required to deduct and withhold taxes (including without limitation Enterprise Income Tax) from any amount payable to Keros, Hansoh shall pay the amounts of such taxes to the proper Governmental Authority in a timely manner, deduct the amounts of taxes paid from the amount due to Keros, and promptly transmit to Keros a tax payment receipt, along with an English translation of such receipt, at Hansoh’s cost, or other evidence of such withholding. Any such taxes paid to the proper Governmental Authority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93" w:right="339" w:bottom="1440" w:gutter="0" w:footer="0" w:header="0"/>
        </w:sectPr>
      </w:pPr>
    </w:p>
    <w:bookmarkStart w:id="170" w:name="page171"/>
    <w:bookmarkEnd w:id="170"/>
    <w:p>
      <w:pPr>
        <w:jc w:val="both"/>
        <w:spacing w:after="0" w:line="227" w:lineRule="auto"/>
        <w:rPr>
          <w:sz w:val="20"/>
          <w:szCs w:val="20"/>
          <w:color w:val="auto"/>
        </w:rPr>
      </w:pPr>
      <w:r>
        <w:rPr>
          <w:rFonts w:ascii="Arial" w:cs="Arial" w:eastAsia="Arial" w:hAnsi="Arial"/>
          <w:sz w:val="20"/>
          <w:szCs w:val="20"/>
          <w:color w:val="auto"/>
        </w:rPr>
        <w:t>be treated for all purposes of this Agreement as having been paid to Keros and will be an expense of and borne by Keros. Hansoh shall use Commercially Reasonable Efforts to inform Keros of any forms, certificates or other items that would reduce or eliminate any withholding, and provide Keros a reasonable opportunity to provide such forms, certificate or other items. Keros shall promptly provide to Hansoh any tax forms and such other documents that may be reasonably necessary in order for Hansoh not to withhold tax or to withhold tax at a reduced rate under an applicable bilateral income tax treaty. Each Party shall provide the other with reasonable assistance to enable the recovery, as permitted by Applicable Law, of withholding taxes, VAT or similar obligations resulting from payments made under this Agreement, such recovery to be for the benefit of the Party bearing such withholding tax or VAT. Notwithstanding anything to the contrary in this Agreement, if Hansoh is required under Applicable Law to deduct and withhold taxes from payments made to Keros, and if the withholding or deduction of taxes required by Applicable Law with respect to such payment under this Agreement arises or is increased solely as a result of Hansoh assigning or transferring some or all of its rights or obligations to any other Person pursuant to Section 15.5 or change of Hansoh’s tax residency (each a “</w:t>
      </w:r>
      <w:r>
        <w:rPr>
          <w:rFonts w:ascii="Arial" w:cs="Arial" w:eastAsia="Arial" w:hAnsi="Arial"/>
          <w:sz w:val="20"/>
          <w:szCs w:val="20"/>
          <w:b w:val="1"/>
          <w:bCs w:val="1"/>
          <w:color w:val="auto"/>
        </w:rPr>
        <w:t>Withholding Tax Action</w:t>
      </w:r>
      <w:r>
        <w:rPr>
          <w:rFonts w:ascii="Arial" w:cs="Arial" w:eastAsia="Arial" w:hAnsi="Arial"/>
          <w:sz w:val="20"/>
          <w:szCs w:val="20"/>
          <w:color w:val="auto"/>
        </w:rPr>
        <w:t xml:space="preserve">”), and it is not possible for such withholding to be reduced or eliminated through the cooperation of the Parties prior to the making a payment, then any amount payable under this Agreement shall be increased to take into account such withholding taxes as may be necessary so that, after making all required withholdings (including withholdings on the withheld amounts), Keros receives an amount equal to the sum it would have received had no such Withholding Tax Action occurred;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Keros claims or receives any credit, refund or repayment in respect of any tax withheld, it shall as soon as practicable make a payment to Hansoh such amount as shall leave Keros in the same position it would have been in had there been no such deduction or withholding.</w:t>
      </w:r>
    </w:p>
    <w:p>
      <w:pPr>
        <w:spacing w:after="0" w:line="159" w:lineRule="exact"/>
        <w:rPr>
          <w:sz w:val="20"/>
          <w:szCs w:val="20"/>
          <w:color w:val="auto"/>
        </w:rPr>
      </w:pPr>
    </w:p>
    <w:p>
      <w:pPr>
        <w:ind w:left="1740" w:hanging="444"/>
        <w:spacing w:after="0"/>
        <w:tabs>
          <w:tab w:leader="none" w:pos="1740"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color w:val="auto"/>
        </w:rPr>
        <w:t>VAT</w:t>
      </w:r>
      <w:r>
        <w:rPr>
          <w:rFonts w:ascii="Arial" w:cs="Arial" w:eastAsia="Arial" w:hAnsi="Arial"/>
          <w:sz w:val="21"/>
          <w:szCs w:val="21"/>
          <w:color w:val="auto"/>
        </w:rPr>
        <w:t>. [***].</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9</w:t>
      </w:r>
    </w:p>
    <w:p>
      <w:pPr>
        <w:jc w:val="center"/>
        <w:spacing w:after="0"/>
        <w:rPr>
          <w:sz w:val="20"/>
          <w:szCs w:val="20"/>
          <w:color w:val="auto"/>
        </w:rPr>
      </w:pPr>
      <w:r>
        <w:rPr>
          <w:rFonts w:ascii="Arial" w:cs="Arial" w:eastAsia="Arial" w:hAnsi="Arial"/>
          <w:sz w:val="21"/>
          <w:szCs w:val="21"/>
          <w:b w:val="1"/>
          <w:bCs w:val="1"/>
          <w:color w:val="auto"/>
        </w:rPr>
        <w:t>INTELLECTUAL PROPERTY MATTERS</w:t>
      </w:r>
    </w:p>
    <w:p>
      <w:pPr>
        <w:spacing w:after="0" w:line="16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9.1</w:t>
      </w:r>
      <w:r>
        <w:rPr>
          <w:sz w:val="20"/>
          <w:szCs w:val="20"/>
          <w:color w:val="auto"/>
        </w:rPr>
        <w:tab/>
      </w:r>
      <w:r>
        <w:rPr>
          <w:rFonts w:ascii="Arial" w:cs="Arial" w:eastAsia="Arial" w:hAnsi="Arial"/>
          <w:sz w:val="19"/>
          <w:szCs w:val="19"/>
          <w:b w:val="1"/>
          <w:bCs w:val="1"/>
          <w:color w:val="auto"/>
        </w:rPr>
        <w:t>Ownership.</w:t>
      </w:r>
    </w:p>
    <w:p>
      <w:pPr>
        <w:spacing w:after="0" w:line="188" w:lineRule="exact"/>
        <w:rPr>
          <w:sz w:val="20"/>
          <w:szCs w:val="20"/>
          <w:color w:val="auto"/>
        </w:rPr>
      </w:pPr>
    </w:p>
    <w:p>
      <w:pPr>
        <w:jc w:val="both"/>
        <w:ind w:firstLine="1296"/>
        <w:spacing w:after="0" w:line="249" w:lineRule="auto"/>
        <w:tabs>
          <w:tab w:leader="none" w:pos="1904" w:val="left"/>
        </w:tabs>
        <w:numPr>
          <w:ilvl w:val="0"/>
          <w:numId w:val="110"/>
        </w:numPr>
        <w:rPr>
          <w:rFonts w:ascii="Arial" w:cs="Arial" w:eastAsia="Arial" w:hAnsi="Arial"/>
          <w:sz w:val="20"/>
          <w:szCs w:val="20"/>
          <w:b w:val="1"/>
          <w:bCs w:val="1"/>
          <w:color w:val="auto"/>
        </w:rPr>
      </w:pPr>
      <w:r>
        <w:rPr>
          <w:rFonts w:ascii="Arial" w:cs="Arial" w:eastAsia="Arial" w:hAnsi="Arial"/>
          <w:sz w:val="20"/>
          <w:szCs w:val="20"/>
          <w:b w:val="1"/>
          <w:bCs w:val="1"/>
          <w:color w:val="auto"/>
        </w:rPr>
        <w:t>Background IP</w:t>
      </w:r>
      <w:r>
        <w:rPr>
          <w:rFonts w:ascii="Arial" w:cs="Arial" w:eastAsia="Arial" w:hAnsi="Arial"/>
          <w:sz w:val="20"/>
          <w:szCs w:val="20"/>
          <w:color w:val="auto"/>
        </w:rPr>
        <w:t>. Each Party shall own and retain all right, title, and interest in and to all Background</w:t>
      </w:r>
      <w:r>
        <w:rPr>
          <w:rFonts w:ascii="Arial" w:cs="Arial" w:eastAsia="Arial" w:hAnsi="Arial"/>
          <w:sz w:val="20"/>
          <w:szCs w:val="20"/>
          <w:b w:val="1"/>
          <w:bCs w:val="1"/>
          <w:color w:val="auto"/>
        </w:rPr>
        <w:t xml:space="preserve"> </w:t>
      </w:r>
      <w:r>
        <w:rPr>
          <w:rFonts w:ascii="Arial" w:cs="Arial" w:eastAsia="Arial" w:hAnsi="Arial"/>
          <w:sz w:val="20"/>
          <w:szCs w:val="20"/>
          <w:color w:val="auto"/>
        </w:rPr>
        <w:t>Intellectual Property Controlled by such Party. For clarity, Keros’ Background Intellectual Property excludes Keros Inventions, and Joint Inventions, and Hansoh’s Background Intellectual Property excludes Hansoh Inventions and Joint Inventions.</w:t>
      </w:r>
    </w:p>
    <w:p>
      <w:pPr>
        <w:spacing w:after="0" w:line="143" w:lineRule="exact"/>
        <w:rPr>
          <w:rFonts w:ascii="Arial" w:cs="Arial" w:eastAsia="Arial" w:hAnsi="Arial"/>
          <w:sz w:val="20"/>
          <w:szCs w:val="20"/>
          <w:b w:val="1"/>
          <w:bCs w:val="1"/>
          <w:color w:val="auto"/>
        </w:rPr>
      </w:pPr>
    </w:p>
    <w:p>
      <w:pPr>
        <w:ind w:left="1780" w:hanging="484"/>
        <w:spacing w:after="0"/>
        <w:tabs>
          <w:tab w:leader="none" w:pos="1780"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Inventions</w:t>
      </w:r>
      <w:r>
        <w:rPr>
          <w:rFonts w:ascii="Arial" w:cs="Arial" w:eastAsia="Arial" w:hAnsi="Arial"/>
          <w:sz w:val="21"/>
          <w:szCs w:val="21"/>
          <w:color w:val="auto"/>
        </w:rPr>
        <w:t>. Inventorship of any Inventions will be determined in accordance with U.S. patent laws.</w:t>
      </w:r>
    </w:p>
    <w:p>
      <w:pPr>
        <w:spacing w:after="0" w:line="187" w:lineRule="exact"/>
        <w:rPr>
          <w:rFonts w:ascii="Arial" w:cs="Arial" w:eastAsia="Arial" w:hAnsi="Arial"/>
          <w:sz w:val="21"/>
          <w:szCs w:val="21"/>
          <w:b w:val="1"/>
          <w:bCs w:val="1"/>
          <w:color w:val="auto"/>
        </w:rPr>
      </w:pPr>
    </w:p>
    <w:p>
      <w:pPr>
        <w:jc w:val="both"/>
        <w:ind w:firstLine="1940"/>
        <w:spacing w:after="0" w:line="222" w:lineRule="auto"/>
        <w:tabs>
          <w:tab w:leader="none" w:pos="2661" w:val="left"/>
        </w:tabs>
        <w:numPr>
          <w:ilvl w:val="1"/>
          <w:numId w:val="110"/>
        </w:numPr>
        <w:rPr>
          <w:rFonts w:ascii="Arial" w:cs="Arial" w:eastAsia="Arial" w:hAnsi="Arial"/>
          <w:sz w:val="21"/>
          <w:szCs w:val="21"/>
          <w:b w:val="1"/>
          <w:bCs w:val="1"/>
          <w:color w:val="auto"/>
        </w:rPr>
      </w:pPr>
      <w:r>
        <w:rPr>
          <w:rFonts w:ascii="Arial" w:cs="Arial" w:eastAsia="Arial" w:hAnsi="Arial"/>
          <w:sz w:val="21"/>
          <w:szCs w:val="21"/>
          <w:b w:val="1"/>
          <w:bCs w:val="1"/>
          <w:color w:val="auto"/>
        </w:rPr>
        <w:t>Keros Inventions</w:t>
      </w:r>
      <w:r>
        <w:rPr>
          <w:rFonts w:ascii="Arial" w:cs="Arial" w:eastAsia="Arial" w:hAnsi="Arial"/>
          <w:sz w:val="21"/>
          <w:szCs w:val="21"/>
          <w:color w:val="auto"/>
        </w:rPr>
        <w:t>. Any Inventions generated, developed, conceived or reduced to practice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(constructively or actually) solely by or on behalf of Keros, its Affiliates and their respective sublicensees, including their employees, agents and contractors pursuant to activities conducted under this Agreement or in connection with the Development, Manufacture, or Commercialization of any Licensed Product (“</w:t>
      </w:r>
      <w:r>
        <w:rPr>
          <w:rFonts w:ascii="Arial" w:cs="Arial" w:eastAsia="Arial" w:hAnsi="Arial"/>
          <w:sz w:val="21"/>
          <w:szCs w:val="21"/>
          <w:b w:val="1"/>
          <w:bCs w:val="1"/>
          <w:color w:val="auto"/>
        </w:rPr>
        <w:t>Keros Inventions</w:t>
      </w:r>
      <w:r>
        <w:rPr>
          <w:rFonts w:ascii="Arial" w:cs="Arial" w:eastAsia="Arial" w:hAnsi="Arial"/>
          <w:sz w:val="21"/>
          <w:szCs w:val="21"/>
          <w:color w:val="auto"/>
        </w:rPr>
        <w:t>”) shall be solely and exclusively owned by Keros. Keros shall promptly disclose to Hansoh in writing all Keros Inventions [***] for Hansoh to Develop, Manufacture, or Commercialize Licensed Products. For the avoidance of doubt, all Keros Inventions shall be Keros Licensed Know-How or Keros Patents, as applicable.</w:t>
      </w:r>
    </w:p>
    <w:p>
      <w:pPr>
        <w:spacing w:after="0" w:line="154" w:lineRule="exact"/>
        <w:rPr>
          <w:rFonts w:ascii="Arial" w:cs="Arial" w:eastAsia="Arial" w:hAnsi="Arial"/>
          <w:sz w:val="21"/>
          <w:szCs w:val="21"/>
          <w:b w:val="1"/>
          <w:bCs w:val="1"/>
          <w:color w:val="auto"/>
        </w:rPr>
      </w:pPr>
    </w:p>
    <w:p>
      <w:pPr>
        <w:jc w:val="both"/>
        <w:ind w:firstLine="1940"/>
        <w:spacing w:after="0" w:line="269" w:lineRule="auto"/>
        <w:tabs>
          <w:tab w:leader="none" w:pos="2657" w:val="left"/>
        </w:tabs>
        <w:numPr>
          <w:ilvl w:val="1"/>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Hansoh Inventions</w:t>
      </w:r>
      <w:r>
        <w:rPr>
          <w:rFonts w:ascii="Arial" w:cs="Arial" w:eastAsia="Arial" w:hAnsi="Arial"/>
          <w:sz w:val="19"/>
          <w:szCs w:val="19"/>
          <w:color w:val="auto"/>
        </w:rPr>
        <w:t>. Any Inventions generated, developed, conceived or reduced to practice</w:t>
      </w:r>
      <w:r>
        <w:rPr>
          <w:rFonts w:ascii="Arial" w:cs="Arial" w:eastAsia="Arial" w:hAnsi="Arial"/>
          <w:sz w:val="19"/>
          <w:szCs w:val="19"/>
          <w:b w:val="1"/>
          <w:bCs w:val="1"/>
          <w:color w:val="auto"/>
        </w:rPr>
        <w:t xml:space="preserve"> </w:t>
      </w:r>
      <w:r>
        <w:rPr>
          <w:rFonts w:ascii="Arial" w:cs="Arial" w:eastAsia="Arial" w:hAnsi="Arial"/>
          <w:sz w:val="19"/>
          <w:szCs w:val="19"/>
          <w:color w:val="auto"/>
        </w:rPr>
        <w:t>(constructively or actually) solely by or on behalf of Hansoh, its Affiliates and their respective sublicensees, including their employees, agents and contractors pursuant to activities conducted under this Agreement or in connection with the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93" w:right="339" w:bottom="1440" w:gutter="0" w:footer="0" w:header="0"/>
        </w:sectPr>
      </w:pPr>
    </w:p>
    <w:bookmarkStart w:id="171" w:name="page172"/>
    <w:bookmarkEnd w:id="171"/>
    <w:p>
      <w:pPr>
        <w:jc w:val="both"/>
        <w:spacing w:after="0" w:line="231" w:lineRule="auto"/>
        <w:rPr>
          <w:sz w:val="20"/>
          <w:szCs w:val="20"/>
          <w:color w:val="auto"/>
        </w:rPr>
      </w:pPr>
      <w:r>
        <w:rPr>
          <w:rFonts w:ascii="Arial" w:cs="Arial" w:eastAsia="Arial" w:hAnsi="Arial"/>
          <w:sz w:val="20"/>
          <w:szCs w:val="20"/>
          <w:color w:val="auto"/>
        </w:rPr>
        <w:t>Manufacture, or Commercialization of any Licensed Product (“</w:t>
      </w:r>
      <w:r>
        <w:rPr>
          <w:rFonts w:ascii="Arial" w:cs="Arial" w:eastAsia="Arial" w:hAnsi="Arial"/>
          <w:sz w:val="20"/>
          <w:szCs w:val="20"/>
          <w:b w:val="1"/>
          <w:bCs w:val="1"/>
          <w:color w:val="auto"/>
        </w:rPr>
        <w:t>Hansoh Inventions</w:t>
      </w:r>
      <w:r>
        <w:rPr>
          <w:rFonts w:ascii="Arial" w:cs="Arial" w:eastAsia="Arial" w:hAnsi="Arial"/>
          <w:sz w:val="20"/>
          <w:szCs w:val="20"/>
          <w:color w:val="auto"/>
        </w:rPr>
        <w:t>”) shall be solely and exclusively owned by Hansoh. Hansoh shall promptly disclose all Hansoh Inventions to Keros in writing. Hansoh hereby grants Keros a non-exclusive, royalty-free, fully paid up, perpetual, irrevocable (subject to Section 13.7(a)) license, with the right to grant sublicenses through multiple tiers, under all Hansoh Technology and Background Intellectual Property of Hansoh [***] for the Development, Manufacture and Commercialization of Licensed Products in the Keros Territory, such license to Background Intellectual Property of Hansoh being limited solely to Develop, Manufacture, and Commercialize Licensed Products in the Keros Territory in an Indication or Additional Indication pursued by Hansoh in the Hansoh Territory. If the grant of the license from Hansoh to Keros under this Section 9.1(b)(ii) requires or triggers a payment obligation to a Third Party, Keros may assume any such payment obligation subject to the terms and conditions of Section 2.7.</w:t>
      </w:r>
    </w:p>
    <w:p>
      <w:pPr>
        <w:spacing w:after="0" w:line="182" w:lineRule="exact"/>
        <w:rPr>
          <w:sz w:val="20"/>
          <w:szCs w:val="20"/>
          <w:color w:val="auto"/>
        </w:rPr>
      </w:pPr>
    </w:p>
    <w:p>
      <w:pPr>
        <w:jc w:val="both"/>
        <w:ind w:firstLine="1940"/>
        <w:spacing w:after="0" w:line="224" w:lineRule="auto"/>
        <w:tabs>
          <w:tab w:leader="none" w:pos="2770" w:val="left"/>
        </w:tabs>
        <w:numPr>
          <w:ilvl w:val="1"/>
          <w:numId w:val="111"/>
        </w:numPr>
        <w:rPr>
          <w:rFonts w:ascii="Arial" w:cs="Arial" w:eastAsia="Arial" w:hAnsi="Arial"/>
          <w:sz w:val="21"/>
          <w:szCs w:val="21"/>
          <w:b w:val="1"/>
          <w:bCs w:val="1"/>
          <w:color w:val="auto"/>
        </w:rPr>
      </w:pPr>
      <w:r>
        <w:rPr>
          <w:rFonts w:ascii="Arial" w:cs="Arial" w:eastAsia="Arial" w:hAnsi="Arial"/>
          <w:sz w:val="21"/>
          <w:szCs w:val="21"/>
          <w:b w:val="1"/>
          <w:bCs w:val="1"/>
          <w:color w:val="auto"/>
        </w:rPr>
        <w:t>Joint Inventions</w:t>
      </w:r>
      <w:r>
        <w:rPr>
          <w:rFonts w:ascii="Arial" w:cs="Arial" w:eastAsia="Arial" w:hAnsi="Arial"/>
          <w:sz w:val="21"/>
          <w:szCs w:val="21"/>
          <w:color w:val="auto"/>
        </w:rPr>
        <w:t>. Any Inventions generated, developed, conceived or reduced to practice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(constructively or actually) jointly by or on behalf of Hansoh and Keros, their Affiliates and respective sublicensees, including their employees, agents and contractors (“</w:t>
      </w:r>
      <w:r>
        <w:rPr>
          <w:rFonts w:ascii="Arial" w:cs="Arial" w:eastAsia="Arial" w:hAnsi="Arial"/>
          <w:sz w:val="21"/>
          <w:szCs w:val="21"/>
          <w:b w:val="1"/>
          <w:bCs w:val="1"/>
          <w:color w:val="auto"/>
        </w:rPr>
        <w:t>Joint Inventions</w:t>
      </w:r>
      <w:r>
        <w:rPr>
          <w:rFonts w:ascii="Arial" w:cs="Arial" w:eastAsia="Arial" w:hAnsi="Arial"/>
          <w:sz w:val="21"/>
          <w:szCs w:val="21"/>
          <w:color w:val="auto"/>
        </w:rPr>
        <w:t>”) shall be jointly owned by the Parties. For clarity, each Party shall have an undivided, one-half interest in and to each Joint Invention and the right to use and otherwise exploit any such Joint Invention without accounting to the other Party. Each Party shall promptly disclose Joint Inventions developed by its Representatives to the other Party.</w:t>
      </w:r>
    </w:p>
    <w:p>
      <w:pPr>
        <w:spacing w:after="0" w:line="150" w:lineRule="exact"/>
        <w:rPr>
          <w:rFonts w:ascii="Arial" w:cs="Arial" w:eastAsia="Arial" w:hAnsi="Arial"/>
          <w:sz w:val="21"/>
          <w:szCs w:val="21"/>
          <w:b w:val="1"/>
          <w:bCs w:val="1"/>
          <w:color w:val="auto"/>
        </w:rPr>
      </w:pPr>
    </w:p>
    <w:p>
      <w:pPr>
        <w:jc w:val="both"/>
        <w:ind w:firstLine="1296"/>
        <w:spacing w:after="0" w:line="226" w:lineRule="auto"/>
        <w:tabs>
          <w:tab w:leader="none" w:pos="1882"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Hansoh’s Affiliates, Sublicensees and Subcontractors</w:t>
      </w:r>
      <w:r>
        <w:rPr>
          <w:rFonts w:ascii="Arial" w:cs="Arial" w:eastAsia="Arial" w:hAnsi="Arial"/>
          <w:sz w:val="21"/>
          <w:szCs w:val="21"/>
          <w:color w:val="auto"/>
        </w:rPr>
        <w:t>. Hansoh shall ensure that each of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and subcontractors under this Agreement has a contractual obligation to disclose to Hansoh all Data, Product Materials and Inventions generated, invented, discovered, developed, made or otherwise created by them or their employees, agents or independent contractors, and to provide sufficient rights with respect thereto, to the extent necessary for Hansoh to comply with its obligations under this Article 9.</w:t>
      </w:r>
    </w:p>
    <w:p>
      <w:pPr>
        <w:spacing w:after="0" w:line="15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9.2</w:t>
      </w:r>
      <w:r>
        <w:rPr>
          <w:sz w:val="20"/>
          <w:szCs w:val="20"/>
          <w:color w:val="auto"/>
        </w:rPr>
        <w:tab/>
      </w:r>
      <w:r>
        <w:rPr>
          <w:rFonts w:ascii="Arial" w:cs="Arial" w:eastAsia="Arial" w:hAnsi="Arial"/>
          <w:sz w:val="18"/>
          <w:szCs w:val="18"/>
          <w:b w:val="1"/>
          <w:bCs w:val="1"/>
          <w:color w:val="auto"/>
        </w:rPr>
        <w:t>Patent Prosecution</w:t>
      </w:r>
      <w:r>
        <w:rPr>
          <w:rFonts w:ascii="Arial" w:cs="Arial" w:eastAsia="Arial" w:hAnsi="Arial"/>
          <w:sz w:val="18"/>
          <w:szCs w:val="18"/>
          <w:color w:val="auto"/>
        </w:rPr>
        <w:t>.</w:t>
      </w:r>
    </w:p>
    <w:p>
      <w:pPr>
        <w:spacing w:after="0" w:line="188" w:lineRule="exact"/>
        <w:rPr>
          <w:sz w:val="20"/>
          <w:szCs w:val="20"/>
          <w:color w:val="auto"/>
        </w:rPr>
      </w:pPr>
    </w:p>
    <w:p>
      <w:pPr>
        <w:jc w:val="both"/>
        <w:ind w:firstLine="1296"/>
        <w:spacing w:after="0" w:line="229" w:lineRule="auto"/>
        <w:tabs>
          <w:tab w:leader="none" w:pos="1834"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w:t>
      </w:r>
      <w:r>
        <w:rPr>
          <w:rFonts w:ascii="Arial" w:cs="Arial" w:eastAsia="Arial" w:hAnsi="Arial"/>
          <w:sz w:val="21"/>
          <w:szCs w:val="21"/>
          <w:color w:val="auto"/>
        </w:rPr>
        <w:t>. For the purpose of this Article 9, “prosecution” (and all correlative forms of “prosecution”) of</w:t>
      </w:r>
      <w:r>
        <w:rPr>
          <w:rFonts w:ascii="Arial" w:cs="Arial" w:eastAsia="Arial" w:hAnsi="Arial"/>
          <w:sz w:val="21"/>
          <w:szCs w:val="21"/>
          <w:b w:val="1"/>
          <w:bCs w:val="1"/>
          <w:color w:val="auto"/>
        </w:rPr>
        <w:t xml:space="preserve"> </w:t>
      </w:r>
      <w:r>
        <w:rPr>
          <w:rFonts w:ascii="Arial" w:cs="Arial" w:eastAsia="Arial" w:hAnsi="Arial"/>
          <w:sz w:val="21"/>
          <w:szCs w:val="21"/>
          <w:color w:val="auto"/>
        </w:rPr>
        <w:t>Patents shall include, without limitation, all communication and other interaction with any patent office or patent authority having jurisdiction over a Patent application throughout the world in connection with any pre-grant proceedings and post-grant proceeding, including opposition proceedings.</w:t>
      </w:r>
    </w:p>
    <w:p>
      <w:pPr>
        <w:spacing w:after="0" w:line="152" w:lineRule="exact"/>
        <w:rPr>
          <w:rFonts w:ascii="Arial" w:cs="Arial" w:eastAsia="Arial" w:hAnsi="Arial"/>
          <w:sz w:val="21"/>
          <w:szCs w:val="21"/>
          <w:b w:val="1"/>
          <w:bCs w:val="1"/>
          <w:color w:val="auto"/>
        </w:rPr>
      </w:pPr>
    </w:p>
    <w:p>
      <w:pPr>
        <w:ind w:left="1780" w:hanging="484"/>
        <w:spacing w:after="0"/>
        <w:tabs>
          <w:tab w:leader="none" w:pos="1780"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Keros Licensed Patents; Joint Patents</w:t>
      </w:r>
      <w:r>
        <w:rPr>
          <w:rFonts w:ascii="Arial" w:cs="Arial" w:eastAsia="Arial" w:hAnsi="Arial"/>
          <w:sz w:val="21"/>
          <w:szCs w:val="21"/>
          <w:color w:val="auto"/>
        </w:rPr>
        <w:t>. As between the Parties, [***].</w:t>
      </w:r>
    </w:p>
    <w:p>
      <w:pPr>
        <w:spacing w:after="0" w:line="187" w:lineRule="exact"/>
        <w:rPr>
          <w:rFonts w:ascii="Arial" w:cs="Arial" w:eastAsia="Arial" w:hAnsi="Arial"/>
          <w:sz w:val="21"/>
          <w:szCs w:val="21"/>
          <w:b w:val="1"/>
          <w:bCs w:val="1"/>
          <w:color w:val="auto"/>
        </w:rPr>
      </w:pPr>
    </w:p>
    <w:p>
      <w:pPr>
        <w:ind w:left="1740" w:hanging="444"/>
        <w:spacing w:after="0"/>
        <w:tabs>
          <w:tab w:leader="none" w:pos="1740"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Hansoh Patents</w:t>
      </w:r>
      <w:r>
        <w:rPr>
          <w:rFonts w:ascii="Arial" w:cs="Arial" w:eastAsia="Arial" w:hAnsi="Arial"/>
          <w:sz w:val="21"/>
          <w:szCs w:val="21"/>
          <w:color w:val="auto"/>
        </w:rPr>
        <w:t>. As between the Parties, [***].</w:t>
      </w:r>
    </w:p>
    <w:p>
      <w:pPr>
        <w:spacing w:after="0" w:line="187" w:lineRule="exact"/>
        <w:rPr>
          <w:rFonts w:ascii="Arial" w:cs="Arial" w:eastAsia="Arial" w:hAnsi="Arial"/>
          <w:sz w:val="21"/>
          <w:szCs w:val="21"/>
          <w:b w:val="1"/>
          <w:bCs w:val="1"/>
          <w:color w:val="auto"/>
        </w:rPr>
      </w:pPr>
    </w:p>
    <w:p>
      <w:pPr>
        <w:jc w:val="both"/>
        <w:ind w:firstLine="1296"/>
        <w:spacing w:after="0" w:line="219" w:lineRule="auto"/>
        <w:tabs>
          <w:tab w:leader="none" w:pos="1916"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color w:val="auto"/>
        </w:rPr>
        <w:t>Step-In Rights</w:t>
      </w:r>
      <w:r>
        <w:rPr>
          <w:rFonts w:ascii="Arial" w:cs="Arial" w:eastAsia="Arial" w:hAnsi="Arial"/>
          <w:sz w:val="21"/>
          <w:szCs w:val="21"/>
          <w:color w:val="auto"/>
        </w:rPr>
        <w:t>. If either Party elects, at its sole discretion, to cease preparation, filing, prosecution or</w:t>
      </w:r>
      <w:r>
        <w:rPr>
          <w:rFonts w:ascii="Arial" w:cs="Arial" w:eastAsia="Arial" w:hAnsi="Arial"/>
          <w:sz w:val="21"/>
          <w:szCs w:val="21"/>
          <w:b w:val="1"/>
          <w:bCs w:val="1"/>
          <w:color w:val="auto"/>
        </w:rPr>
        <w:t xml:space="preserve"> </w:t>
      </w:r>
      <w:r>
        <w:rPr>
          <w:rFonts w:ascii="Arial" w:cs="Arial" w:eastAsia="Arial" w:hAnsi="Arial"/>
          <w:sz w:val="21"/>
          <w:szCs w:val="21"/>
          <w:color w:val="auto"/>
        </w:rPr>
        <w:t>maintenance of any Patent that such Party is responsible for preparing, filing, prosecuting or maintaining pursuant to this Section 9.2 in a country or Region in such Party’s Territory, such Party shall use Commercially Reasonable Efforts to notify the other Party at least [***] in advance of any relevant filing or payment deadline, and the other Party shall have the right, but not the obligation, at its sole discretion and cost, to continue preparation, filing, prosecution or maintenance of such Patent and in such country or Region (“</w:t>
      </w:r>
      <w:r>
        <w:rPr>
          <w:rFonts w:ascii="Arial" w:cs="Arial" w:eastAsia="Arial" w:hAnsi="Arial"/>
          <w:sz w:val="21"/>
          <w:szCs w:val="21"/>
          <w:b w:val="1"/>
          <w:bCs w:val="1"/>
          <w:color w:val="auto"/>
        </w:rPr>
        <w:t>Step-In Rights</w:t>
      </w:r>
      <w:r>
        <w:rPr>
          <w:rFonts w:ascii="Arial" w:cs="Arial" w:eastAsia="Arial" w:hAnsi="Arial"/>
          <w:sz w:val="21"/>
          <w:szCs w:val="21"/>
          <w:color w:val="auto"/>
        </w:rPr>
        <w:t>”). If such other Party exercises any such Step-In Right, (i) the responsible Party shall transfer the applicable patent files to the other Party or its designee and execute such documents and perform such acts, at such other Party’s expense, as may be reasonably necessary to allow such other Party to initiate or continue such preparation, filing, prosecution or maintenance at its expense; and (ii) such other Party shall provide the responsible Party reasonable opportunity to review and comment on such preparation, filing, prosecution, and maintenance efforts, including, (A) providing the responsible Party with copies of all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387" w:right="339" w:bottom="1440" w:gutter="0" w:footer="0" w:header="0"/>
        </w:sectPr>
      </w:pPr>
    </w:p>
    <w:bookmarkStart w:id="172" w:name="page173"/>
    <w:bookmarkEnd w:id="172"/>
    <w:p>
      <w:pPr>
        <w:jc w:val="both"/>
        <w:spacing w:after="0" w:line="223" w:lineRule="auto"/>
        <w:rPr>
          <w:sz w:val="20"/>
          <w:szCs w:val="20"/>
          <w:color w:val="auto"/>
        </w:rPr>
      </w:pPr>
      <w:r>
        <w:rPr>
          <w:rFonts w:ascii="Arial" w:cs="Arial" w:eastAsia="Arial" w:hAnsi="Arial"/>
          <w:sz w:val="21"/>
          <w:szCs w:val="21"/>
          <w:color w:val="auto"/>
        </w:rPr>
        <w:t xml:space="preserve">material communications from and to any applicable patent authority in the Hansoh Territory with respect thereto; (B) providing the responsible Party, for its review and comment, with drafts of any material filings or responses to be made to such patent authorities in a reasonable amount of time in advance of submitting such filings or responses; and (C) reasonably considering and reasonably implementing in good faith comments thereto provided by the responsible Party in connection with the filing and prosecution thereof. If Hansoh exercises any such Step-In Right with respect to any Keros Licensed Patents in the Hansoh Territory at [***],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w:t>
      </w:r>
    </w:p>
    <w:p>
      <w:pPr>
        <w:spacing w:after="0" w:line="157" w:lineRule="exact"/>
        <w:rPr>
          <w:sz w:val="20"/>
          <w:szCs w:val="20"/>
          <w:color w:val="auto"/>
        </w:rPr>
      </w:pPr>
    </w:p>
    <w:p>
      <w:pPr>
        <w:jc w:val="both"/>
        <w:ind w:firstLine="1296"/>
        <w:spacing w:after="0" w:line="246" w:lineRule="auto"/>
        <w:tabs>
          <w:tab w:leader="none" w:pos="1876" w:val="left"/>
        </w:tabs>
        <w:numPr>
          <w:ilvl w:val="0"/>
          <w:numId w:val="114"/>
        </w:numPr>
        <w:rPr>
          <w:rFonts w:ascii="Arial" w:cs="Arial" w:eastAsia="Arial" w:hAnsi="Arial"/>
          <w:sz w:val="20"/>
          <w:szCs w:val="20"/>
          <w:b w:val="1"/>
          <w:bCs w:val="1"/>
          <w:color w:val="auto"/>
        </w:rPr>
      </w:pPr>
      <w:r>
        <w:rPr>
          <w:rFonts w:ascii="Arial" w:cs="Arial" w:eastAsia="Arial" w:hAnsi="Arial"/>
          <w:sz w:val="20"/>
          <w:szCs w:val="20"/>
          <w:color w:val="auto"/>
        </w:rPr>
        <w:t>Cooperation. Each Party shall provide the other Party, at the other Parties’ expense, with all reasonable assistance and cooperation in the patent filing and prosecution efforts set forth in this Section 9.2, including providing any necessary powers of attorney and executing any other required documents or instruments for such prosecution.</w:t>
      </w:r>
    </w:p>
    <w:p>
      <w:pPr>
        <w:spacing w:after="0" w:line="146" w:lineRule="exact"/>
        <w:rPr>
          <w:sz w:val="20"/>
          <w:szCs w:val="20"/>
          <w:color w:val="auto"/>
        </w:rPr>
      </w:pPr>
    </w:p>
    <w:p>
      <w:pPr>
        <w:jc w:val="both"/>
        <w:ind w:firstLine="644"/>
        <w:spacing w:after="0" w:line="242" w:lineRule="auto"/>
        <w:rPr>
          <w:sz w:val="20"/>
          <w:szCs w:val="20"/>
          <w:color w:val="auto"/>
        </w:rPr>
      </w:pPr>
      <w:r>
        <w:rPr>
          <w:rFonts w:ascii="Arial" w:cs="Arial" w:eastAsia="Arial" w:hAnsi="Arial"/>
          <w:sz w:val="19"/>
          <w:szCs w:val="19"/>
          <w:b w:val="1"/>
          <w:bCs w:val="1"/>
          <w:color w:val="auto"/>
        </w:rPr>
        <w:t>9.3 Patent Term Extensions in the Hansoh Territory</w:t>
      </w:r>
      <w:r>
        <w:rPr>
          <w:rFonts w:ascii="Arial" w:cs="Arial" w:eastAsia="Arial" w:hAnsi="Arial"/>
          <w:sz w:val="19"/>
          <w:szCs w:val="19"/>
          <w:color w:val="auto"/>
        </w:rPr>
        <w:t>. The JCC will discuss and recommend for which, if any,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Patents within the Hansoh Patents (to the extent such Patent Covers a Licensed Product), Keros Licensed Patents, or Joint Patents in the Hansoh Territory the Parties should seek patent term extensions. [***], and [***], shall have the final decision-making authority with respect to applying for any such patent term extension in the Hansoh Territory, and will act with reasonable promptness in light of the development stage of Licensed Products to apply for any such patent term extension, where it so elects;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if only one such Patent can obtain a patent term extension, then the Parties will consult in good faith to</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determine which such Patent(s) should be the subject of efforts to obtain a patent term extension. The Party that does not apply for an extension hereunder will cooperate fully with the other Party in making such filings or actions, including making available all required regulatory Data and Information and executing any required authorizations to apply for such patent term extension. All expenses incurred in connection with activities of each Party with respect to the Patent(s) for which such Party seeks patent term extensions pursuant to this Section 9.3 shall be borne by such Party filing the patent term extension.</w:t>
      </w:r>
    </w:p>
    <w:p>
      <w:pPr>
        <w:spacing w:after="0" w:line="15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9.4</w:t>
      </w:r>
      <w:r>
        <w:rPr>
          <w:sz w:val="20"/>
          <w:szCs w:val="20"/>
          <w:color w:val="auto"/>
        </w:rPr>
        <w:tab/>
      </w:r>
      <w:r>
        <w:rPr>
          <w:rFonts w:ascii="Arial" w:cs="Arial" w:eastAsia="Arial" w:hAnsi="Arial"/>
          <w:sz w:val="19"/>
          <w:szCs w:val="19"/>
          <w:b w:val="1"/>
          <w:bCs w:val="1"/>
          <w:color w:val="auto"/>
        </w:rPr>
        <w:t>Patent Enforcement</w:t>
      </w:r>
      <w:r>
        <w:rPr>
          <w:rFonts w:ascii="Arial" w:cs="Arial" w:eastAsia="Arial" w:hAnsi="Arial"/>
          <w:sz w:val="19"/>
          <w:szCs w:val="19"/>
          <w:color w:val="auto"/>
        </w:rPr>
        <w:t>.</w:t>
      </w:r>
    </w:p>
    <w:p>
      <w:pPr>
        <w:spacing w:after="0" w:line="188" w:lineRule="exact"/>
        <w:rPr>
          <w:sz w:val="20"/>
          <w:szCs w:val="20"/>
          <w:color w:val="auto"/>
        </w:rPr>
      </w:pPr>
    </w:p>
    <w:p>
      <w:pPr>
        <w:jc w:val="both"/>
        <w:ind w:firstLine="1296"/>
        <w:spacing w:after="0" w:line="222" w:lineRule="auto"/>
        <w:tabs>
          <w:tab w:leader="none" w:pos="1753"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Notification; Information Sharing</w:t>
      </w:r>
      <w:r>
        <w:rPr>
          <w:rFonts w:ascii="Arial" w:cs="Arial" w:eastAsia="Arial" w:hAnsi="Arial"/>
          <w:sz w:val="21"/>
          <w:szCs w:val="21"/>
          <w:color w:val="auto"/>
        </w:rPr>
        <w:t>. If either Party becomes aware of any existing or threatened infringement</w:t>
      </w:r>
      <w:r>
        <w:rPr>
          <w:rFonts w:ascii="Arial" w:cs="Arial" w:eastAsia="Arial" w:hAnsi="Arial"/>
          <w:sz w:val="21"/>
          <w:szCs w:val="21"/>
          <w:b w:val="1"/>
          <w:bCs w:val="1"/>
          <w:color w:val="auto"/>
        </w:rPr>
        <w:t xml:space="preserve"> </w:t>
      </w:r>
      <w:r>
        <w:rPr>
          <w:rFonts w:ascii="Arial" w:cs="Arial" w:eastAsia="Arial" w:hAnsi="Arial"/>
          <w:sz w:val="21"/>
          <w:szCs w:val="21"/>
          <w:color w:val="auto"/>
        </w:rPr>
        <w:t>of any Hansoh Patent (to the extent it Covers a Licensed Product), Keros Licensed Patent, or Joint Patent (“</w:t>
      </w:r>
      <w:r>
        <w:rPr>
          <w:rFonts w:ascii="Arial" w:cs="Arial" w:eastAsia="Arial" w:hAnsi="Arial"/>
          <w:sz w:val="21"/>
          <w:szCs w:val="21"/>
          <w:b w:val="1"/>
          <w:bCs w:val="1"/>
          <w:color w:val="auto"/>
        </w:rPr>
        <w:t>Infringement</w:t>
      </w:r>
      <w:r>
        <w:rPr>
          <w:rFonts w:ascii="Arial" w:cs="Arial" w:eastAsia="Arial" w:hAnsi="Arial"/>
          <w:sz w:val="21"/>
          <w:szCs w:val="21"/>
          <w:color w:val="auto"/>
        </w:rPr>
        <w:t>”), it shall promptly notify the other Party in writing to that effect, and the Parties will consult with each other regarding any actions to be taken with respect to such Infringement. Each Party shall share with the other Party all Information available to it regarding such alleged Infringement, pursuant to a mutually agreeable “common interest agreement” executed by the Parties under which the Parties agree to their shared, mutual interest in the outcome of any suit to enforce the Keros Licensed Patents, Hansoh Patent and Joint Patent against such Infringement.</w:t>
      </w:r>
    </w:p>
    <w:p>
      <w:pPr>
        <w:spacing w:after="0" w:line="154" w:lineRule="exact"/>
        <w:rPr>
          <w:rFonts w:ascii="Arial" w:cs="Arial" w:eastAsia="Arial" w:hAnsi="Arial"/>
          <w:sz w:val="21"/>
          <w:szCs w:val="21"/>
          <w:b w:val="1"/>
          <w:bCs w:val="1"/>
          <w:color w:val="auto"/>
        </w:rPr>
      </w:pPr>
    </w:p>
    <w:p>
      <w:pPr>
        <w:ind w:left="1780" w:hanging="484"/>
        <w:spacing w:after="0"/>
        <w:tabs>
          <w:tab w:leader="none" w:pos="1780"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Enforcement Rights</w:t>
      </w:r>
      <w:r>
        <w:rPr>
          <w:rFonts w:ascii="Arial" w:cs="Arial" w:eastAsia="Arial" w:hAnsi="Arial"/>
          <w:sz w:val="21"/>
          <w:szCs w:val="21"/>
          <w:color w:val="auto"/>
        </w:rPr>
        <w:t>. [***].</w:t>
      </w:r>
    </w:p>
    <w:p>
      <w:pPr>
        <w:spacing w:after="0" w:line="187" w:lineRule="exact"/>
        <w:rPr>
          <w:rFonts w:ascii="Arial" w:cs="Arial" w:eastAsia="Arial" w:hAnsi="Arial"/>
          <w:sz w:val="21"/>
          <w:szCs w:val="21"/>
          <w:b w:val="1"/>
          <w:bCs w:val="1"/>
          <w:color w:val="auto"/>
        </w:rPr>
      </w:pPr>
    </w:p>
    <w:p>
      <w:pPr>
        <w:ind w:left="1740" w:hanging="444"/>
        <w:spacing w:after="0"/>
        <w:tabs>
          <w:tab w:leader="none" w:pos="1740"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Back-Up Enforcement Rights</w:t>
      </w:r>
      <w:r>
        <w:rPr>
          <w:rFonts w:ascii="Arial" w:cs="Arial" w:eastAsia="Arial" w:hAnsi="Arial"/>
          <w:sz w:val="21"/>
          <w:szCs w:val="21"/>
          <w:color w:val="auto"/>
        </w:rPr>
        <w:t>.</w:t>
      </w:r>
    </w:p>
    <w:p>
      <w:pPr>
        <w:spacing w:after="0" w:line="193" w:lineRule="exact"/>
        <w:rPr>
          <w:rFonts w:ascii="Arial" w:cs="Arial" w:eastAsia="Arial" w:hAnsi="Arial"/>
          <w:sz w:val="21"/>
          <w:szCs w:val="21"/>
          <w:b w:val="1"/>
          <w:bCs w:val="1"/>
          <w:color w:val="auto"/>
        </w:rPr>
      </w:pPr>
    </w:p>
    <w:p>
      <w:pPr>
        <w:jc w:val="both"/>
        <w:ind w:firstLine="1940"/>
        <w:spacing w:after="0" w:line="234" w:lineRule="auto"/>
        <w:tabs>
          <w:tab w:leader="none" w:pos="2404" w:val="left"/>
        </w:tabs>
        <w:numPr>
          <w:ilvl w:val="1"/>
          <w:numId w:val="115"/>
        </w:numPr>
        <w:rPr>
          <w:rFonts w:ascii="Arial" w:cs="Arial" w:eastAsia="Arial" w:hAnsi="Arial"/>
          <w:sz w:val="20"/>
          <w:szCs w:val="20"/>
          <w:b w:val="1"/>
          <w:bCs w:val="1"/>
          <w:color w:val="auto"/>
        </w:rPr>
      </w:pPr>
      <w:r>
        <w:rPr>
          <w:rFonts w:ascii="Arial" w:cs="Arial" w:eastAsia="Arial" w:hAnsi="Arial"/>
          <w:sz w:val="20"/>
          <w:szCs w:val="20"/>
          <w:color w:val="auto"/>
        </w:rPr>
        <w:t>If the Party entitled to bring an Infringement suit or other action pursuant to Section 9.4(b) elects to commence a suit or take such other action to enforce such Patent against such Infringement (upon such election, the “</w:t>
      </w:r>
      <w:r>
        <w:rPr>
          <w:rFonts w:ascii="Arial" w:cs="Arial" w:eastAsia="Arial" w:hAnsi="Arial"/>
          <w:sz w:val="20"/>
          <w:szCs w:val="20"/>
          <w:b w:val="1"/>
          <w:bCs w:val="1"/>
          <w:color w:val="auto"/>
        </w:rPr>
        <w:t>Enforcing</w:t>
      </w:r>
      <w:r>
        <w:rPr>
          <w:rFonts w:ascii="Arial" w:cs="Arial" w:eastAsia="Arial" w:hAnsi="Arial"/>
          <w:sz w:val="20"/>
          <w:szCs w:val="20"/>
          <w:color w:val="auto"/>
        </w:rPr>
        <w:t xml:space="preserve"> </w:t>
      </w:r>
      <w:r>
        <w:rPr>
          <w:rFonts w:ascii="Arial" w:cs="Arial" w:eastAsia="Arial" w:hAnsi="Arial"/>
          <w:sz w:val="20"/>
          <w:szCs w:val="20"/>
          <w:b w:val="1"/>
          <w:bCs w:val="1"/>
          <w:color w:val="auto"/>
        </w:rPr>
        <w:t>Party</w:t>
      </w:r>
      <w:r>
        <w:rPr>
          <w:rFonts w:ascii="Arial" w:cs="Arial" w:eastAsia="Arial" w:hAnsi="Arial"/>
          <w:sz w:val="20"/>
          <w:szCs w:val="20"/>
          <w:color w:val="auto"/>
        </w:rPr>
        <w:t>” and any such suit or action, an “</w:t>
      </w:r>
      <w:r>
        <w:rPr>
          <w:rFonts w:ascii="Arial" w:cs="Arial" w:eastAsia="Arial" w:hAnsi="Arial"/>
          <w:sz w:val="20"/>
          <w:szCs w:val="20"/>
          <w:b w:val="1"/>
          <w:bCs w:val="1"/>
          <w:color w:val="auto"/>
        </w:rPr>
        <w:t>Enforcement Action</w:t>
      </w:r>
      <w:r>
        <w:rPr>
          <w:rFonts w:ascii="Arial" w:cs="Arial" w:eastAsia="Arial" w:hAnsi="Arial"/>
          <w:sz w:val="20"/>
          <w:szCs w:val="20"/>
          <w:color w:val="auto"/>
        </w:rPr>
        <w:t>”) and requests in writing that the non-Enforcing Party join in such</w:t>
      </w:r>
      <w:r>
        <w:rPr>
          <w:rFonts w:ascii="Arial" w:cs="Arial" w:eastAsia="Arial" w:hAnsi="Arial"/>
          <w:sz w:val="20"/>
          <w:szCs w:val="20"/>
          <w:b w:val="1"/>
          <w:bCs w:val="1"/>
          <w:color w:val="auto"/>
        </w:rPr>
        <w:t xml:space="preserve"> </w:t>
      </w:r>
      <w:r>
        <w:rPr>
          <w:rFonts w:ascii="Arial" w:cs="Arial" w:eastAsia="Arial" w:hAnsi="Arial"/>
          <w:sz w:val="20"/>
          <w:szCs w:val="20"/>
          <w:color w:val="auto"/>
        </w:rPr>
        <w:t>Enforcement Action, then the non-Enforcing Party shall have the right to elect to voluntarily join such Enforcement Action upon written notice to the Enforcing Party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Hansoh shall not have the right to voluntarily join an Enforcement Action of any Keros Licensed Patent in the Keros Territory or any Keros Patent to the extent it is not a Keros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93" w:right="339" w:bottom="1440" w:gutter="0" w:footer="0" w:header="0"/>
        </w:sectPr>
      </w:pPr>
    </w:p>
    <w:bookmarkStart w:id="173" w:name="page174"/>
    <w:bookmarkEnd w:id="173"/>
    <w:p>
      <w:pPr>
        <w:jc w:val="both"/>
        <w:spacing w:after="0" w:line="225" w:lineRule="auto"/>
        <w:rPr>
          <w:sz w:val="20"/>
          <w:szCs w:val="20"/>
          <w:color w:val="auto"/>
        </w:rPr>
      </w:pPr>
      <w:r>
        <w:rPr>
          <w:rFonts w:ascii="Arial" w:cs="Arial" w:eastAsia="Arial" w:hAnsi="Arial"/>
          <w:sz w:val="21"/>
          <w:szCs w:val="21"/>
          <w:color w:val="auto"/>
        </w:rPr>
        <w:t xml:space="preserve">Licensed Patent and (B) Keros shall not have the right to voluntarily join an Enforcement Action of the Hansoh Patents in the Hansoh Territory or any Hansoh Patent worldwide to the extent it does not Cover a Licensed Product). If the non-Enforcing Party is required by Applicable Law to join the Enforcement Action as a party plaintiff, the Enforcing Party shall be required to give the non-Enforcing Party the option to first elect to voluntarily join such Enforcement Action;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non-Enforcing Party declines to voluntarily join, it shall still be required to join as a party plaintiff.</w:t>
      </w:r>
    </w:p>
    <w:p>
      <w:pPr>
        <w:spacing w:after="0" w:line="156" w:lineRule="exact"/>
        <w:rPr>
          <w:sz w:val="20"/>
          <w:szCs w:val="20"/>
          <w:color w:val="auto"/>
        </w:rPr>
      </w:pPr>
    </w:p>
    <w:p>
      <w:pPr>
        <w:jc w:val="both"/>
        <w:ind w:firstLine="1940"/>
        <w:spacing w:after="0" w:line="229" w:lineRule="auto"/>
        <w:tabs>
          <w:tab w:leader="none" w:pos="2423" w:val="left"/>
        </w:tabs>
        <w:numPr>
          <w:ilvl w:val="1"/>
          <w:numId w:val="116"/>
        </w:numPr>
        <w:rPr>
          <w:rFonts w:ascii="Arial" w:cs="Arial" w:eastAsia="Arial" w:hAnsi="Arial"/>
          <w:sz w:val="20"/>
          <w:szCs w:val="20"/>
          <w:b w:val="1"/>
          <w:bCs w:val="1"/>
          <w:color w:val="auto"/>
        </w:rPr>
      </w:pPr>
      <w:r>
        <w:rPr>
          <w:rFonts w:ascii="Arial" w:cs="Arial" w:eastAsia="Arial" w:hAnsi="Arial"/>
          <w:sz w:val="20"/>
          <w:szCs w:val="20"/>
          <w:color w:val="auto"/>
        </w:rPr>
        <w:t xml:space="preserve">If the Party entitled to bring an Enforcement Action pursuant to Section 9.4(b) notifies the other Party that it does not intend to commence any such action or fails to take any such action after a period of [***], then, to the extent that such Infringement results from a Third Party’s use or sale of a product that competes with a Licensed Product in the Field and in the other Party’s respective Territory, such other Party shall have the right, but not the obligation, to commence such a suit or take such action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in no event shall either Party take any action that is likely to materially or adversely impact the scope or enforceability of the other Party’s Patents or the Joint Patents; (B) Hansoh shall not have the right to commence such a suit or take such action regarding Infringement of any Keros Licensed Patent in the Keros Territory or any other Keros Patent; and (C) Keros shall not have the right to commence such a suit or take such action regarding Infringement of (1) any Hansoh Patent in the Hansoh Territory, (2) any Hansoh Patent worldwide to the extent it does not Cover a Licensed Product, (3) any Hansoh Patent in the Keros Territory without the prior written consent of Hansoh [***]. For clarity, each Party that exercises its back-up enforcement rights pursuant to this Section 9.4(c)(ii) shall be deemed the “Enforcing Party” for the applicable Patents upon such exercise.</w:t>
      </w:r>
    </w:p>
    <w:p>
      <w:pPr>
        <w:spacing w:after="0" w:line="152" w:lineRule="exact"/>
        <w:rPr>
          <w:rFonts w:ascii="Arial" w:cs="Arial" w:eastAsia="Arial" w:hAnsi="Arial"/>
          <w:sz w:val="20"/>
          <w:szCs w:val="20"/>
          <w:b w:val="1"/>
          <w:bCs w:val="1"/>
          <w:color w:val="auto"/>
        </w:rPr>
      </w:pPr>
    </w:p>
    <w:p>
      <w:pPr>
        <w:jc w:val="both"/>
        <w:ind w:firstLine="1296"/>
        <w:spacing w:after="0" w:line="247" w:lineRule="auto"/>
        <w:tabs>
          <w:tab w:leader="none" w:pos="1859" w:val="left"/>
        </w:tabs>
        <w:numPr>
          <w:ilvl w:val="0"/>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Collaboration</w:t>
      </w:r>
      <w:r>
        <w:rPr>
          <w:rFonts w:ascii="Arial" w:cs="Arial" w:eastAsia="Arial" w:hAnsi="Arial"/>
          <w:sz w:val="19"/>
          <w:szCs w:val="19"/>
          <w:color w:val="auto"/>
        </w:rPr>
        <w:t>. Each non-Enforcing Party shall provide the Enforcing Party with reasonable assistance in</w:t>
      </w:r>
      <w:r>
        <w:rPr>
          <w:rFonts w:ascii="Arial" w:cs="Arial" w:eastAsia="Arial" w:hAnsi="Arial"/>
          <w:sz w:val="19"/>
          <w:szCs w:val="19"/>
          <w:b w:val="1"/>
          <w:bCs w:val="1"/>
          <w:color w:val="auto"/>
        </w:rPr>
        <w:t xml:space="preserve"> </w:t>
      </w:r>
      <w:r>
        <w:rPr>
          <w:rFonts w:ascii="Arial" w:cs="Arial" w:eastAsia="Arial" w:hAnsi="Arial"/>
          <w:sz w:val="19"/>
          <w:szCs w:val="19"/>
          <w:color w:val="auto"/>
        </w:rPr>
        <w:t>such Enforcement Action, at such Enforcing Party’s request and expense (unless a Party voluntarily elects to join an Enforcement Action by the other Party, in which case the cost and expense for such Enforcement Action will be [***], including joining such action as a party plaintiff if required by Applicable Law to pursue such action. The Enforcing Party shall keep the other Party regularly informed of the status and progress of such enforcement efforts, and shall reasonably consider in good faith the other Party’s comments on any such efforts. The non-Enforcing Party shall be entitled to separate representation in such matter by counsel of its own choice and at its own expense, but such Party shall at all times cooperate fully with the Enforcing Party.</w:t>
      </w:r>
    </w:p>
    <w:p>
      <w:pPr>
        <w:spacing w:after="0" w:line="143" w:lineRule="exact"/>
        <w:rPr>
          <w:rFonts w:ascii="Arial" w:cs="Arial" w:eastAsia="Arial" w:hAnsi="Arial"/>
          <w:sz w:val="19"/>
          <w:szCs w:val="19"/>
          <w:b w:val="1"/>
          <w:bCs w:val="1"/>
          <w:color w:val="auto"/>
        </w:rPr>
      </w:pPr>
    </w:p>
    <w:p>
      <w:pPr>
        <w:jc w:val="both"/>
        <w:ind w:firstLine="1296"/>
        <w:spacing w:after="0" w:line="226" w:lineRule="auto"/>
        <w:tabs>
          <w:tab w:leader="none" w:pos="1902"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Expenses and Recoveries</w:t>
      </w:r>
      <w:r>
        <w:rPr>
          <w:rFonts w:ascii="Arial" w:cs="Arial" w:eastAsia="Arial" w:hAnsi="Arial"/>
          <w:sz w:val="21"/>
          <w:szCs w:val="21"/>
          <w:color w:val="auto"/>
        </w:rPr>
        <w:t>. The Enforcing Party shall be [***]. The Parties shall [***] when the non-Enforcing Party voluntarily elects to join the Enforcement Action by the Enforcing Party. If the Enforcing Party recovers monetary damages in an Enforcement Action, such recovery shall be allocated first to the reimbursement of any documented expenses incurred by the Parties in such Enforcement Action, and any remaining amounts shall be shared by the Parties as follows:</w:t>
      </w:r>
    </w:p>
    <w:p>
      <w:pPr>
        <w:spacing w:after="0" w:line="157" w:lineRule="exact"/>
        <w:rPr>
          <w:rFonts w:ascii="Arial" w:cs="Arial" w:eastAsia="Arial" w:hAnsi="Arial"/>
          <w:sz w:val="21"/>
          <w:szCs w:val="21"/>
          <w:b w:val="1"/>
          <w:bCs w:val="1"/>
          <w:color w:val="auto"/>
        </w:rPr>
      </w:pPr>
    </w:p>
    <w:p>
      <w:pPr>
        <w:ind w:left="2360" w:hanging="420"/>
        <w:spacing w:after="0"/>
        <w:tabs>
          <w:tab w:leader="none" w:pos="2360" w:val="left"/>
        </w:tabs>
        <w:numPr>
          <w:ilvl w:val="1"/>
          <w:numId w:val="117"/>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8" w:lineRule="exact"/>
        <w:rPr>
          <w:sz w:val="20"/>
          <w:szCs w:val="20"/>
          <w:color w:val="auto"/>
        </w:rPr>
      </w:pPr>
    </w:p>
    <w:p>
      <w:pPr>
        <w:ind w:left="2420" w:hanging="480"/>
        <w:spacing w:after="0"/>
        <w:tabs>
          <w:tab w:leader="none" w:pos="2420" w:val="left"/>
        </w:tabs>
        <w:numPr>
          <w:ilvl w:val="0"/>
          <w:numId w:val="118"/>
        </w:numPr>
        <w:rPr>
          <w:rFonts w:ascii="Arial" w:cs="Arial" w:eastAsia="Arial" w:hAnsi="Arial"/>
          <w:sz w:val="21"/>
          <w:szCs w:val="21"/>
          <w:b w:val="1"/>
          <w:bCs w:val="1"/>
          <w:color w:val="auto"/>
        </w:rPr>
      </w:pPr>
      <w:r>
        <w:rPr>
          <w:rFonts w:ascii="Arial" w:cs="Arial" w:eastAsia="Arial" w:hAnsi="Arial"/>
          <w:sz w:val="21"/>
          <w:szCs w:val="2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82"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9.5 Third Party Infringement Claims</w:t>
      </w:r>
      <w:r>
        <w:rPr>
          <w:rFonts w:ascii="Arial" w:cs="Arial" w:eastAsia="Arial" w:hAnsi="Arial"/>
          <w:sz w:val="21"/>
          <w:szCs w:val="21"/>
          <w:color w:val="auto"/>
        </w:rPr>
        <w:t>. If the Development, Manufacture, or Commercialization of any Licensed</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in the Field in the Hansoh Territory pursuant to this Agreement results in a claim, suit or proceeding alleging patent infringement against Keros or Hansoh (or their respective Affiliates, licensees or sublicensees) (collectively, “</w:t>
      </w:r>
      <w:r>
        <w:rPr>
          <w:rFonts w:ascii="Arial" w:cs="Arial" w:eastAsia="Arial" w:hAnsi="Arial"/>
          <w:sz w:val="21"/>
          <w:szCs w:val="21"/>
          <w:b w:val="1"/>
          <w:bCs w:val="1"/>
          <w:color w:val="auto"/>
        </w:rPr>
        <w:t>Third Party</w:t>
      </w:r>
      <w:r>
        <w:rPr>
          <w:rFonts w:ascii="Arial" w:cs="Arial" w:eastAsia="Arial" w:hAnsi="Arial"/>
          <w:sz w:val="21"/>
          <w:szCs w:val="21"/>
          <w:color w:val="auto"/>
        </w:rPr>
        <w:t xml:space="preserve"> </w:t>
      </w:r>
      <w:r>
        <w:rPr>
          <w:rFonts w:ascii="Arial" w:cs="Arial" w:eastAsia="Arial" w:hAnsi="Arial"/>
          <w:sz w:val="21"/>
          <w:szCs w:val="21"/>
          <w:b w:val="1"/>
          <w:bCs w:val="1"/>
          <w:color w:val="auto"/>
        </w:rPr>
        <w:t>Infringement Actions</w:t>
      </w:r>
      <w:r>
        <w:rPr>
          <w:rFonts w:ascii="Arial" w:cs="Arial" w:eastAsia="Arial" w:hAnsi="Arial"/>
          <w:sz w:val="21"/>
          <w:szCs w:val="21"/>
          <w:color w:val="auto"/>
        </w:rPr>
        <w:t>”), such Party shall promptly notify the other Party hereto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93" w:right="339" w:bottom="1440" w:gutter="0" w:footer="0" w:header="0"/>
        </w:sectPr>
      </w:pPr>
    </w:p>
    <w:bookmarkStart w:id="174" w:name="page175"/>
    <w:bookmarkEnd w:id="174"/>
    <w:p>
      <w:pPr>
        <w:jc w:val="both"/>
        <w:spacing w:after="0" w:line="227" w:lineRule="auto"/>
        <w:rPr>
          <w:sz w:val="20"/>
          <w:szCs w:val="20"/>
          <w:color w:val="auto"/>
        </w:rPr>
      </w:pPr>
      <w:r>
        <w:rPr>
          <w:rFonts w:ascii="Arial" w:cs="Arial" w:eastAsia="Arial" w:hAnsi="Arial"/>
          <w:sz w:val="20"/>
          <w:szCs w:val="20"/>
          <w:color w:val="auto"/>
        </w:rPr>
        <w:t xml:space="preserve">Hansoh shall have the right, but not the obligation, to direct and control the defense of such Third Party Infringement Action, at its own expense with counsel of its choice;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Keros may participate in the defense and/or settlement thereof, at its own expense with counsel of its choice. In any event, Hansoh agrees to keep Keros reasonably informed of all material developments in connection with any such Third Party Infringement Action for which Hansoh exercises its right to direct and control the defense. Hansoh agrees not to settle such Third Party Infringement Action, or make any admissions or assert any position in such Third Party Infringement Action, in a manner that would materially adversely affect the rights or interests of Keros, without the prior written consent of Keros, which shall not be unreasonably withheld or delayed. If Hansoh does not exercise its right to direct and control the defense of a Third Party Infringement Action that is brought against Hansoh, then Keros shall have such right at its own expense and to use counsel of its choice, and it shall agree to keep Hansoh reasonably informed of all material developments in connection with such Third Party Infringement Action, and it shall not settle such Third Party Infringement Action, or make any admissions or assert any position in such Third Party Infringement Action, in a manner that would materially adversely affect the rights or interests of Hansoh, without the prior written consent of Hansoh, which shall not be unreasonably withheld or delayed. With respect to any Third Party Infringement Action in the Hansoh Territory, the Party controlling the response to the Third Party Infringement Action shall [***]. In the event of any recovery in connection with a Third Party Infringement Action, the Parties shall allocate any such recovery in accordance with Section 9.4(e)(i)-(ii), where, solely for the purposes of recovery allocation under this Section 9.5, the controlling Party under this Section 9.5 shall be deemed an “Enforcing Party” and the applicable Third Party Infringement Action resulting in such recovery shall be deemed an “Enforcement Action” as described in Section 9.4(e)(i)-(ii).</w:t>
      </w:r>
    </w:p>
    <w:p>
      <w:pPr>
        <w:spacing w:after="0" w:line="15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1"/>
          <w:szCs w:val="21"/>
          <w:b w:val="1"/>
          <w:bCs w:val="1"/>
          <w:color w:val="auto"/>
        </w:rPr>
        <w:t>9.6</w:t>
      </w:r>
      <w:r>
        <w:rPr>
          <w:sz w:val="20"/>
          <w:szCs w:val="20"/>
          <w:color w:val="auto"/>
        </w:rPr>
        <w:tab/>
      </w:r>
      <w:r>
        <w:rPr>
          <w:rFonts w:ascii="Arial" w:cs="Arial" w:eastAsia="Arial" w:hAnsi="Arial"/>
          <w:sz w:val="19"/>
          <w:szCs w:val="19"/>
          <w:b w:val="1"/>
          <w:bCs w:val="1"/>
          <w:color w:val="auto"/>
        </w:rPr>
        <w:t>Trademarks</w:t>
      </w:r>
      <w:r>
        <w:rPr>
          <w:rFonts w:ascii="Arial" w:cs="Arial" w:eastAsia="Arial" w:hAnsi="Arial"/>
          <w:sz w:val="19"/>
          <w:szCs w:val="19"/>
          <w:color w:val="auto"/>
        </w:rPr>
        <w:t>.</w:t>
      </w:r>
    </w:p>
    <w:p>
      <w:pPr>
        <w:spacing w:after="0" w:line="194" w:lineRule="exact"/>
        <w:rPr>
          <w:sz w:val="20"/>
          <w:szCs w:val="20"/>
          <w:color w:val="auto"/>
        </w:rPr>
      </w:pPr>
    </w:p>
    <w:p>
      <w:pPr>
        <w:jc w:val="both"/>
        <w:ind w:firstLine="1296"/>
        <w:spacing w:after="0" w:line="221" w:lineRule="auto"/>
        <w:tabs>
          <w:tab w:leader="none" w:pos="1847" w:val="left"/>
        </w:tabs>
        <w:numPr>
          <w:ilvl w:val="0"/>
          <w:numId w:val="119"/>
        </w:numPr>
        <w:rPr>
          <w:rFonts w:ascii="Arial" w:cs="Arial" w:eastAsia="Arial" w:hAnsi="Arial"/>
          <w:sz w:val="21"/>
          <w:szCs w:val="21"/>
          <w:b w:val="1"/>
          <w:bCs w:val="1"/>
          <w:color w:val="auto"/>
        </w:rPr>
      </w:pPr>
      <w:r>
        <w:rPr>
          <w:rFonts w:ascii="Arial" w:cs="Arial" w:eastAsia="Arial" w:hAnsi="Arial"/>
          <w:sz w:val="21"/>
          <w:szCs w:val="21"/>
          <w:color w:val="auto"/>
        </w:rPr>
        <w:t>Except as set forth in Section 9.6(d), Keros shall own and retain all right, title, and interest in and to all trademarks associated with any Licensed Product (each a “</w:t>
      </w:r>
      <w:r>
        <w:rPr>
          <w:rFonts w:ascii="Arial" w:cs="Arial" w:eastAsia="Arial" w:hAnsi="Arial"/>
          <w:sz w:val="21"/>
          <w:szCs w:val="21"/>
          <w:b w:val="1"/>
          <w:bCs w:val="1"/>
          <w:color w:val="auto"/>
        </w:rPr>
        <w:t>Licensed Mark</w:t>
      </w:r>
      <w:r>
        <w:rPr>
          <w:rFonts w:ascii="Arial" w:cs="Arial" w:eastAsia="Arial" w:hAnsi="Arial"/>
          <w:sz w:val="21"/>
          <w:szCs w:val="21"/>
          <w:color w:val="auto"/>
        </w:rPr>
        <w:t>”) worldwide and shall register and maintain all Licensed Marks worldwide, at Keros’ cost and expense, and all goodwill in any such Licensed Mark shall accrue to Keros. Keros hereby grants Hansoh a right to use all Licensed Marks to Develop, Commercialize, and Manufacture Licensed Products in the Field in the Hansoh Territory. Except as set forth in Section 9.6(d), Hansoh shall, and shall ensure that its Affiliates and its and their respective sublicensees, use the Licensed Marks solely in connection with the Development, Commercialization, and Manufacture of Licensed Products in the Field in the Hansoh Territory.</w:t>
      </w:r>
    </w:p>
    <w:p>
      <w:pPr>
        <w:spacing w:after="0" w:line="161" w:lineRule="exact"/>
        <w:rPr>
          <w:rFonts w:ascii="Arial" w:cs="Arial" w:eastAsia="Arial" w:hAnsi="Arial"/>
          <w:sz w:val="21"/>
          <w:szCs w:val="21"/>
          <w:b w:val="1"/>
          <w:bCs w:val="1"/>
          <w:color w:val="auto"/>
        </w:rPr>
      </w:pPr>
    </w:p>
    <w:p>
      <w:pPr>
        <w:jc w:val="both"/>
        <w:ind w:firstLine="1296"/>
        <w:spacing w:after="0" w:line="236" w:lineRule="auto"/>
        <w:tabs>
          <w:tab w:leader="none" w:pos="1765" w:val="left"/>
        </w:tabs>
        <w:numPr>
          <w:ilvl w:val="0"/>
          <w:numId w:val="119"/>
        </w:numPr>
        <w:rPr>
          <w:rFonts w:ascii="Arial" w:cs="Arial" w:eastAsia="Arial" w:hAnsi="Arial"/>
          <w:sz w:val="20"/>
          <w:szCs w:val="20"/>
          <w:b w:val="1"/>
          <w:bCs w:val="1"/>
          <w:color w:val="auto"/>
        </w:rPr>
      </w:pPr>
      <w:r>
        <w:rPr>
          <w:rFonts w:ascii="Arial" w:cs="Arial" w:eastAsia="Arial" w:hAnsi="Arial"/>
          <w:sz w:val="20"/>
          <w:szCs w:val="20"/>
          <w:color w:val="auto"/>
        </w:rPr>
        <w:t>During the Term, Hansoh may request in writing a transfer of ownership of any Licensed Mark in the Hansoh Territory from Keros to Hansoh. Keros shall review such request in good faith, and within [***] of receipt of Hansoh’s request to transfer ownership of such Licensed Mark, [***]. Hansoh shall pay the invoiced amount to Keros within [***] of receipt of such invoice. Upon full payment of the invoiced amount pursuant to this Section 9.6(b), Keros hereby transfers and assigns all its right, title, and interest in and to such Licensed Mark in the Hansoh Territory to Hansoh.</w:t>
      </w:r>
    </w:p>
    <w:p>
      <w:pPr>
        <w:spacing w:after="0" w:line="157" w:lineRule="exact"/>
        <w:rPr>
          <w:rFonts w:ascii="Arial" w:cs="Arial" w:eastAsia="Arial" w:hAnsi="Arial"/>
          <w:sz w:val="20"/>
          <w:szCs w:val="20"/>
          <w:b w:val="1"/>
          <w:bCs w:val="1"/>
          <w:color w:val="auto"/>
        </w:rPr>
      </w:pPr>
    </w:p>
    <w:p>
      <w:pPr>
        <w:jc w:val="both"/>
        <w:ind w:firstLine="1296"/>
        <w:spacing w:after="0" w:line="232" w:lineRule="auto"/>
        <w:tabs>
          <w:tab w:leader="none" w:pos="1808" w:val="left"/>
        </w:tabs>
        <w:numPr>
          <w:ilvl w:val="0"/>
          <w:numId w:val="119"/>
        </w:numPr>
        <w:rPr>
          <w:rFonts w:ascii="Arial" w:cs="Arial" w:eastAsia="Arial" w:hAnsi="Arial"/>
          <w:sz w:val="20"/>
          <w:szCs w:val="20"/>
          <w:b w:val="1"/>
          <w:bCs w:val="1"/>
          <w:color w:val="auto"/>
        </w:rPr>
      </w:pPr>
      <w:r>
        <w:rPr>
          <w:rFonts w:ascii="Arial" w:cs="Arial" w:eastAsia="Arial" w:hAnsi="Arial"/>
          <w:sz w:val="20"/>
          <w:szCs w:val="20"/>
          <w:color w:val="auto"/>
        </w:rPr>
        <w:t>Notwithstanding anything to the contrary, to the extent required by Applicable Law, (i) Hansoh may, in its sole discretion, determine to include Keros’ name and corporate logo on the Licensed Product label, packaging, promotional/marketing materials to indicate that the Licensed Product is in-licensed from Keros, and, in such case, shall display Keros’ name and corporate logo with equal prominence and comparable size, resolution, print quality, and location, as instructed by Keros from time to time, as Hansoh’s name and corporate logo is displayed, and (ii) Keros hereby grants to Hansoh a non-exclusive, fully paid-up, royalty free, sublicensable license to use Keros’ name and corporate logo for the Commercialization of the Licensed Product in the Hansoh Territory to the extent consistent with this Section 9.6(c).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93" w:right="339" w:bottom="1440" w:gutter="0" w:footer="0" w:header="0"/>
        </w:sectPr>
      </w:pPr>
    </w:p>
    <w:bookmarkStart w:id="175" w:name="page176"/>
    <w:bookmarkEnd w:id="175"/>
    <w:p>
      <w:pPr>
        <w:jc w:val="both"/>
        <w:ind w:firstLine="1296"/>
        <w:spacing w:after="0" w:line="228" w:lineRule="auto"/>
        <w:tabs>
          <w:tab w:leader="none" w:pos="1900" w:val="left"/>
        </w:tabs>
        <w:numPr>
          <w:ilvl w:val="0"/>
          <w:numId w:val="120"/>
        </w:numPr>
        <w:rPr>
          <w:rFonts w:ascii="Arial" w:cs="Arial" w:eastAsia="Arial" w:hAnsi="Arial"/>
          <w:sz w:val="20"/>
          <w:szCs w:val="20"/>
          <w:b w:val="1"/>
          <w:bCs w:val="1"/>
          <w:color w:val="auto"/>
        </w:rPr>
      </w:pPr>
      <w:r>
        <w:rPr>
          <w:rFonts w:ascii="Arial" w:cs="Arial" w:eastAsia="Arial" w:hAnsi="Arial"/>
          <w:sz w:val="20"/>
          <w:szCs w:val="20"/>
          <w:color w:val="auto"/>
        </w:rPr>
        <w:t>The Parties acknowledge that the linguistic or cultural particularities, Applicable Laws of the Territory, market research, Keros’ global branding strategy and other relevant information may be considered with respect to use of any trademark, logo, or trade name for a Licensed Product in the Hansoh Territory. Hansoh shall have the right to use another trademark, logo or trade name (e.g. a Chinese name for the Licensed Product in the Hansoh Territory) in addition to or in lieu of a Licensed Mark, which Hansoh in good faith determines appropriate for the Licensed Product in the Hansoh Territory, which may vary by Region or within a Region (each a “</w:t>
      </w:r>
      <w:r>
        <w:rPr>
          <w:rFonts w:ascii="Arial" w:cs="Arial" w:eastAsia="Arial" w:hAnsi="Arial"/>
          <w:sz w:val="20"/>
          <w:szCs w:val="20"/>
          <w:b w:val="1"/>
          <w:bCs w:val="1"/>
          <w:color w:val="auto"/>
        </w:rPr>
        <w:t>Hansoh Product Mark</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Hansoh gives prior written notice to Keros and reasonably considers any comments from Keros before using such Hansoh Product Mark, and further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Hansoh Product Mark does not pose [***]. Hansoh shall own all rights in the Hansoh Product Marks. During the Term, Keros shall have the option to negotiate with Hansoh in an attempt to reach agreement on an exclusive license under any Hansoh Product Mark for use in connection with a Licensed Product in the Keros Territory. Keros shall exercise such option by providing written notice to Hansoh, and upon receipt by Hansoh of such notice, the Parties shall negotiate in good faith in an attempt to reach agreement on commercially reasonable terms for such license. It is understood that the good faith negotiations may not result in the grant of such a license.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10</w:t>
      </w:r>
    </w:p>
    <w:p>
      <w:pPr>
        <w:jc w:val="center"/>
        <w:spacing w:after="0"/>
        <w:rPr>
          <w:sz w:val="20"/>
          <w:szCs w:val="20"/>
          <w:color w:val="auto"/>
        </w:rPr>
      </w:pPr>
      <w:r>
        <w:rPr>
          <w:rFonts w:ascii="Arial" w:cs="Arial" w:eastAsia="Arial" w:hAnsi="Arial"/>
          <w:sz w:val="21"/>
          <w:szCs w:val="21"/>
          <w:b w:val="1"/>
          <w:bCs w:val="1"/>
          <w:color w:val="auto"/>
        </w:rPr>
        <w:t>REPRESENTATIONS AND WARRANTIES; COVENANTS</w:t>
      </w:r>
    </w:p>
    <w:p>
      <w:pPr>
        <w:spacing w:after="0" w:line="164" w:lineRule="exact"/>
        <w:rPr>
          <w:sz w:val="20"/>
          <w:szCs w:val="20"/>
          <w:color w:val="auto"/>
        </w:rPr>
      </w:pPr>
    </w:p>
    <w:p>
      <w:pPr>
        <w:ind w:firstLine="644"/>
        <w:spacing w:after="0" w:line="251" w:lineRule="auto"/>
        <w:rPr>
          <w:sz w:val="20"/>
          <w:szCs w:val="20"/>
          <w:color w:val="auto"/>
        </w:rPr>
      </w:pPr>
      <w:r>
        <w:rPr>
          <w:rFonts w:ascii="Arial" w:cs="Arial" w:eastAsia="Arial" w:hAnsi="Arial"/>
          <w:sz w:val="21"/>
          <w:szCs w:val="21"/>
          <w:b w:val="1"/>
          <w:bCs w:val="1"/>
          <w:color w:val="auto"/>
        </w:rPr>
        <w:t>10.1 Mutual Representations and Warranties</w:t>
      </w:r>
      <w:r>
        <w:rPr>
          <w:rFonts w:ascii="Arial" w:cs="Arial" w:eastAsia="Arial" w:hAnsi="Arial"/>
          <w:sz w:val="21"/>
          <w:szCs w:val="21"/>
          <w:color w:val="auto"/>
        </w:rPr>
        <w:t>. Each Party hereby represents and warrants to the other Party, as</w:t>
      </w:r>
      <w:r>
        <w:rPr>
          <w:rFonts w:ascii="Arial" w:cs="Arial" w:eastAsia="Arial" w:hAnsi="Arial"/>
          <w:sz w:val="21"/>
          <w:szCs w:val="21"/>
          <w:b w:val="1"/>
          <w:bCs w:val="1"/>
          <w:color w:val="auto"/>
        </w:rPr>
        <w:t xml:space="preserve"> </w:t>
      </w:r>
      <w:r>
        <w:rPr>
          <w:rFonts w:ascii="Arial" w:cs="Arial" w:eastAsia="Arial" w:hAnsi="Arial"/>
          <w:sz w:val="21"/>
          <w:szCs w:val="21"/>
          <w:color w:val="auto"/>
        </w:rPr>
        <w:t>follows:</w:t>
      </w:r>
    </w:p>
    <w:p>
      <w:pPr>
        <w:spacing w:after="0" w:line="139" w:lineRule="exact"/>
        <w:rPr>
          <w:sz w:val="20"/>
          <w:szCs w:val="20"/>
          <w:color w:val="auto"/>
        </w:rPr>
      </w:pPr>
    </w:p>
    <w:p>
      <w:pPr>
        <w:ind w:firstLine="1296"/>
        <w:spacing w:after="0" w:line="251" w:lineRule="auto"/>
        <w:tabs>
          <w:tab w:leader="none" w:pos="1893"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Corporate Existence</w:t>
      </w:r>
      <w:r>
        <w:rPr>
          <w:rFonts w:ascii="Arial" w:cs="Arial" w:eastAsia="Arial" w:hAnsi="Arial"/>
          <w:sz w:val="21"/>
          <w:szCs w:val="21"/>
          <w:color w:val="auto"/>
        </w:rPr>
        <w:t>. As of the Effective Date, it is a company or corporation duly organized, validly</w:t>
      </w:r>
      <w:r>
        <w:rPr>
          <w:rFonts w:ascii="Arial" w:cs="Arial" w:eastAsia="Arial" w:hAnsi="Arial"/>
          <w:sz w:val="21"/>
          <w:szCs w:val="21"/>
          <w:b w:val="1"/>
          <w:bCs w:val="1"/>
          <w:color w:val="auto"/>
        </w:rPr>
        <w:t xml:space="preserve"> </w:t>
      </w:r>
      <w:r>
        <w:rPr>
          <w:rFonts w:ascii="Arial" w:cs="Arial" w:eastAsia="Arial" w:hAnsi="Arial"/>
          <w:sz w:val="21"/>
          <w:szCs w:val="21"/>
          <w:color w:val="auto"/>
        </w:rPr>
        <w:t>existing, and in good standing under the Laws of the jurisdiction in which it is incorporated;</w:t>
      </w:r>
    </w:p>
    <w:p>
      <w:pPr>
        <w:spacing w:after="0" w:line="139" w:lineRule="exact"/>
        <w:rPr>
          <w:rFonts w:ascii="Arial" w:cs="Arial" w:eastAsia="Arial" w:hAnsi="Arial"/>
          <w:sz w:val="21"/>
          <w:szCs w:val="21"/>
          <w:b w:val="1"/>
          <w:bCs w:val="1"/>
          <w:color w:val="auto"/>
        </w:rPr>
      </w:pPr>
    </w:p>
    <w:p>
      <w:pPr>
        <w:jc w:val="both"/>
        <w:ind w:firstLine="1296"/>
        <w:spacing w:after="0" w:line="249" w:lineRule="auto"/>
        <w:tabs>
          <w:tab w:leader="none" w:pos="1855" w:val="left"/>
        </w:tabs>
        <w:numPr>
          <w:ilvl w:val="0"/>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Corporate Power, Authority and Binding Agreement</w:t>
      </w:r>
      <w:r>
        <w:rPr>
          <w:rFonts w:ascii="Arial" w:cs="Arial" w:eastAsia="Arial" w:hAnsi="Arial"/>
          <w:sz w:val="19"/>
          <w:szCs w:val="19"/>
          <w:color w:val="auto"/>
        </w:rPr>
        <w:t>. As of the Effective Date, (i) it has the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 subject to applicable bankruptcy, insolvency, reorganization, moratorium and similar Laws affecting creditors’ rights and remedies generally;</w:t>
      </w:r>
    </w:p>
    <w:p>
      <w:pPr>
        <w:spacing w:after="0" w:line="143" w:lineRule="exact"/>
        <w:rPr>
          <w:rFonts w:ascii="Arial" w:cs="Arial" w:eastAsia="Arial" w:hAnsi="Arial"/>
          <w:sz w:val="19"/>
          <w:szCs w:val="19"/>
          <w:b w:val="1"/>
          <w:bCs w:val="1"/>
          <w:color w:val="auto"/>
        </w:rPr>
      </w:pPr>
    </w:p>
    <w:p>
      <w:pPr>
        <w:jc w:val="both"/>
        <w:ind w:firstLine="1296"/>
        <w:spacing w:after="0" w:line="237" w:lineRule="auto"/>
        <w:tabs>
          <w:tab w:leader="none" w:pos="1806" w:val="left"/>
        </w:tabs>
        <w:numPr>
          <w:ilvl w:val="0"/>
          <w:numId w:val="121"/>
        </w:numPr>
        <w:rPr>
          <w:rFonts w:ascii="Arial" w:cs="Arial" w:eastAsia="Arial" w:hAnsi="Arial"/>
          <w:sz w:val="20"/>
          <w:szCs w:val="20"/>
          <w:b w:val="1"/>
          <w:bCs w:val="1"/>
          <w:color w:val="auto"/>
        </w:rPr>
      </w:pPr>
      <w:r>
        <w:rPr>
          <w:rFonts w:ascii="Arial" w:cs="Arial" w:eastAsia="Arial" w:hAnsi="Arial"/>
          <w:sz w:val="20"/>
          <w:szCs w:val="20"/>
          <w:b w:val="1"/>
          <w:bCs w:val="1"/>
          <w:color w:val="auto"/>
        </w:rPr>
        <w:t>No Conflict</w:t>
      </w:r>
      <w:r>
        <w:rPr>
          <w:rFonts w:ascii="Arial" w:cs="Arial" w:eastAsia="Arial" w:hAnsi="Arial"/>
          <w:sz w:val="20"/>
          <w:szCs w:val="20"/>
          <w:color w:val="auto"/>
        </w:rPr>
        <w:t>. The execution and delivery of this Agreement, the performance of such Party’s obligations in</w:t>
      </w:r>
      <w:r>
        <w:rPr>
          <w:rFonts w:ascii="Arial" w:cs="Arial" w:eastAsia="Arial" w:hAnsi="Arial"/>
          <w:sz w:val="20"/>
          <w:szCs w:val="20"/>
          <w:b w:val="1"/>
          <w:bCs w:val="1"/>
          <w:color w:val="auto"/>
        </w:rPr>
        <w:t xml:space="preserve"> </w:t>
      </w:r>
      <w:r>
        <w:rPr>
          <w:rFonts w:ascii="Arial" w:cs="Arial" w:eastAsia="Arial" w:hAnsi="Arial"/>
          <w:sz w:val="20"/>
          <w:szCs w:val="20"/>
          <w:color w:val="auto"/>
        </w:rPr>
        <w:t>the conduct of the Development Plan and the license granted pursuant to this Agreement (i) do not conflict with or violate any requirement of Applicable Law existing as of the Effective Date; (ii) do not conflict with or violate the certificate of incorporation or by-laws (or other constating documents) of such Party; and (iii) do not conflict with, violate, breach or constitute a material default under any contractual obligations of such Party or any of its Affiliates existing as of the Effective Date;</w:t>
      </w:r>
    </w:p>
    <w:p>
      <w:pPr>
        <w:spacing w:after="0" w:line="152" w:lineRule="exact"/>
        <w:rPr>
          <w:rFonts w:ascii="Arial" w:cs="Arial" w:eastAsia="Arial" w:hAnsi="Arial"/>
          <w:sz w:val="20"/>
          <w:szCs w:val="20"/>
          <w:b w:val="1"/>
          <w:bCs w:val="1"/>
          <w:color w:val="auto"/>
        </w:rPr>
      </w:pPr>
    </w:p>
    <w:p>
      <w:pPr>
        <w:jc w:val="both"/>
        <w:ind w:firstLine="1296"/>
        <w:spacing w:after="0" w:line="234" w:lineRule="auto"/>
        <w:tabs>
          <w:tab w:leader="none" w:pos="1851"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No Violation</w:t>
      </w:r>
      <w:r>
        <w:rPr>
          <w:rFonts w:ascii="Arial" w:cs="Arial" w:eastAsia="Arial" w:hAnsi="Arial"/>
          <w:sz w:val="21"/>
          <w:szCs w:val="21"/>
          <w:color w:val="auto"/>
        </w:rPr>
        <w:t>. Neither Party nor any of its Affiliates is under any obligation to any Person, contractual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that is in violation of the terms of this Agreement or that would impede the fulfillment of such Party’s obligations hereunder;</w:t>
      </w:r>
    </w:p>
    <w:p>
      <w:pPr>
        <w:spacing w:after="0" w:line="152" w:lineRule="exact"/>
        <w:rPr>
          <w:rFonts w:ascii="Arial" w:cs="Arial" w:eastAsia="Arial" w:hAnsi="Arial"/>
          <w:sz w:val="21"/>
          <w:szCs w:val="21"/>
          <w:b w:val="1"/>
          <w:bCs w:val="1"/>
          <w:color w:val="auto"/>
        </w:rPr>
      </w:pPr>
    </w:p>
    <w:p>
      <w:pPr>
        <w:ind w:firstLine="1296"/>
        <w:spacing w:after="0" w:line="251" w:lineRule="auto"/>
        <w:tabs>
          <w:tab w:leader="none" w:pos="1860"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No Debarment</w:t>
      </w:r>
      <w:r>
        <w:rPr>
          <w:rFonts w:ascii="Arial" w:cs="Arial" w:eastAsia="Arial" w:hAnsi="Arial"/>
          <w:sz w:val="21"/>
          <w:szCs w:val="21"/>
          <w:color w:val="auto"/>
        </w:rPr>
        <w:t>. Neither such Party nor any of its Affiliates is debarred or disqualified under the Act or</w:t>
      </w:r>
      <w:r>
        <w:rPr>
          <w:rFonts w:ascii="Arial" w:cs="Arial" w:eastAsia="Arial" w:hAnsi="Arial"/>
          <w:sz w:val="21"/>
          <w:szCs w:val="21"/>
          <w:b w:val="1"/>
          <w:bCs w:val="1"/>
          <w:color w:val="auto"/>
        </w:rPr>
        <w:t xml:space="preserve"> </w:t>
      </w:r>
      <w:r>
        <w:rPr>
          <w:rFonts w:ascii="Arial" w:cs="Arial" w:eastAsia="Arial" w:hAnsi="Arial"/>
          <w:sz w:val="21"/>
          <w:szCs w:val="21"/>
          <w:color w:val="auto"/>
        </w:rPr>
        <w:t>comparable Applicable Laws outside the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93" w:right="339" w:bottom="1440" w:gutter="0" w:footer="0" w:header="0"/>
        </w:sectPr>
      </w:pPr>
    </w:p>
    <w:bookmarkStart w:id="176" w:name="page177"/>
    <w:bookmarkEnd w:id="176"/>
    <w:p>
      <w:pPr>
        <w:jc w:val="both"/>
        <w:ind w:firstLine="1296"/>
        <w:spacing w:after="0" w:line="229" w:lineRule="auto"/>
        <w:tabs>
          <w:tab w:leader="none" w:pos="1846" w:val="left"/>
        </w:tabs>
        <w:numPr>
          <w:ilvl w:val="0"/>
          <w:numId w:val="122"/>
        </w:numPr>
        <w:rPr>
          <w:rFonts w:ascii="Arial" w:cs="Arial" w:eastAsia="Arial" w:hAnsi="Arial"/>
          <w:sz w:val="21"/>
          <w:szCs w:val="21"/>
          <w:b w:val="1"/>
          <w:bCs w:val="1"/>
          <w:color w:val="auto"/>
        </w:rPr>
      </w:pPr>
      <w:r>
        <w:rPr>
          <w:rFonts w:ascii="Arial" w:cs="Arial" w:eastAsia="Arial" w:hAnsi="Arial"/>
          <w:sz w:val="21"/>
          <w:szCs w:val="21"/>
          <w:b w:val="1"/>
          <w:bCs w:val="1"/>
          <w:color w:val="auto"/>
        </w:rPr>
        <w:t>No Consents</w:t>
      </w:r>
      <w:r>
        <w:rPr>
          <w:rFonts w:ascii="Arial" w:cs="Arial" w:eastAsia="Arial" w:hAnsi="Arial"/>
          <w:sz w:val="21"/>
          <w:szCs w:val="21"/>
          <w:color w:val="auto"/>
        </w:rPr>
        <w:t>. No authorization, consent, approval of a Third Party, nor to such Party’s knowledge, any</w:t>
      </w:r>
      <w:r>
        <w:rPr>
          <w:rFonts w:ascii="Arial" w:cs="Arial" w:eastAsia="Arial" w:hAnsi="Arial"/>
          <w:sz w:val="21"/>
          <w:szCs w:val="21"/>
          <w:b w:val="1"/>
          <w:bCs w:val="1"/>
          <w:color w:val="auto"/>
        </w:rPr>
        <w:t xml:space="preserve"> </w:t>
      </w:r>
      <w:r>
        <w:rPr>
          <w:rFonts w:ascii="Arial" w:cs="Arial" w:eastAsia="Arial" w:hAnsi="Arial"/>
          <w:sz w:val="21"/>
          <w:szCs w:val="21"/>
          <w:color w:val="auto"/>
        </w:rPr>
        <w:t>license, permit, exemption of or filing or registration with or notification to any court or Governmental Authority is or will be necessary for the (i) valid execution and delivery of this Agreement by such Party; or (ii) the consummation by such Party of the transactions contemplated hereby.</w:t>
      </w:r>
    </w:p>
    <w:p>
      <w:pPr>
        <w:spacing w:after="0" w:line="152" w:lineRule="exact"/>
        <w:rPr>
          <w:sz w:val="20"/>
          <w:szCs w:val="20"/>
          <w:color w:val="auto"/>
        </w:rPr>
      </w:pPr>
    </w:p>
    <w:p>
      <w:pPr>
        <w:ind w:firstLine="644"/>
        <w:spacing w:after="0" w:line="251" w:lineRule="auto"/>
        <w:rPr>
          <w:sz w:val="20"/>
          <w:szCs w:val="20"/>
          <w:color w:val="auto"/>
        </w:rPr>
      </w:pPr>
      <w:r>
        <w:rPr>
          <w:rFonts w:ascii="Arial" w:cs="Arial" w:eastAsia="Arial" w:hAnsi="Arial"/>
          <w:sz w:val="21"/>
          <w:szCs w:val="21"/>
          <w:b w:val="1"/>
          <w:bCs w:val="1"/>
          <w:color w:val="auto"/>
        </w:rPr>
        <w:t>10.2 Additional Representations, Warranties, and Covenants of Keros</w:t>
      </w:r>
      <w:r>
        <w:rPr>
          <w:rFonts w:ascii="Arial" w:cs="Arial" w:eastAsia="Arial" w:hAnsi="Arial"/>
          <w:sz w:val="21"/>
          <w:szCs w:val="21"/>
          <w:color w:val="auto"/>
        </w:rPr>
        <w:t>. Keros represents, warrants, and covenants (as</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to Hansoh as follows:</w:t>
      </w:r>
    </w:p>
    <w:p>
      <w:pPr>
        <w:spacing w:after="0" w:line="139" w:lineRule="exact"/>
        <w:rPr>
          <w:sz w:val="20"/>
          <w:szCs w:val="20"/>
          <w:color w:val="auto"/>
        </w:rPr>
      </w:pPr>
    </w:p>
    <w:p>
      <w:pPr>
        <w:jc w:val="both"/>
        <w:ind w:firstLine="1296"/>
        <w:spacing w:after="0" w:line="229" w:lineRule="auto"/>
        <w:tabs>
          <w:tab w:leader="none" w:pos="1803"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Title</w:t>
      </w:r>
      <w:r>
        <w:rPr>
          <w:rFonts w:ascii="Arial" w:cs="Arial" w:eastAsia="Arial" w:hAnsi="Arial"/>
          <w:sz w:val="21"/>
          <w:szCs w:val="21"/>
          <w:color w:val="auto"/>
        </w:rPr>
        <w:t>. As of the Effective Date, it has sufficient legal and/or beneficial title or ownership or license to grant</w:t>
      </w:r>
      <w:r>
        <w:rPr>
          <w:rFonts w:ascii="Arial" w:cs="Arial" w:eastAsia="Arial" w:hAnsi="Arial"/>
          <w:sz w:val="21"/>
          <w:szCs w:val="21"/>
          <w:b w:val="1"/>
          <w:bCs w:val="1"/>
          <w:color w:val="auto"/>
        </w:rPr>
        <w:t xml:space="preserve"> </w:t>
      </w:r>
      <w:r>
        <w:rPr>
          <w:rFonts w:ascii="Arial" w:cs="Arial" w:eastAsia="Arial" w:hAnsi="Arial"/>
          <w:sz w:val="21"/>
          <w:szCs w:val="21"/>
          <w:color w:val="auto"/>
        </w:rPr>
        <w:t>the licenses to Hansoh as purported to be granted pursuant to this Agreement, free and clear of any rights therein granted to any Third Party, and it has not granted and will not grant to any other Person any rights in the Keros Technology in any manner that would conflict with the rights granted to Hansoh under this Agreement;</w:t>
      </w:r>
    </w:p>
    <w:p>
      <w:pPr>
        <w:spacing w:after="0" w:line="152" w:lineRule="exact"/>
        <w:rPr>
          <w:rFonts w:ascii="Arial" w:cs="Arial" w:eastAsia="Arial" w:hAnsi="Arial"/>
          <w:sz w:val="21"/>
          <w:szCs w:val="21"/>
          <w:b w:val="1"/>
          <w:bCs w:val="1"/>
          <w:color w:val="auto"/>
        </w:rPr>
      </w:pPr>
    </w:p>
    <w:p>
      <w:pPr>
        <w:ind w:firstLine="1296"/>
        <w:spacing w:after="0" w:line="275" w:lineRule="auto"/>
        <w:tabs>
          <w:tab w:leader="none" w:pos="1819"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Encumbrances</w:t>
      </w:r>
      <w:r>
        <w:rPr>
          <w:rFonts w:ascii="Arial" w:cs="Arial" w:eastAsia="Arial" w:hAnsi="Arial"/>
          <w:sz w:val="20"/>
          <w:szCs w:val="20"/>
          <w:color w:val="auto"/>
        </w:rPr>
        <w:t>. As of the Effective Date, the Keros Technology is not subject to any encumbrance, lien or</w:t>
      </w:r>
      <w:r>
        <w:rPr>
          <w:rFonts w:ascii="Arial" w:cs="Arial" w:eastAsia="Arial" w:hAnsi="Arial"/>
          <w:sz w:val="20"/>
          <w:szCs w:val="20"/>
          <w:b w:val="1"/>
          <w:bCs w:val="1"/>
          <w:color w:val="auto"/>
        </w:rPr>
        <w:t xml:space="preserve"> </w:t>
      </w:r>
      <w:r>
        <w:rPr>
          <w:rFonts w:ascii="Arial" w:cs="Arial" w:eastAsia="Arial" w:hAnsi="Arial"/>
          <w:sz w:val="20"/>
          <w:szCs w:val="20"/>
          <w:color w:val="auto"/>
        </w:rPr>
        <w:t>claim of ownership by any Third Party in any way that would conflict with the rights granted to Hansoh under this Agreement;</w:t>
      </w:r>
    </w:p>
    <w:p>
      <w:pPr>
        <w:spacing w:after="0" w:line="117" w:lineRule="exact"/>
        <w:rPr>
          <w:rFonts w:ascii="Arial" w:cs="Arial" w:eastAsia="Arial" w:hAnsi="Arial"/>
          <w:sz w:val="20"/>
          <w:szCs w:val="20"/>
          <w:b w:val="1"/>
          <w:bCs w:val="1"/>
          <w:color w:val="auto"/>
        </w:rPr>
      </w:pPr>
    </w:p>
    <w:p>
      <w:pPr>
        <w:jc w:val="both"/>
        <w:ind w:firstLine="1296"/>
        <w:spacing w:after="0" w:line="229" w:lineRule="auto"/>
        <w:tabs>
          <w:tab w:leader="none" w:pos="1772"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Full Force and Effect</w:t>
      </w:r>
      <w:r>
        <w:rPr>
          <w:rFonts w:ascii="Arial" w:cs="Arial" w:eastAsia="Arial" w:hAnsi="Arial"/>
          <w:sz w:val="21"/>
          <w:szCs w:val="21"/>
          <w:color w:val="auto"/>
        </w:rPr>
        <w:t>. As of the Effective Date, (i) all of the Keros Licensed Patents that are issued Patents</w:t>
      </w:r>
      <w:r>
        <w:rPr>
          <w:rFonts w:ascii="Arial" w:cs="Arial" w:eastAsia="Arial" w:hAnsi="Arial"/>
          <w:sz w:val="21"/>
          <w:szCs w:val="21"/>
          <w:b w:val="1"/>
          <w:bCs w:val="1"/>
          <w:color w:val="auto"/>
        </w:rPr>
        <w:t xml:space="preserve"> </w:t>
      </w:r>
      <w:r>
        <w:rPr>
          <w:rFonts w:ascii="Arial" w:cs="Arial" w:eastAsia="Arial" w:hAnsi="Arial"/>
          <w:sz w:val="21"/>
          <w:szCs w:val="21"/>
          <w:color w:val="auto"/>
        </w:rPr>
        <w:t>existing as of the Effective Date are in full force and effect; (ii) Keros has no knowledge that any Keros Licensed Patents are invalid or unenforceable; and (iii) Keros is not aware of any pending or threatened action, suit, proceeding, or claim by a Third Party challenging the validity or enforceability of such issued Patents;</w:t>
      </w:r>
    </w:p>
    <w:p>
      <w:pPr>
        <w:spacing w:after="0" w:line="152" w:lineRule="exact"/>
        <w:rPr>
          <w:rFonts w:ascii="Arial" w:cs="Arial" w:eastAsia="Arial" w:hAnsi="Arial"/>
          <w:sz w:val="21"/>
          <w:szCs w:val="21"/>
          <w:b w:val="1"/>
          <w:bCs w:val="1"/>
          <w:color w:val="auto"/>
        </w:rPr>
      </w:pPr>
    </w:p>
    <w:p>
      <w:pPr>
        <w:ind w:firstLine="1296"/>
        <w:spacing w:after="0" w:line="275" w:lineRule="auto"/>
        <w:tabs>
          <w:tab w:leader="none" w:pos="1829"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Applicable Fees</w:t>
      </w:r>
      <w:r>
        <w:rPr>
          <w:rFonts w:ascii="Arial" w:cs="Arial" w:eastAsia="Arial" w:hAnsi="Arial"/>
          <w:sz w:val="20"/>
          <w:szCs w:val="20"/>
          <w:color w:val="auto"/>
        </w:rPr>
        <w:t>. As of the Effective Date, all applicable fees due to patent authorities with respect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filing and prosecution of the Keros Licensed Patents existing as of the Effective Date have been paid in a timely manner;</w:t>
      </w:r>
    </w:p>
    <w:p>
      <w:pPr>
        <w:spacing w:after="0" w:line="117" w:lineRule="exact"/>
        <w:rPr>
          <w:rFonts w:ascii="Arial" w:cs="Arial" w:eastAsia="Arial" w:hAnsi="Arial"/>
          <w:sz w:val="20"/>
          <w:szCs w:val="20"/>
          <w:b w:val="1"/>
          <w:bCs w:val="1"/>
          <w:color w:val="auto"/>
        </w:rPr>
      </w:pPr>
    </w:p>
    <w:p>
      <w:pPr>
        <w:jc w:val="both"/>
        <w:ind w:firstLine="1296"/>
        <w:spacing w:after="0" w:line="221" w:lineRule="auto"/>
        <w:tabs>
          <w:tab w:leader="none" w:pos="1822"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Covenant</w:t>
      </w:r>
      <w:r>
        <w:rPr>
          <w:rFonts w:ascii="Arial" w:cs="Arial" w:eastAsia="Arial" w:hAnsi="Arial"/>
          <w:sz w:val="21"/>
          <w:szCs w:val="21"/>
          <w:color w:val="auto"/>
        </w:rPr>
        <w:t>. Keros will not (i) license, sell, assign or otherwise transfer Keros Technology in a manner that</w:t>
      </w:r>
      <w:r>
        <w:rPr>
          <w:rFonts w:ascii="Arial" w:cs="Arial" w:eastAsia="Arial" w:hAnsi="Arial"/>
          <w:sz w:val="21"/>
          <w:szCs w:val="21"/>
          <w:b w:val="1"/>
          <w:bCs w:val="1"/>
          <w:color w:val="auto"/>
        </w:rPr>
        <w:t xml:space="preserve"> </w:t>
      </w:r>
      <w:r>
        <w:rPr>
          <w:rFonts w:ascii="Arial" w:cs="Arial" w:eastAsia="Arial" w:hAnsi="Arial"/>
          <w:sz w:val="21"/>
          <w:szCs w:val="21"/>
          <w:color w:val="auto"/>
        </w:rPr>
        <w:t>conflicts with the rights granted to Hansoh hereunder, or (ii) permit to exist or grant to any Third Party, with respect to any Keros Technology, any lien, encumbrance, charge, security interest, mortgage, liability, or other restriction (including in connection with any indebtedness) (each a “</w:t>
      </w:r>
      <w:r>
        <w:rPr>
          <w:rFonts w:ascii="Arial" w:cs="Arial" w:eastAsia="Arial" w:hAnsi="Arial"/>
          <w:sz w:val="21"/>
          <w:szCs w:val="21"/>
          <w:b w:val="1"/>
          <w:bCs w:val="1"/>
          <w:color w:val="auto"/>
        </w:rPr>
        <w:t>Third Party Restriction</w:t>
      </w:r>
      <w:r>
        <w:rPr>
          <w:rFonts w:ascii="Arial" w:cs="Arial" w:eastAsia="Arial" w:hAnsi="Arial"/>
          <w:sz w:val="21"/>
          <w:szCs w:val="21"/>
          <w:color w:val="auto"/>
        </w:rPr>
        <w:t xml:space="preserve">”) which materially conflicts with the rights granted to Hansoh hereunder,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always that (x) nothing in parts (i) or (ii) of this Section 10.2(e) shall prevent Keros from entering into any transaction</w:t>
      </w:r>
      <w:r>
        <w:rPr>
          <w:rFonts w:ascii="Arial" w:cs="Arial" w:eastAsia="Arial" w:hAnsi="Arial"/>
          <w:sz w:val="21"/>
          <w:szCs w:val="21"/>
          <w:i w:val="1"/>
          <w:iCs w:val="1"/>
          <w:color w:val="auto"/>
        </w:rPr>
        <w:t xml:space="preserve"> </w:t>
      </w:r>
      <w:r>
        <w:rPr>
          <w:rFonts w:ascii="Arial" w:cs="Arial" w:eastAsia="Arial" w:hAnsi="Arial"/>
          <w:sz w:val="21"/>
          <w:szCs w:val="21"/>
          <w:color w:val="auto"/>
        </w:rPr>
        <w:t>that is subject to Hansoh’s rights under this Agreement and (y) in the event that a Third Party Restriction which materially conflicts with the rights granted to Hansoh is imposed on Keros (as opposed to being granted by Keros) by operation of law or otherwise [***];</w:t>
      </w:r>
    </w:p>
    <w:p>
      <w:pPr>
        <w:spacing w:after="0" w:line="153" w:lineRule="exact"/>
        <w:rPr>
          <w:rFonts w:ascii="Arial" w:cs="Arial" w:eastAsia="Arial" w:hAnsi="Arial"/>
          <w:sz w:val="21"/>
          <w:szCs w:val="21"/>
          <w:b w:val="1"/>
          <w:bCs w:val="1"/>
          <w:color w:val="auto"/>
        </w:rPr>
      </w:pPr>
    </w:p>
    <w:p>
      <w:pPr>
        <w:jc w:val="both"/>
        <w:ind w:firstLine="1296"/>
        <w:spacing w:after="0" w:line="237" w:lineRule="auto"/>
        <w:tabs>
          <w:tab w:leader="none" w:pos="1738"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Notice of Infringement or Misappropriation</w:t>
      </w:r>
      <w:r>
        <w:rPr>
          <w:rFonts w:ascii="Arial" w:cs="Arial" w:eastAsia="Arial" w:hAnsi="Arial"/>
          <w:sz w:val="20"/>
          <w:szCs w:val="20"/>
          <w:color w:val="auto"/>
        </w:rPr>
        <w:t>. As of the Effective Date, no claim or action has been brought</w:t>
      </w:r>
      <w:r>
        <w:rPr>
          <w:rFonts w:ascii="Arial" w:cs="Arial" w:eastAsia="Arial" w:hAnsi="Arial"/>
          <w:sz w:val="20"/>
          <w:szCs w:val="20"/>
          <w:b w:val="1"/>
          <w:bCs w:val="1"/>
          <w:color w:val="auto"/>
        </w:rPr>
        <w:t xml:space="preserve"> </w:t>
      </w:r>
      <w:r>
        <w:rPr>
          <w:rFonts w:ascii="Arial" w:cs="Arial" w:eastAsia="Arial" w:hAnsi="Arial"/>
          <w:sz w:val="20"/>
          <w:szCs w:val="20"/>
          <w:color w:val="auto"/>
        </w:rPr>
        <w:t>or threatened in writing by any Third Party asserting or alleging that (i) any research, development, manufacture, or commercialization of a Licensed Product by Keros prior to the Effective Date infringed or misappropriated the intellectual property rights of such Third Party, or (ii) the Development, Manufacture, or Commercialization of the Licensed Products in the Hansoh Territory would infringe or misappropriate the intellectual property rights of such Third Party;</w:t>
      </w:r>
    </w:p>
    <w:p>
      <w:pPr>
        <w:spacing w:after="0" w:line="152" w:lineRule="exact"/>
        <w:rPr>
          <w:rFonts w:ascii="Arial" w:cs="Arial" w:eastAsia="Arial" w:hAnsi="Arial"/>
          <w:sz w:val="20"/>
          <w:szCs w:val="20"/>
          <w:b w:val="1"/>
          <w:bCs w:val="1"/>
          <w:color w:val="auto"/>
        </w:rPr>
      </w:pPr>
    </w:p>
    <w:p>
      <w:pPr>
        <w:jc w:val="both"/>
        <w:ind w:firstLine="1296"/>
        <w:spacing w:after="0" w:line="234" w:lineRule="auto"/>
        <w:tabs>
          <w:tab w:leader="none" w:pos="1915"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No Misappropriation</w:t>
      </w:r>
      <w:r>
        <w:rPr>
          <w:rFonts w:ascii="Arial" w:cs="Arial" w:eastAsia="Arial" w:hAnsi="Arial"/>
          <w:sz w:val="21"/>
          <w:szCs w:val="21"/>
          <w:color w:val="auto"/>
        </w:rPr>
        <w:t>. In regard to the Keros Technology, (i) as of the Effective Date, Keros has not</w:t>
      </w:r>
      <w:r>
        <w:rPr>
          <w:rFonts w:ascii="Arial" w:cs="Arial" w:eastAsia="Arial" w:hAnsi="Arial"/>
          <w:sz w:val="21"/>
          <w:szCs w:val="21"/>
          <w:b w:val="1"/>
          <w:bCs w:val="1"/>
          <w:color w:val="auto"/>
        </w:rPr>
        <w:t xml:space="preserve"> </w:t>
      </w:r>
      <w:r>
        <w:rPr>
          <w:rFonts w:ascii="Arial" w:cs="Arial" w:eastAsia="Arial" w:hAnsi="Arial"/>
          <w:sz w:val="21"/>
          <w:szCs w:val="21"/>
          <w:color w:val="auto"/>
        </w:rPr>
        <w:t>misappropriated any intellectual property right of any Third Party, and (ii) Keros will not knowingly misappropriate any intellectual property right of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87" w:right="339" w:bottom="1440" w:gutter="0" w:footer="0" w:header="0"/>
        </w:sectPr>
      </w:pPr>
    </w:p>
    <w:bookmarkStart w:id="177" w:name="page178"/>
    <w:bookmarkEnd w:id="177"/>
    <w:p>
      <w:pPr>
        <w:ind w:firstLine="1296"/>
        <w:spacing w:after="0" w:line="251" w:lineRule="auto"/>
        <w:tabs>
          <w:tab w:leader="none" w:pos="1831" w:val="left"/>
        </w:tabs>
        <w:numPr>
          <w:ilvl w:val="0"/>
          <w:numId w:val="124"/>
        </w:numPr>
        <w:rPr>
          <w:rFonts w:ascii="Arial" w:cs="Arial" w:eastAsia="Arial" w:hAnsi="Arial"/>
          <w:sz w:val="21"/>
          <w:szCs w:val="21"/>
          <w:b w:val="1"/>
          <w:bCs w:val="1"/>
          <w:color w:val="auto"/>
        </w:rPr>
      </w:pPr>
      <w:r>
        <w:rPr>
          <w:rFonts w:ascii="Arial" w:cs="Arial" w:eastAsia="Arial" w:hAnsi="Arial"/>
          <w:sz w:val="21"/>
          <w:szCs w:val="21"/>
          <w:b w:val="1"/>
          <w:bCs w:val="1"/>
          <w:color w:val="auto"/>
        </w:rPr>
        <w:t>Non-Infringement of Rights by Third Parties</w:t>
      </w:r>
      <w:r>
        <w:rPr>
          <w:rFonts w:ascii="Arial" w:cs="Arial" w:eastAsia="Arial" w:hAnsi="Arial"/>
          <w:sz w:val="21"/>
          <w:szCs w:val="21"/>
          <w:color w:val="auto"/>
        </w:rPr>
        <w:t>. To Keros’ knowledge, no Third Party is infringing or has</w:t>
      </w:r>
      <w:r>
        <w:rPr>
          <w:rFonts w:ascii="Arial" w:cs="Arial" w:eastAsia="Arial" w:hAnsi="Arial"/>
          <w:sz w:val="21"/>
          <w:szCs w:val="21"/>
          <w:b w:val="1"/>
          <w:bCs w:val="1"/>
          <w:color w:val="auto"/>
        </w:rPr>
        <w:t xml:space="preserve"> </w:t>
      </w:r>
      <w:r>
        <w:rPr>
          <w:rFonts w:ascii="Arial" w:cs="Arial" w:eastAsia="Arial" w:hAnsi="Arial"/>
          <w:sz w:val="21"/>
          <w:szCs w:val="21"/>
          <w:color w:val="auto"/>
        </w:rPr>
        <w:t>infringed the Keros Licensed Patents as of the Effective Date; and</w:t>
      </w:r>
    </w:p>
    <w:p>
      <w:pPr>
        <w:spacing w:after="0" w:line="139" w:lineRule="exact"/>
        <w:rPr>
          <w:rFonts w:ascii="Arial" w:cs="Arial" w:eastAsia="Arial" w:hAnsi="Arial"/>
          <w:sz w:val="21"/>
          <w:szCs w:val="21"/>
          <w:b w:val="1"/>
          <w:bCs w:val="1"/>
          <w:color w:val="auto"/>
        </w:rPr>
      </w:pPr>
    </w:p>
    <w:p>
      <w:pPr>
        <w:ind w:right="20" w:firstLine="1296"/>
        <w:spacing w:after="0" w:line="251" w:lineRule="auto"/>
        <w:tabs>
          <w:tab w:leader="none" w:pos="1835" w:val="left"/>
        </w:tabs>
        <w:numPr>
          <w:ilvl w:val="0"/>
          <w:numId w:val="124"/>
        </w:numPr>
        <w:rPr>
          <w:rFonts w:ascii="Arial" w:cs="Arial" w:eastAsia="Arial" w:hAnsi="Arial"/>
          <w:sz w:val="21"/>
          <w:szCs w:val="21"/>
          <w:b w:val="1"/>
          <w:bCs w:val="1"/>
          <w:color w:val="auto"/>
        </w:rPr>
      </w:pPr>
      <w:r>
        <w:rPr>
          <w:rFonts w:ascii="Arial" w:cs="Arial" w:eastAsia="Arial" w:hAnsi="Arial"/>
          <w:sz w:val="21"/>
          <w:szCs w:val="21"/>
          <w:b w:val="1"/>
          <w:bCs w:val="1"/>
          <w:color w:val="auto"/>
        </w:rPr>
        <w:t>No Proceeding</w:t>
      </w:r>
      <w:r>
        <w:rPr>
          <w:rFonts w:ascii="Arial" w:cs="Arial" w:eastAsia="Arial" w:hAnsi="Arial"/>
          <w:sz w:val="21"/>
          <w:szCs w:val="21"/>
          <w:color w:val="auto"/>
        </w:rPr>
        <w:t>. As of the Effective Date, there is no pending, and to Keros’ knowledge, no threatened,</w:t>
      </w:r>
      <w:r>
        <w:rPr>
          <w:rFonts w:ascii="Arial" w:cs="Arial" w:eastAsia="Arial" w:hAnsi="Arial"/>
          <w:sz w:val="21"/>
          <w:szCs w:val="21"/>
          <w:b w:val="1"/>
          <w:bCs w:val="1"/>
          <w:color w:val="auto"/>
        </w:rPr>
        <w:t xml:space="preserve"> </w:t>
      </w:r>
      <w:r>
        <w:rPr>
          <w:rFonts w:ascii="Arial" w:cs="Arial" w:eastAsia="Arial" w:hAnsi="Arial"/>
          <w:sz w:val="21"/>
          <w:szCs w:val="21"/>
          <w:color w:val="auto"/>
        </w:rPr>
        <w:t>adverse action, suit or proceeding against Keros involving any Keros Technology or a Licensed Product.</w:t>
      </w:r>
    </w:p>
    <w:p>
      <w:pPr>
        <w:spacing w:after="0" w:line="139" w:lineRule="exact"/>
        <w:rPr>
          <w:sz w:val="20"/>
          <w:szCs w:val="20"/>
          <w:color w:val="auto"/>
        </w:rPr>
      </w:pPr>
    </w:p>
    <w:p>
      <w:pPr>
        <w:ind w:firstLine="644"/>
        <w:spacing w:after="0" w:line="251" w:lineRule="auto"/>
        <w:rPr>
          <w:sz w:val="20"/>
          <w:szCs w:val="20"/>
          <w:color w:val="auto"/>
        </w:rPr>
      </w:pPr>
      <w:r>
        <w:rPr>
          <w:rFonts w:ascii="Arial" w:cs="Arial" w:eastAsia="Arial" w:hAnsi="Arial"/>
          <w:sz w:val="21"/>
          <w:szCs w:val="21"/>
          <w:b w:val="1"/>
          <w:bCs w:val="1"/>
          <w:color w:val="auto"/>
        </w:rPr>
        <w:t>10.3 Additional Representations, Warranties, and Covenants of Hansoh</w:t>
      </w:r>
      <w:r>
        <w:rPr>
          <w:rFonts w:ascii="Arial" w:cs="Arial" w:eastAsia="Arial" w:hAnsi="Arial"/>
          <w:sz w:val="21"/>
          <w:szCs w:val="21"/>
          <w:color w:val="auto"/>
        </w:rPr>
        <w:t>. Hansoh represents, warrants, and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(as applicable) to Keros that:</w:t>
      </w:r>
    </w:p>
    <w:p>
      <w:pPr>
        <w:spacing w:after="0" w:line="145" w:lineRule="exact"/>
        <w:rPr>
          <w:sz w:val="20"/>
          <w:szCs w:val="20"/>
          <w:color w:val="auto"/>
        </w:rPr>
      </w:pPr>
    </w:p>
    <w:p>
      <w:pPr>
        <w:jc w:val="both"/>
        <w:ind w:firstLine="1296"/>
        <w:spacing w:after="0" w:line="227" w:lineRule="auto"/>
        <w:tabs>
          <w:tab w:leader="none" w:pos="1753" w:val="left"/>
        </w:tabs>
        <w:numPr>
          <w:ilvl w:val="0"/>
          <w:numId w:val="125"/>
        </w:numPr>
        <w:rPr>
          <w:rFonts w:ascii="Arial" w:cs="Arial" w:eastAsia="Arial" w:hAnsi="Arial"/>
          <w:sz w:val="21"/>
          <w:szCs w:val="21"/>
          <w:b w:val="1"/>
          <w:bCs w:val="1"/>
          <w:color w:val="auto"/>
        </w:rPr>
      </w:pPr>
      <w:r>
        <w:rPr>
          <w:rFonts w:ascii="Arial" w:cs="Arial" w:eastAsia="Arial" w:hAnsi="Arial"/>
          <w:sz w:val="21"/>
          <w:szCs w:val="21"/>
          <w:color w:val="auto"/>
        </w:rPr>
        <w:t>Neither Hansoh nor any of its Affiliates, nor any of their respective employees, agents or contractors shall use any confidential information obtained from any Third Party (including any prior employer), directly or indirectly, whether obtained prior to the Effective Date or during the Term, in connection with activities performed under this Agreement without authorization from such Third Party, and [***];</w:t>
      </w:r>
    </w:p>
    <w:p>
      <w:pPr>
        <w:spacing w:after="0" w:line="160" w:lineRule="exact"/>
        <w:rPr>
          <w:rFonts w:ascii="Arial" w:cs="Arial" w:eastAsia="Arial" w:hAnsi="Arial"/>
          <w:sz w:val="21"/>
          <w:szCs w:val="21"/>
          <w:b w:val="1"/>
          <w:bCs w:val="1"/>
          <w:color w:val="auto"/>
        </w:rPr>
      </w:pPr>
    </w:p>
    <w:p>
      <w:pPr>
        <w:jc w:val="both"/>
        <w:ind w:firstLine="1296"/>
        <w:spacing w:after="0" w:line="227" w:lineRule="auto"/>
        <w:tabs>
          <w:tab w:leader="none" w:pos="1792" w:val="left"/>
        </w:tabs>
        <w:numPr>
          <w:ilvl w:val="0"/>
          <w:numId w:val="125"/>
        </w:numPr>
        <w:rPr>
          <w:rFonts w:ascii="Arial" w:cs="Arial" w:eastAsia="Arial" w:hAnsi="Arial"/>
          <w:sz w:val="21"/>
          <w:szCs w:val="21"/>
          <w:b w:val="1"/>
          <w:bCs w:val="1"/>
          <w:color w:val="auto"/>
        </w:rPr>
      </w:pPr>
      <w:r>
        <w:rPr>
          <w:rFonts w:ascii="Arial" w:cs="Arial" w:eastAsia="Arial" w:hAnsi="Arial"/>
          <w:sz w:val="21"/>
          <w:szCs w:val="21"/>
          <w:color w:val="auto"/>
        </w:rPr>
        <w:t>Neither Hansoh nor any of its Affiliates [***] in connection with activities relating to any Licensed Product; and in the event that Hansoh becomes aware of the debarment or disqualification or threatened debarment or disqualification of any Person providing services to Hansoh or any of its Affiliates with respect to any activities relating to any Licensed Product, Hansoh will immediately notify Keros in writing [***]; and</w:t>
      </w:r>
    </w:p>
    <w:p>
      <w:pPr>
        <w:spacing w:after="0" w:line="160" w:lineRule="exact"/>
        <w:rPr>
          <w:rFonts w:ascii="Arial" w:cs="Arial" w:eastAsia="Arial" w:hAnsi="Arial"/>
          <w:sz w:val="21"/>
          <w:szCs w:val="21"/>
          <w:b w:val="1"/>
          <w:bCs w:val="1"/>
          <w:color w:val="auto"/>
        </w:rPr>
      </w:pPr>
    </w:p>
    <w:p>
      <w:pPr>
        <w:ind w:firstLine="1296"/>
        <w:spacing w:after="0" w:line="245" w:lineRule="auto"/>
        <w:tabs>
          <w:tab w:leader="none" w:pos="1755" w:val="left"/>
        </w:tabs>
        <w:numPr>
          <w:ilvl w:val="0"/>
          <w:numId w:val="125"/>
        </w:numPr>
        <w:rPr>
          <w:rFonts w:ascii="Arial" w:cs="Arial" w:eastAsia="Arial" w:hAnsi="Arial"/>
          <w:sz w:val="21"/>
          <w:szCs w:val="21"/>
          <w:b w:val="1"/>
          <w:bCs w:val="1"/>
          <w:color w:val="auto"/>
        </w:rPr>
      </w:pPr>
      <w:r>
        <w:rPr>
          <w:rFonts w:ascii="Arial" w:cs="Arial" w:eastAsia="Arial" w:hAnsi="Arial"/>
          <w:sz w:val="21"/>
          <w:szCs w:val="21"/>
          <w:color w:val="auto"/>
        </w:rPr>
        <w:t>Neither Hansoh nor any of its Affiliates, or its or their sublicensees, shall exploit in any manner any Licensed Product outside of the scope of the licenses expressly granted to Hansoh under this Agreement.</w:t>
      </w:r>
    </w:p>
    <w:p>
      <w:pPr>
        <w:spacing w:after="0" w:line="14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10.4</w:t>
      </w:r>
      <w:r>
        <w:rPr>
          <w:sz w:val="20"/>
          <w:szCs w:val="20"/>
          <w:color w:val="auto"/>
        </w:rPr>
        <w:tab/>
      </w:r>
      <w:r>
        <w:rPr>
          <w:rFonts w:ascii="Arial" w:cs="Arial" w:eastAsia="Arial" w:hAnsi="Arial"/>
          <w:sz w:val="19"/>
          <w:szCs w:val="19"/>
          <w:b w:val="1"/>
          <w:bCs w:val="1"/>
          <w:color w:val="auto"/>
        </w:rPr>
        <w:t>Compliance with Laws</w:t>
      </w:r>
      <w:r>
        <w:rPr>
          <w:rFonts w:ascii="Arial" w:cs="Arial" w:eastAsia="Arial" w:hAnsi="Arial"/>
          <w:sz w:val="19"/>
          <w:szCs w:val="19"/>
          <w:color w:val="auto"/>
        </w:rPr>
        <w:t>.</w:t>
      </w:r>
    </w:p>
    <w:p>
      <w:pPr>
        <w:spacing w:after="0" w:line="194" w:lineRule="exact"/>
        <w:rPr>
          <w:sz w:val="20"/>
          <w:szCs w:val="20"/>
          <w:color w:val="auto"/>
        </w:rPr>
      </w:pPr>
    </w:p>
    <w:p>
      <w:pPr>
        <w:jc w:val="both"/>
        <w:ind w:firstLine="1296"/>
        <w:spacing w:after="0" w:line="220" w:lineRule="auto"/>
        <w:tabs>
          <w:tab w:leader="none" w:pos="1874" w:val="left"/>
        </w:tabs>
        <w:numPr>
          <w:ilvl w:val="0"/>
          <w:numId w:val="126"/>
        </w:numPr>
        <w:rPr>
          <w:rFonts w:ascii="Arial" w:cs="Arial" w:eastAsia="Arial" w:hAnsi="Arial"/>
          <w:sz w:val="21"/>
          <w:szCs w:val="21"/>
          <w:b w:val="1"/>
          <w:bCs w:val="1"/>
          <w:color w:val="auto"/>
        </w:rPr>
      </w:pPr>
      <w:r>
        <w:rPr>
          <w:rFonts w:ascii="Arial" w:cs="Arial" w:eastAsia="Arial" w:hAnsi="Arial"/>
          <w:sz w:val="21"/>
          <w:szCs w:val="21"/>
          <w:color w:val="auto"/>
        </w:rPr>
        <w:t>Each Party shall, and shall ensure that its Affiliates and their respective sublicensees will, comply in all respects with Anti-Corruption Laws, Proper Conduct Practices and all Applicable Law in the Development, Manufacturing, and Commercialization of Licensed Products and performance of its obligations under this Agreement, including the ICH, GCP, GLP and any Regulatory Authority and Governmental Authority health care programs having jurisdiction in such Party’s respective Territory, each as may be amended from time to time. To the extent that a Party is carrying out activities in the Hansoh Territory under this Agreement, each Party shall perform, and shall cause its Affiliates or other licensees or sublicensees to perform, such activities in compliance with all applicable rules, regulations, or guidance issued by the Human Genetic Resources Administration of China (“</w:t>
      </w:r>
      <w:r>
        <w:rPr>
          <w:rFonts w:ascii="Arial" w:cs="Arial" w:eastAsia="Arial" w:hAnsi="Arial"/>
          <w:sz w:val="21"/>
          <w:szCs w:val="21"/>
          <w:b w:val="1"/>
          <w:bCs w:val="1"/>
          <w:color w:val="auto"/>
        </w:rPr>
        <w:t>HGRAC</w:t>
      </w:r>
      <w:r>
        <w:rPr>
          <w:rFonts w:ascii="Arial" w:cs="Arial" w:eastAsia="Arial" w:hAnsi="Arial"/>
          <w:sz w:val="21"/>
          <w:szCs w:val="21"/>
          <w:color w:val="auto"/>
        </w:rPr>
        <w:t>”).</w:t>
      </w:r>
    </w:p>
    <w:p>
      <w:pPr>
        <w:spacing w:after="0" w:line="161" w:lineRule="exact"/>
        <w:rPr>
          <w:rFonts w:ascii="Arial" w:cs="Arial" w:eastAsia="Arial" w:hAnsi="Arial"/>
          <w:sz w:val="21"/>
          <w:szCs w:val="21"/>
          <w:b w:val="1"/>
          <w:bCs w:val="1"/>
          <w:color w:val="auto"/>
        </w:rPr>
      </w:pPr>
    </w:p>
    <w:p>
      <w:pPr>
        <w:jc w:val="both"/>
        <w:ind w:firstLine="1296"/>
        <w:spacing w:after="0" w:line="236" w:lineRule="auto"/>
        <w:tabs>
          <w:tab w:leader="none" w:pos="1779" w:val="left"/>
        </w:tabs>
        <w:numPr>
          <w:ilvl w:val="0"/>
          <w:numId w:val="126"/>
        </w:numPr>
        <w:rPr>
          <w:rFonts w:ascii="Arial" w:cs="Arial" w:eastAsia="Arial" w:hAnsi="Arial"/>
          <w:sz w:val="20"/>
          <w:szCs w:val="20"/>
          <w:b w:val="1"/>
          <w:bCs w:val="1"/>
          <w:color w:val="auto"/>
        </w:rPr>
      </w:pPr>
      <w:r>
        <w:rPr>
          <w:rFonts w:ascii="Arial" w:cs="Arial" w:eastAsia="Arial" w:hAnsi="Arial"/>
          <w:sz w:val="20"/>
          <w:szCs w:val="20"/>
          <w:color w:val="auto"/>
        </w:rPr>
        <w:t>Each Party shall immediately notify the other Party if it has any information or suspicion that there may be a violation of any Applicable Laws (including Anti-Corruption Laws) in connection with its performance under this Agreement or the Development or Commercialization of any Licensed Product hereunder. In the event that either Party has violated or been suspected of violating any of its obligations, representations, warranties or covenants in Section 10.4(a), such Party will take reasonable actions to remedy such breach and to prevent further such breaches from occurring.</w:t>
      </w:r>
    </w:p>
    <w:p>
      <w:pPr>
        <w:spacing w:after="0" w:line="157" w:lineRule="exact"/>
        <w:rPr>
          <w:rFonts w:ascii="Arial" w:cs="Arial" w:eastAsia="Arial" w:hAnsi="Arial"/>
          <w:sz w:val="20"/>
          <w:szCs w:val="20"/>
          <w:b w:val="1"/>
          <w:bCs w:val="1"/>
          <w:color w:val="auto"/>
        </w:rPr>
      </w:pPr>
    </w:p>
    <w:p>
      <w:pPr>
        <w:jc w:val="both"/>
        <w:ind w:firstLine="1296"/>
        <w:spacing w:after="0" w:line="227" w:lineRule="auto"/>
        <w:tabs>
          <w:tab w:leader="none" w:pos="1741" w:val="left"/>
        </w:tabs>
        <w:numPr>
          <w:ilvl w:val="0"/>
          <w:numId w:val="126"/>
        </w:numPr>
        <w:rPr>
          <w:rFonts w:ascii="Arial" w:cs="Arial" w:eastAsia="Arial" w:hAnsi="Arial"/>
          <w:sz w:val="21"/>
          <w:szCs w:val="21"/>
          <w:b w:val="1"/>
          <w:bCs w:val="1"/>
          <w:color w:val="auto"/>
        </w:rPr>
      </w:pPr>
      <w:r>
        <w:rPr>
          <w:rFonts w:ascii="Arial" w:cs="Arial" w:eastAsia="Arial" w:hAnsi="Arial"/>
          <w:sz w:val="21"/>
          <w:szCs w:val="21"/>
          <w:color w:val="auto"/>
        </w:rPr>
        <w:t>Notwithstanding the foregoing, each Party will have the right, upon reasonable prior written notice and during the other Party’s regular business hours, to audit the other Party’s books and records in the event that a suspected violation of any Anti-Corruption Law needs to be investigated (in such Party’s reasonable, good-faith discretion). Such audit shall be conducted by such Party’s audit team comprised of qualified auditors who have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87" w:right="339" w:bottom="1440" w:gutter="0" w:footer="0" w:header="0"/>
        </w:sectPr>
      </w:pPr>
    </w:p>
    <w:bookmarkStart w:id="178" w:name="page179"/>
    <w:bookmarkEnd w:id="178"/>
    <w:p>
      <w:pPr>
        <w:jc w:val="both"/>
        <w:spacing w:after="0" w:line="245" w:lineRule="auto"/>
        <w:rPr>
          <w:sz w:val="20"/>
          <w:szCs w:val="20"/>
          <w:color w:val="auto"/>
        </w:rPr>
      </w:pPr>
      <w:r>
        <w:rPr>
          <w:rFonts w:ascii="Arial" w:cs="Arial" w:eastAsia="Arial" w:hAnsi="Arial"/>
          <w:sz w:val="21"/>
          <w:szCs w:val="21"/>
          <w:color w:val="auto"/>
        </w:rPr>
        <w:t>anticorruption training, but such audit shall not be more often than [***] per Calendar Year except with respect to a for-cause audit.</w:t>
      </w:r>
    </w:p>
    <w:p>
      <w:pPr>
        <w:spacing w:after="0" w:line="145" w:lineRule="exact"/>
        <w:rPr>
          <w:sz w:val="20"/>
          <w:szCs w:val="20"/>
          <w:color w:val="auto"/>
        </w:rPr>
      </w:pPr>
    </w:p>
    <w:p>
      <w:pPr>
        <w:jc w:val="both"/>
        <w:ind w:firstLine="644"/>
        <w:spacing w:after="0" w:line="219" w:lineRule="auto"/>
        <w:rPr>
          <w:sz w:val="20"/>
          <w:szCs w:val="20"/>
          <w:color w:val="auto"/>
        </w:rPr>
      </w:pPr>
      <w:r>
        <w:rPr>
          <w:rFonts w:ascii="Arial" w:cs="Arial" w:eastAsia="Arial" w:hAnsi="Arial"/>
          <w:sz w:val="21"/>
          <w:szCs w:val="21"/>
          <w:b w:val="1"/>
          <w:bCs w:val="1"/>
          <w:color w:val="auto"/>
        </w:rPr>
        <w:t>10.5 No Other Representations or Warranties</w:t>
      </w:r>
      <w:r>
        <w:rPr>
          <w:rFonts w:ascii="Arial" w:cs="Arial" w:eastAsia="Arial" w:hAnsi="Arial"/>
          <w:sz w:val="21"/>
          <w:szCs w:val="21"/>
          <w:color w:val="auto"/>
        </w:rPr>
        <w:t>. EXCEPT AS EXPRESSLY STATED IN THIS AGREEMENT, NO</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REPRESENTATIONS OR WARRANTIES WHATSOEVER, WHETHER EXPRESS OR IMPLIED, INCLUDING WARRANTIES OF MERCHANTABILITY, FITNESS FOR A PARTICULAR PURPOSE, NON-INFRINGEMENT OR NON-MISAPPROPRIATION OF THIRD PARTY INTELLECTUAL PROPERTY RIGHTS, ARE MADE OR GIVEN BY OR ON BEHALF OF A PARTY OR ITS AFFILIATES, AND ALL REPRESENTATIONS AND WARRANTIES, WHETHER ARISING BY OPERATION OF LAW OR OTHERWISE, ARE HEREBY EXPRESSLY EXCLUDED. FOR CLARITY AND WITHOUT LIMITING THE FOREGOING, KEROS MAKES NO REPRESENTATION OR WARRANTY CONCERNING THE LICENSED PRODUCTS OR KEROS TECHNOLOGY EXCEPT AS EXPRESSLY SET FORTH IN THIS AGREEMENT AND HANSOH MAKES NO REPRESENTATION OR WARRANTY CONCERNING THE HANSOH TECHNOLOGY EXCEPT AS EXPRESSLY SET FORTH IN THIS AGREEMENT.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11</w:t>
      </w:r>
    </w:p>
    <w:p>
      <w:pPr>
        <w:jc w:val="center"/>
        <w:spacing w:after="0"/>
        <w:rPr>
          <w:sz w:val="20"/>
          <w:szCs w:val="20"/>
          <w:color w:val="auto"/>
        </w:rPr>
      </w:pPr>
      <w:r>
        <w:rPr>
          <w:rFonts w:ascii="Arial" w:cs="Arial" w:eastAsia="Arial" w:hAnsi="Arial"/>
          <w:sz w:val="21"/>
          <w:szCs w:val="21"/>
          <w:b w:val="1"/>
          <w:bCs w:val="1"/>
          <w:color w:val="auto"/>
        </w:rPr>
        <w:t>INDEMNIFICATION</w:t>
      </w:r>
    </w:p>
    <w:p>
      <w:pPr>
        <w:spacing w:after="0" w:line="164" w:lineRule="exact"/>
        <w:rPr>
          <w:sz w:val="20"/>
          <w:szCs w:val="20"/>
          <w:color w:val="auto"/>
        </w:rPr>
      </w:pPr>
    </w:p>
    <w:p>
      <w:pPr>
        <w:jc w:val="both"/>
        <w:ind w:firstLine="644"/>
        <w:spacing w:after="0"/>
        <w:rPr>
          <w:sz w:val="20"/>
          <w:szCs w:val="20"/>
          <w:color w:val="auto"/>
        </w:rPr>
      </w:pPr>
      <w:r>
        <w:rPr>
          <w:rFonts w:ascii="Arial" w:cs="Arial" w:eastAsia="Arial" w:hAnsi="Arial"/>
          <w:sz w:val="19"/>
          <w:szCs w:val="19"/>
          <w:b w:val="1"/>
          <w:bCs w:val="1"/>
          <w:color w:val="auto"/>
        </w:rPr>
        <w:t>11.1 Indemnification by Keros</w:t>
      </w:r>
      <w:r>
        <w:rPr>
          <w:rFonts w:ascii="Arial" w:cs="Arial" w:eastAsia="Arial" w:hAnsi="Arial"/>
          <w:sz w:val="19"/>
          <w:szCs w:val="19"/>
          <w:color w:val="auto"/>
        </w:rPr>
        <w:t>. Keros shall defend, indemnify, and hold Hansoh and its Affiliates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directors, employees, and agents (the “</w:t>
      </w:r>
      <w:r>
        <w:rPr>
          <w:rFonts w:ascii="Arial" w:cs="Arial" w:eastAsia="Arial" w:hAnsi="Arial"/>
          <w:sz w:val="19"/>
          <w:szCs w:val="19"/>
          <w:b w:val="1"/>
          <w:bCs w:val="1"/>
          <w:color w:val="auto"/>
        </w:rPr>
        <w:t>Hansoh Indemnitees</w:t>
      </w:r>
      <w:r>
        <w:rPr>
          <w:rFonts w:ascii="Arial" w:cs="Arial" w:eastAsia="Arial" w:hAnsi="Arial"/>
          <w:sz w:val="19"/>
          <w:szCs w:val="19"/>
          <w:color w:val="auto"/>
        </w:rPr>
        <w:t>”) harmless from and against any and all losses, damages, liabilities, expenses and costs, including reasonable legal expense and attorneys’ fees (“</w:t>
      </w:r>
      <w:r>
        <w:rPr>
          <w:rFonts w:ascii="Arial" w:cs="Arial" w:eastAsia="Arial" w:hAnsi="Arial"/>
          <w:sz w:val="19"/>
          <w:szCs w:val="19"/>
          <w:b w:val="1"/>
          <w:bCs w:val="1"/>
          <w:color w:val="auto"/>
        </w:rPr>
        <w:t>Losses</w:t>
      </w:r>
      <w:r>
        <w:rPr>
          <w:rFonts w:ascii="Arial" w:cs="Arial" w:eastAsia="Arial" w:hAnsi="Arial"/>
          <w:sz w:val="19"/>
          <w:szCs w:val="19"/>
          <w:color w:val="auto"/>
        </w:rPr>
        <w:t>”) to which any Hansoh Indemnitee may become subject as a result of any claim, demand, action or other proceeding by any Third Party (collectively, “</w:t>
      </w:r>
      <w:r>
        <w:rPr>
          <w:rFonts w:ascii="Arial" w:cs="Arial" w:eastAsia="Arial" w:hAnsi="Arial"/>
          <w:sz w:val="19"/>
          <w:szCs w:val="19"/>
          <w:b w:val="1"/>
          <w:bCs w:val="1"/>
          <w:color w:val="auto"/>
        </w:rPr>
        <w:t>Claims</w:t>
      </w:r>
      <w:r>
        <w:rPr>
          <w:rFonts w:ascii="Arial" w:cs="Arial" w:eastAsia="Arial" w:hAnsi="Arial"/>
          <w:sz w:val="19"/>
          <w:szCs w:val="19"/>
          <w:color w:val="auto"/>
        </w:rPr>
        <w:t>”) arising out of, based on, or resulting from, directly or indirectly: (a) the Development, Manufacture, or Commercialization of Licensed Products in the Hansoh Territory by or on behalf of Keros or its Affiliates prior to the Effective Date, (b) the Development, Manufacture, or Commercialization of Licensed Products in the Keros Territory (except to the extent that any such activities are conducted by or on behalf of Hansoh or its Affiliates as permitted under this Agreement) (including any Third Party Infringement Actions), (c) any breach of this Agreement by Keros, (d) the conduct of any pharmacovigilance-related activities set forth in Section 5.8 by or on behalf of Keros (except to the extent that such Claim arises from Hansoh’s provision of false, misleading, inaccurate or incomplete information to Keros under Section 5.8 or Hansoh’s breach of its obligations under the Pharmacovigilance Agreement) or (e) the willful misconduct or negligent acts of or violation of Applicable Law by any Keros Indemnitee in connection with this Agreement. The foregoing indemnity obligation shall not apply to the extent that (i) the Hansoh Indemnitees fail to comply with the indemnification procedures set forth in Section 11.3 and Keros’ defense of the relevant Claim is materially prejudiced by such failure, or (ii) any Claim arises from, is based on, or results from any activity or occurrence for which Hansoh is obligated to indemnify the Keros Indemnitees under Section 11.2.</w:t>
      </w:r>
    </w:p>
    <w:p>
      <w:pPr>
        <w:spacing w:after="0" w:line="155" w:lineRule="exact"/>
        <w:rPr>
          <w:sz w:val="20"/>
          <w:szCs w:val="20"/>
          <w:color w:val="auto"/>
        </w:rPr>
      </w:pPr>
    </w:p>
    <w:p>
      <w:pPr>
        <w:jc w:val="both"/>
        <w:ind w:firstLine="644"/>
        <w:spacing w:after="0" w:line="244" w:lineRule="auto"/>
        <w:rPr>
          <w:sz w:val="20"/>
          <w:szCs w:val="20"/>
          <w:color w:val="auto"/>
        </w:rPr>
      </w:pPr>
      <w:r>
        <w:rPr>
          <w:rFonts w:ascii="Arial" w:cs="Arial" w:eastAsia="Arial" w:hAnsi="Arial"/>
          <w:sz w:val="19"/>
          <w:szCs w:val="19"/>
          <w:b w:val="1"/>
          <w:bCs w:val="1"/>
          <w:color w:val="auto"/>
        </w:rPr>
        <w:t>11.2 Indemnification by Hansoh</w:t>
      </w:r>
      <w:r>
        <w:rPr>
          <w:rFonts w:ascii="Arial" w:cs="Arial" w:eastAsia="Arial" w:hAnsi="Arial"/>
          <w:sz w:val="19"/>
          <w:szCs w:val="19"/>
          <w:color w:val="auto"/>
        </w:rPr>
        <w:t>. Hansoh shall defend, indemnify, and hold Keros and its Affiliates and their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officers, directors, employees, and agents (the “</w:t>
      </w:r>
      <w:r>
        <w:rPr>
          <w:rFonts w:ascii="Arial" w:cs="Arial" w:eastAsia="Arial" w:hAnsi="Arial"/>
          <w:sz w:val="19"/>
          <w:szCs w:val="19"/>
          <w:b w:val="1"/>
          <w:bCs w:val="1"/>
          <w:color w:val="auto"/>
        </w:rPr>
        <w:t>Keros Indemnitees</w:t>
      </w:r>
      <w:r>
        <w:rPr>
          <w:rFonts w:ascii="Arial" w:cs="Arial" w:eastAsia="Arial" w:hAnsi="Arial"/>
          <w:sz w:val="19"/>
          <w:szCs w:val="19"/>
          <w:color w:val="auto"/>
        </w:rPr>
        <w:t>”) harmless from and against any and all Losses to which any Keros Indemnitee may become subject as a result of any Claims arising out of, based on, or resulting from, directly or indirectly:</w:t>
      </w:r>
    </w:p>
    <w:p>
      <w:pPr>
        <w:spacing w:after="0" w:line="2" w:lineRule="exact"/>
        <w:rPr>
          <w:sz w:val="20"/>
          <w:szCs w:val="20"/>
          <w:color w:val="auto"/>
        </w:rPr>
      </w:pPr>
    </w:p>
    <w:p>
      <w:pPr>
        <w:jc w:val="both"/>
        <w:ind w:firstLine="7"/>
        <w:spacing w:after="0" w:line="220" w:lineRule="auto"/>
        <w:tabs>
          <w:tab w:leader="none" w:pos="321"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Development, Manufacture, or Commercialization of Licensed Products by or on behalf of Hansoh or its Affiliates or sublicensees on or after the Effective Date (except to the extent that any such activities are conducted by or on behalf of Keros or its Affiliates as permitted under this Agreement) (including any Third Party Infringement Actions), (b) any breach of this Agreement by Hansoh, (c) the conduct of any pharmacovigilance-related activities set forth in Section 5.8 by or on behalf of Hansoh (except to the extent that such Claim arises from Keros’ provision of false, misleading, inaccurate or incomplete information to Hansoh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393" w:right="339" w:bottom="1440" w:gutter="0" w:footer="0" w:header="0"/>
        </w:sectPr>
      </w:pPr>
    </w:p>
    <w:bookmarkStart w:id="179" w:name="page180"/>
    <w:bookmarkEnd w:id="179"/>
    <w:p>
      <w:pPr>
        <w:jc w:val="both"/>
        <w:spacing w:after="0" w:line="223" w:lineRule="auto"/>
        <w:rPr>
          <w:sz w:val="20"/>
          <w:szCs w:val="20"/>
          <w:color w:val="auto"/>
        </w:rPr>
      </w:pPr>
      <w:r>
        <w:rPr>
          <w:rFonts w:ascii="Arial" w:cs="Arial" w:eastAsia="Arial" w:hAnsi="Arial"/>
          <w:sz w:val="21"/>
          <w:szCs w:val="21"/>
          <w:color w:val="auto"/>
        </w:rPr>
        <w:t>under Section 5.8 or Keros’ breach of its obligations under the Pharmacovigilance Agreement) or (d) the willful misconduct or negligent acts of or violation of Applicable Law by any Hansoh Indemnitee in connection with this Agreement. The foregoing indemnity obligation shall not apply to the extent that (i) the Keros Indemnitees fail to comply with the indemnification procedures set forth in Section 11.3 and Hansoh’s defense of the relevant Claim is materially prejudiced by such failure, or (ii) any Claim arises from, is based on, or results from any activity or occurrence for which Keros is obligated to indemnify the Hansoh Indemnitees under Section 11.1.</w:t>
      </w:r>
    </w:p>
    <w:p>
      <w:pPr>
        <w:spacing w:after="0" w:line="151" w:lineRule="exact"/>
        <w:rPr>
          <w:sz w:val="20"/>
          <w:szCs w:val="20"/>
          <w:color w:val="auto"/>
        </w:rPr>
      </w:pPr>
    </w:p>
    <w:p>
      <w:pPr>
        <w:jc w:val="both"/>
        <w:ind w:firstLine="644"/>
        <w:spacing w:after="0" w:line="227" w:lineRule="auto"/>
        <w:rPr>
          <w:sz w:val="20"/>
          <w:szCs w:val="20"/>
          <w:color w:val="auto"/>
        </w:rPr>
      </w:pPr>
      <w:r>
        <w:rPr>
          <w:rFonts w:ascii="Arial" w:cs="Arial" w:eastAsia="Arial" w:hAnsi="Arial"/>
          <w:sz w:val="20"/>
          <w:szCs w:val="20"/>
          <w:b w:val="1"/>
          <w:bCs w:val="1"/>
          <w:color w:val="auto"/>
        </w:rPr>
        <w:t>11.3 Indemnification Procedures</w:t>
      </w:r>
      <w:r>
        <w:rPr>
          <w:rFonts w:ascii="Arial" w:cs="Arial" w:eastAsia="Arial" w:hAnsi="Arial"/>
          <w:sz w:val="20"/>
          <w:szCs w:val="20"/>
          <w:color w:val="auto"/>
        </w:rPr>
        <w:t>. The Party claiming indemnity under this Article 11 (the “</w:t>
      </w:r>
      <w:r>
        <w:rPr>
          <w:rFonts w:ascii="Arial" w:cs="Arial" w:eastAsia="Arial" w:hAnsi="Arial"/>
          <w:sz w:val="20"/>
          <w:szCs w:val="20"/>
          <w:b w:val="1"/>
          <w:bCs w:val="1"/>
          <w:color w:val="auto"/>
        </w:rPr>
        <w:t>Indemnified Party</w:t>
      </w:r>
      <w:r>
        <w:rPr>
          <w:rFonts w:ascii="Arial" w:cs="Arial" w:eastAsia="Arial" w:hAnsi="Arial"/>
          <w:sz w:val="20"/>
          <w:szCs w:val="20"/>
          <w:color w:val="auto"/>
        </w:rPr>
        <w:t>”) shall</w:t>
      </w:r>
      <w:r>
        <w:rPr>
          <w:rFonts w:ascii="Arial" w:cs="Arial" w:eastAsia="Arial" w:hAnsi="Arial"/>
          <w:sz w:val="20"/>
          <w:szCs w:val="20"/>
          <w:b w:val="1"/>
          <w:bCs w:val="1"/>
          <w:color w:val="auto"/>
        </w:rPr>
        <w:t xml:space="preserve"> </w:t>
      </w:r>
      <w:r>
        <w:rPr>
          <w:rFonts w:ascii="Arial" w:cs="Arial" w:eastAsia="Arial" w:hAnsi="Arial"/>
          <w:sz w:val="20"/>
          <w:szCs w:val="20"/>
          <w:color w:val="auto"/>
        </w:rPr>
        <w:t>give written notice to the Party from whom indemnity is being sought (the “</w:t>
      </w:r>
      <w:r>
        <w:rPr>
          <w:rFonts w:ascii="Arial" w:cs="Arial" w:eastAsia="Arial" w:hAnsi="Arial"/>
          <w:sz w:val="20"/>
          <w:szCs w:val="20"/>
          <w:b w:val="1"/>
          <w:bCs w:val="1"/>
          <w:color w:val="auto"/>
        </w:rPr>
        <w:t>Indemnifying Party</w:t>
      </w:r>
      <w:r>
        <w:rPr>
          <w:rFonts w:ascii="Arial" w:cs="Arial" w:eastAsia="Arial" w:hAnsi="Arial"/>
          <w:sz w:val="20"/>
          <w:szCs w:val="20"/>
          <w:color w:val="auto"/>
        </w:rPr>
        <w:t xml:space="preserve">”) promptly after learning of such Claim and shall offer control of the defense of such Claim to the Indemnifying Party. 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choosing at its sole expense;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the Indemnifying Party shall have the right to assume and conduct the defense of the Claim with counsel of its choice. The Indemnifying Party shall not settle any Claim without the prior written consent of the Indemnified Party, not to be unreasonably withheld, unless the settlement involves only the payment of money. So long as the Indemnifying Party is actively defending the Claim in good faith, the Indemnified Party shall not settle or compromise any such Claim without the prior written consent of the Indemnifying Party. If the Indemnifying Party does not assume and conduct the defense of the Claim as provided above, (a)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(b) the Indemnifying Party shall remain responsible to indemnify the Indemnified Party as provided in this Article 11. Notwithstanding anything contained in the foregoing to the contrary, the provisions of Section 9.5 shall govern the defense of any Third Party Infringement Actions. Additionally, in the event that Keros has elected to defend any such Third Party Infringement Action, then Hansoh shall not be obligated to indemnify Keros for any Claims related to such Third Party Infringement Action; rather, the Parties shall share such Claims equally.</w:t>
      </w:r>
    </w:p>
    <w:p>
      <w:pPr>
        <w:spacing w:after="0" w:line="165" w:lineRule="exact"/>
        <w:rPr>
          <w:sz w:val="20"/>
          <w:szCs w:val="20"/>
          <w:color w:val="auto"/>
        </w:rPr>
      </w:pPr>
    </w:p>
    <w:p>
      <w:pPr>
        <w:jc w:val="both"/>
        <w:ind w:firstLine="644"/>
        <w:spacing w:after="0" w:line="222" w:lineRule="auto"/>
        <w:rPr>
          <w:sz w:val="20"/>
          <w:szCs w:val="20"/>
          <w:color w:val="auto"/>
        </w:rPr>
      </w:pPr>
      <w:r>
        <w:rPr>
          <w:rFonts w:ascii="Arial" w:cs="Arial" w:eastAsia="Arial" w:hAnsi="Arial"/>
          <w:sz w:val="21"/>
          <w:szCs w:val="21"/>
          <w:b w:val="1"/>
          <w:bCs w:val="1"/>
          <w:color w:val="auto"/>
        </w:rPr>
        <w:t>11.4 Limitation of Liability</w:t>
      </w:r>
      <w:r>
        <w:rPr>
          <w:rFonts w:ascii="Arial" w:cs="Arial" w:eastAsia="Arial" w:hAnsi="Arial"/>
          <w:sz w:val="21"/>
          <w:szCs w:val="21"/>
          <w:color w:val="auto"/>
        </w:rPr>
        <w:t>. NEITHER PARTY SHALL BE LIABLE TO THE OTHER FOR ANY INDIRECT,</w:t>
      </w:r>
      <w:r>
        <w:rPr>
          <w:rFonts w:ascii="Arial" w:cs="Arial" w:eastAsia="Arial" w:hAnsi="Arial"/>
          <w:sz w:val="21"/>
          <w:szCs w:val="21"/>
          <w:b w:val="1"/>
          <w:bCs w:val="1"/>
          <w:color w:val="auto"/>
        </w:rPr>
        <w:t xml:space="preserve"> </w:t>
      </w:r>
      <w:r>
        <w:rPr>
          <w:rFonts w:ascii="Arial" w:cs="Arial" w:eastAsia="Arial" w:hAnsi="Arial"/>
          <w:sz w:val="21"/>
          <w:szCs w:val="21"/>
          <w:color w:val="auto"/>
        </w:rPr>
        <w:t>CONSEQUENTIAL, INCIDENTAL, PUNITIVE, OR OTHER SPECIAL DAMAGES ARISING FROM OR RELATING TO ANY BREACH OF THIS AGREEMENT, REGARDLESS OF ANY NOTICE OF THE POSSIBILITY OF SUCH DAMAGES. NOTWITHSTANDING THE FOREGOING, NOTHING IN THIS SECTION 11.4 IS INTENDED TO OR SHALL LIMIT OR RESTRICT THE INDEMNIFICATION RIGHTS OR OBLIGATIONS OF ANY PARTY UNDER SECTION 11.1 OR 11.2, OR DAMAGES AVAILABLE FOR A PARTY’S BREACH OF ITS EXCLUSIVITY OBLIGATIONS IN SECTION 2.5 OR ITS CONFIDENTIALITY OBLIGATIONS IN SECTION 12.</w:t>
      </w:r>
    </w:p>
    <w:p>
      <w:pPr>
        <w:spacing w:after="0" w:line="154" w:lineRule="exact"/>
        <w:rPr>
          <w:sz w:val="20"/>
          <w:szCs w:val="20"/>
          <w:color w:val="auto"/>
        </w:rPr>
      </w:pPr>
    </w:p>
    <w:p>
      <w:pPr>
        <w:jc w:val="both"/>
        <w:ind w:firstLine="644"/>
        <w:spacing w:after="0" w:line="224" w:lineRule="auto"/>
        <w:rPr>
          <w:sz w:val="20"/>
          <w:szCs w:val="20"/>
          <w:color w:val="auto"/>
        </w:rPr>
      </w:pPr>
      <w:r>
        <w:rPr>
          <w:rFonts w:ascii="Arial" w:cs="Arial" w:eastAsia="Arial" w:hAnsi="Arial"/>
          <w:sz w:val="21"/>
          <w:szCs w:val="21"/>
          <w:b w:val="1"/>
          <w:bCs w:val="1"/>
          <w:color w:val="auto"/>
        </w:rPr>
        <w:t>11.5 Insurance</w:t>
      </w:r>
      <w:r>
        <w:rPr>
          <w:rFonts w:ascii="Arial" w:cs="Arial" w:eastAsia="Arial" w:hAnsi="Arial"/>
          <w:sz w:val="21"/>
          <w:szCs w:val="21"/>
          <w:color w:val="auto"/>
        </w:rPr>
        <w:t>. Each Party shall procure and maintain insurance, including product liability insurance, adequate to</w:t>
      </w:r>
      <w:r>
        <w:rPr>
          <w:rFonts w:ascii="Arial" w:cs="Arial" w:eastAsia="Arial" w:hAnsi="Arial"/>
          <w:sz w:val="21"/>
          <w:szCs w:val="21"/>
          <w:b w:val="1"/>
          <w:bCs w:val="1"/>
          <w:color w:val="auto"/>
        </w:rPr>
        <w:t xml:space="preserve"> </w:t>
      </w:r>
      <w:r>
        <w:rPr>
          <w:rFonts w:ascii="Arial" w:cs="Arial" w:eastAsia="Arial" w:hAnsi="Arial"/>
          <w:sz w:val="21"/>
          <w:szCs w:val="21"/>
          <w:color w:val="auto"/>
        </w:rPr>
        <w:t>cover its obligations hereunder and consistent with normal business practices of prudent companies similarly situated. It is understood that such insurance shall not be construed to create a limit of either Party’s liability with respect to its indemnification obligations under this Article 11. Each Party shall provide the other Party with written evidence of such insurance upon request. Each Party shall provide the other Party with written notice at least [***] prior to the cancellation, non-renewal or material change in such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393"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21"/>
          <w:szCs w:val="21"/>
          <w:b w:val="1"/>
          <w:bCs w:val="1"/>
          <w:color w:val="auto"/>
        </w:rPr>
        <w:t>ARTICLE 12</w:t>
      </w:r>
    </w:p>
    <w:p>
      <w:pPr>
        <w:jc w:val="center"/>
        <w:spacing w:after="0"/>
        <w:rPr>
          <w:sz w:val="20"/>
          <w:szCs w:val="20"/>
          <w:color w:val="auto"/>
        </w:rPr>
      </w:pPr>
      <w:r>
        <w:rPr>
          <w:rFonts w:ascii="Arial" w:cs="Arial" w:eastAsia="Arial" w:hAnsi="Arial"/>
          <w:sz w:val="21"/>
          <w:szCs w:val="21"/>
          <w:b w:val="1"/>
          <w:bCs w:val="1"/>
          <w:color w:val="auto"/>
        </w:rPr>
        <w:t>CONFIDENTIALITY</w:t>
      </w:r>
    </w:p>
    <w:p>
      <w:pPr>
        <w:spacing w:after="0" w:line="164" w:lineRule="exact"/>
        <w:rPr>
          <w:sz w:val="20"/>
          <w:szCs w:val="20"/>
          <w:color w:val="auto"/>
        </w:rPr>
      </w:pPr>
    </w:p>
    <w:p>
      <w:pPr>
        <w:jc w:val="both"/>
        <w:ind w:firstLine="644"/>
        <w:spacing w:after="0" w:line="224" w:lineRule="auto"/>
        <w:rPr>
          <w:sz w:val="20"/>
          <w:szCs w:val="20"/>
          <w:color w:val="auto"/>
        </w:rPr>
      </w:pPr>
      <w:r>
        <w:rPr>
          <w:rFonts w:ascii="Arial" w:cs="Arial" w:eastAsia="Arial" w:hAnsi="Arial"/>
          <w:sz w:val="21"/>
          <w:szCs w:val="21"/>
          <w:b w:val="1"/>
          <w:bCs w:val="1"/>
          <w:color w:val="auto"/>
        </w:rPr>
        <w:t>12.1 Confidentiality</w:t>
      </w:r>
      <w:r>
        <w:rPr>
          <w:rFonts w:ascii="Arial" w:cs="Arial" w:eastAsia="Arial" w:hAnsi="Arial"/>
          <w:sz w:val="21"/>
          <w:szCs w:val="21"/>
          <w:color w:val="auto"/>
        </w:rPr>
        <w:t>. Each Party agrees that, during the Term and for a period of [***] thereafter, it shall keep</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 and shall not publish or otherwise disclose and shall not use for any purpose other than as provided for in this Agreement (which includes the exercise of any rights or the performance of any obligations hereunder or thereunder) any Confidential Information of the other Party, except to the extent expressly agreed in writing by the Parties. The foregoing confidentiality and non-use obligations shall not apply to any portion of the other Party’s Confidential Information that the receiving Party can demonstrate by competent written proof:</w:t>
      </w:r>
    </w:p>
    <w:p>
      <w:pPr>
        <w:spacing w:after="0" w:line="157" w:lineRule="exact"/>
        <w:rPr>
          <w:sz w:val="20"/>
          <w:szCs w:val="20"/>
          <w:color w:val="auto"/>
        </w:rPr>
      </w:pPr>
    </w:p>
    <w:p>
      <w:pPr>
        <w:ind w:firstLine="1296"/>
        <w:spacing w:after="0" w:line="245" w:lineRule="auto"/>
        <w:tabs>
          <w:tab w:leader="none" w:pos="1780" w:val="left"/>
        </w:tabs>
        <w:numPr>
          <w:ilvl w:val="0"/>
          <w:numId w:val="128"/>
        </w:numPr>
        <w:rPr>
          <w:rFonts w:ascii="Arial" w:cs="Arial" w:eastAsia="Arial" w:hAnsi="Arial"/>
          <w:sz w:val="21"/>
          <w:szCs w:val="21"/>
          <w:b w:val="1"/>
          <w:bCs w:val="1"/>
          <w:color w:val="auto"/>
        </w:rPr>
      </w:pPr>
      <w:r>
        <w:rPr>
          <w:rFonts w:ascii="Arial" w:cs="Arial" w:eastAsia="Arial" w:hAnsi="Arial"/>
          <w:sz w:val="21"/>
          <w:szCs w:val="21"/>
          <w:color w:val="auto"/>
        </w:rPr>
        <w:t>was already known to the receiving Party or its Affiliate, other than under an obligation of confidentiality, at the time of disclosure by the other Party;</w:t>
      </w:r>
    </w:p>
    <w:p>
      <w:pPr>
        <w:spacing w:after="0" w:line="151" w:lineRule="exact"/>
        <w:rPr>
          <w:rFonts w:ascii="Arial" w:cs="Arial" w:eastAsia="Arial" w:hAnsi="Arial"/>
          <w:sz w:val="21"/>
          <w:szCs w:val="21"/>
          <w:b w:val="1"/>
          <w:bCs w:val="1"/>
          <w:color w:val="auto"/>
        </w:rPr>
      </w:pPr>
    </w:p>
    <w:p>
      <w:pPr>
        <w:ind w:left="1780" w:hanging="484"/>
        <w:spacing w:after="0"/>
        <w:tabs>
          <w:tab w:leader="none" w:pos="1780" w:val="left"/>
        </w:tabs>
        <w:numPr>
          <w:ilvl w:val="0"/>
          <w:numId w:val="128"/>
        </w:numPr>
        <w:rPr>
          <w:rFonts w:ascii="Arial" w:cs="Arial" w:eastAsia="Arial" w:hAnsi="Arial"/>
          <w:sz w:val="19"/>
          <w:szCs w:val="19"/>
          <w:b w:val="1"/>
          <w:bCs w:val="1"/>
          <w:color w:val="auto"/>
        </w:rPr>
      </w:pPr>
      <w:r>
        <w:rPr>
          <w:rFonts w:ascii="Arial" w:cs="Arial" w:eastAsia="Arial" w:hAnsi="Arial"/>
          <w:sz w:val="19"/>
          <w:szCs w:val="19"/>
          <w:color w:val="auto"/>
        </w:rPr>
        <w:t>was generally available to the public or otherwise part of the public domain at the time of its disclosure to the</w:t>
      </w:r>
    </w:p>
    <w:p>
      <w:pPr>
        <w:spacing w:after="0" w:line="14"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1"/>
          <w:szCs w:val="21"/>
          <w:color w:val="auto"/>
        </w:rPr>
        <w:t>receiving Party;</w:t>
      </w:r>
    </w:p>
    <w:p>
      <w:pPr>
        <w:spacing w:after="0" w:line="169" w:lineRule="exact"/>
        <w:rPr>
          <w:rFonts w:ascii="Arial" w:cs="Arial" w:eastAsia="Arial" w:hAnsi="Arial"/>
          <w:sz w:val="19"/>
          <w:szCs w:val="19"/>
          <w:b w:val="1"/>
          <w:bCs w:val="1"/>
          <w:color w:val="auto"/>
        </w:rPr>
      </w:pPr>
    </w:p>
    <w:p>
      <w:pPr>
        <w:ind w:firstLine="1296"/>
        <w:spacing w:after="0" w:line="245" w:lineRule="auto"/>
        <w:tabs>
          <w:tab w:leader="none" w:pos="1768" w:val="left"/>
        </w:tabs>
        <w:numPr>
          <w:ilvl w:val="0"/>
          <w:numId w:val="128"/>
        </w:numPr>
        <w:rPr>
          <w:rFonts w:ascii="Arial" w:cs="Arial" w:eastAsia="Arial" w:hAnsi="Arial"/>
          <w:sz w:val="21"/>
          <w:szCs w:val="21"/>
          <w:b w:val="1"/>
          <w:bCs w:val="1"/>
          <w:color w:val="auto"/>
        </w:rPr>
      </w:pPr>
      <w:r>
        <w:rPr>
          <w:rFonts w:ascii="Arial" w:cs="Arial" w:eastAsia="Arial" w:hAnsi="Arial"/>
          <w:sz w:val="21"/>
          <w:szCs w:val="21"/>
          <w:color w:val="auto"/>
        </w:rPr>
        <w:t>became generally available to the public or otherwise part of the public domain after its disclosure and other than through any act or omission of the receiving Party or its Affiliate in breach of this Agreement;</w:t>
      </w:r>
    </w:p>
    <w:p>
      <w:pPr>
        <w:spacing w:after="0" w:line="151" w:lineRule="exact"/>
        <w:rPr>
          <w:rFonts w:ascii="Arial" w:cs="Arial" w:eastAsia="Arial" w:hAnsi="Arial"/>
          <w:sz w:val="21"/>
          <w:szCs w:val="21"/>
          <w:b w:val="1"/>
          <w:bCs w:val="1"/>
          <w:color w:val="auto"/>
        </w:rPr>
      </w:pPr>
    </w:p>
    <w:p>
      <w:pPr>
        <w:jc w:val="both"/>
        <w:ind w:firstLine="1296"/>
        <w:spacing w:after="0" w:line="232" w:lineRule="auto"/>
        <w:tabs>
          <w:tab w:leader="none" w:pos="1819" w:val="left"/>
        </w:tabs>
        <w:numPr>
          <w:ilvl w:val="0"/>
          <w:numId w:val="128"/>
        </w:numPr>
        <w:rPr>
          <w:rFonts w:ascii="Arial" w:cs="Arial" w:eastAsia="Arial" w:hAnsi="Arial"/>
          <w:sz w:val="21"/>
          <w:szCs w:val="21"/>
          <w:b w:val="1"/>
          <w:bCs w:val="1"/>
          <w:color w:val="auto"/>
        </w:rPr>
      </w:pPr>
      <w:r>
        <w:rPr>
          <w:rFonts w:ascii="Arial" w:cs="Arial" w:eastAsia="Arial" w:hAnsi="Arial"/>
          <w:sz w:val="21"/>
          <w:szCs w:val="21"/>
          <w:color w:val="auto"/>
        </w:rPr>
        <w:t>was disclosed to the receiving Party or its Affiliate by a Third Party without any confidentiality obligations being imposed on the receiving Party or its Affiliate by the Third Party, who, to the knowledge of the receiving Party or its Affiliate, had a legal right to make such disclosure; or</w:t>
      </w:r>
    </w:p>
    <w:p>
      <w:pPr>
        <w:spacing w:after="0" w:line="158" w:lineRule="exact"/>
        <w:rPr>
          <w:rFonts w:ascii="Arial" w:cs="Arial" w:eastAsia="Arial" w:hAnsi="Arial"/>
          <w:sz w:val="21"/>
          <w:szCs w:val="21"/>
          <w:b w:val="1"/>
          <w:bCs w:val="1"/>
          <w:color w:val="auto"/>
        </w:rPr>
      </w:pPr>
    </w:p>
    <w:p>
      <w:pPr>
        <w:ind w:firstLine="1296"/>
        <w:spacing w:after="0" w:line="245" w:lineRule="auto"/>
        <w:tabs>
          <w:tab w:leader="none" w:pos="1768" w:val="left"/>
        </w:tabs>
        <w:numPr>
          <w:ilvl w:val="0"/>
          <w:numId w:val="128"/>
        </w:numPr>
        <w:rPr>
          <w:rFonts w:ascii="Arial" w:cs="Arial" w:eastAsia="Arial" w:hAnsi="Arial"/>
          <w:sz w:val="21"/>
          <w:szCs w:val="21"/>
          <w:b w:val="1"/>
          <w:bCs w:val="1"/>
          <w:color w:val="auto"/>
        </w:rPr>
      </w:pPr>
      <w:r>
        <w:rPr>
          <w:rFonts w:ascii="Arial" w:cs="Arial" w:eastAsia="Arial" w:hAnsi="Arial"/>
          <w:sz w:val="21"/>
          <w:szCs w:val="21"/>
          <w:color w:val="auto"/>
        </w:rPr>
        <w:t>was independently discovered or developed by the receiving Party or its Affiliate without use of or reference to the other Party’s Confidential Information, as evidenced by a contemporaneous writing.</w:t>
      </w:r>
    </w:p>
    <w:p>
      <w:pPr>
        <w:spacing w:after="0" w:line="151"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For purposes of Section 12.1(b) and 12.1(c), Confidential Information disclosed under this Agreement shall not be deemed to be within such exceptions unless such information is readily accessible to the public in a written publication [***].</w:t>
      </w:r>
    </w:p>
    <w:p>
      <w:pPr>
        <w:spacing w:after="0" w:line="129" w:lineRule="exact"/>
        <w:rPr>
          <w:sz w:val="20"/>
          <w:szCs w:val="20"/>
          <w:color w:val="auto"/>
        </w:rPr>
      </w:pPr>
    </w:p>
    <w:p>
      <w:pPr>
        <w:ind w:right="140"/>
        <w:spacing w:after="0" w:line="227" w:lineRule="auto"/>
        <w:rPr>
          <w:sz w:val="20"/>
          <w:szCs w:val="20"/>
          <w:color w:val="auto"/>
        </w:rPr>
      </w:pPr>
      <w:r>
        <w:rPr>
          <w:rFonts w:ascii="Arial" w:cs="Arial" w:eastAsia="Arial" w:hAnsi="Arial"/>
          <w:sz w:val="21"/>
          <w:szCs w:val="21"/>
          <w:color w:val="auto"/>
        </w:rPr>
        <w:t>Each disclosing Party represents and warrants that as of the time of disclosure (i) it has all rights, title and ownership interest in and to the Confidential Information, and/or it has all the right and power to disclose the Confidential Information to the receiving Party; and (ii) to the best of its knowledge, such disclosure will not violate the terms of any agreement with, or any other obligation to, any Third Party.</w:t>
      </w:r>
    </w:p>
    <w:p>
      <w:pPr>
        <w:spacing w:after="0" w:line="17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1"/>
          <w:szCs w:val="21"/>
          <w:b w:val="1"/>
          <w:bCs w:val="1"/>
          <w:color w:val="auto"/>
        </w:rPr>
        <w:t>12.2</w:t>
      </w:r>
      <w:r>
        <w:rPr>
          <w:sz w:val="20"/>
          <w:szCs w:val="20"/>
          <w:color w:val="auto"/>
        </w:rPr>
        <w:tab/>
      </w:r>
      <w:r>
        <w:rPr>
          <w:rFonts w:ascii="Arial" w:cs="Arial" w:eastAsia="Arial" w:hAnsi="Arial"/>
          <w:sz w:val="19"/>
          <w:szCs w:val="19"/>
          <w:b w:val="1"/>
          <w:bCs w:val="1"/>
          <w:color w:val="auto"/>
        </w:rPr>
        <w:t>Authorized Disclosure</w:t>
      </w:r>
      <w:r>
        <w:rPr>
          <w:rFonts w:ascii="Arial" w:cs="Arial" w:eastAsia="Arial" w:hAnsi="Arial"/>
          <w:sz w:val="19"/>
          <w:szCs w:val="19"/>
          <w:color w:val="auto"/>
        </w:rPr>
        <w:t>. Notwithstanding the obligations set forth in Section 12.1, a Party may disclose the other</w:t>
      </w:r>
    </w:p>
    <w:p>
      <w:pPr>
        <w:spacing w:after="0"/>
        <w:rPr>
          <w:sz w:val="20"/>
          <w:szCs w:val="20"/>
          <w:color w:val="auto"/>
        </w:rPr>
      </w:pPr>
      <w:r>
        <w:rPr>
          <w:rFonts w:ascii="Arial" w:cs="Arial" w:eastAsia="Arial" w:hAnsi="Arial"/>
          <w:sz w:val="21"/>
          <w:szCs w:val="21"/>
          <w:color w:val="auto"/>
        </w:rPr>
        <w:t>Party’s Confidential Information or the terms of this Agreement to the extent:</w:t>
      </w:r>
    </w:p>
    <w:p>
      <w:pPr>
        <w:spacing w:after="0" w:line="170" w:lineRule="exact"/>
        <w:rPr>
          <w:sz w:val="20"/>
          <w:szCs w:val="20"/>
          <w:color w:val="auto"/>
        </w:rPr>
      </w:pPr>
    </w:p>
    <w:p>
      <w:pPr>
        <w:jc w:val="both"/>
        <w:ind w:firstLine="1296"/>
        <w:spacing w:after="0" w:line="239" w:lineRule="auto"/>
        <w:tabs>
          <w:tab w:leader="none" w:pos="1874" w:val="left"/>
        </w:tabs>
        <w:numPr>
          <w:ilvl w:val="0"/>
          <w:numId w:val="129"/>
        </w:numPr>
        <w:rPr>
          <w:rFonts w:ascii="Arial" w:cs="Arial" w:eastAsia="Arial" w:hAnsi="Arial"/>
          <w:sz w:val="20"/>
          <w:szCs w:val="20"/>
          <w:b w:val="1"/>
          <w:bCs w:val="1"/>
          <w:color w:val="auto"/>
        </w:rPr>
      </w:pPr>
      <w:r>
        <w:rPr>
          <w:rFonts w:ascii="Arial" w:cs="Arial" w:eastAsia="Arial" w:hAnsi="Arial"/>
          <w:sz w:val="20"/>
          <w:szCs w:val="20"/>
          <w:color w:val="auto"/>
        </w:rPr>
        <w:t>such disclosure is reasonably necessary (i) for the filing or prosecuting of Patent rights as contemplated herein, subject to the prior consent of the Party owning the Confidential Information, which consent shall not be unreasonably withheld, conditioned, or delayed; (ii) to comply with the requirements of Regulatory Authorities with respect to obtaining and maintaining Regulatory Approval of Licensed Product; or (iii) for prosecuting or defending litigation as contemplated herein;</w:t>
      </w:r>
    </w:p>
    <w:p>
      <w:pPr>
        <w:spacing w:after="0" w:line="157" w:lineRule="exact"/>
        <w:rPr>
          <w:rFonts w:ascii="Arial" w:cs="Arial" w:eastAsia="Arial" w:hAnsi="Arial"/>
          <w:sz w:val="20"/>
          <w:szCs w:val="20"/>
          <w:b w:val="1"/>
          <w:bCs w:val="1"/>
          <w:color w:val="auto"/>
        </w:rPr>
      </w:pPr>
    </w:p>
    <w:p>
      <w:pPr>
        <w:ind w:firstLine="1296"/>
        <w:spacing w:after="0" w:line="245" w:lineRule="auto"/>
        <w:tabs>
          <w:tab w:leader="none" w:pos="1859" w:val="left"/>
        </w:tabs>
        <w:numPr>
          <w:ilvl w:val="0"/>
          <w:numId w:val="129"/>
        </w:numPr>
        <w:rPr>
          <w:rFonts w:ascii="Arial" w:cs="Arial" w:eastAsia="Arial" w:hAnsi="Arial"/>
          <w:sz w:val="21"/>
          <w:szCs w:val="21"/>
          <w:b w:val="1"/>
          <w:bCs w:val="1"/>
          <w:color w:val="auto"/>
        </w:rPr>
      </w:pPr>
      <w:r>
        <w:rPr>
          <w:rFonts w:ascii="Arial" w:cs="Arial" w:eastAsia="Arial" w:hAnsi="Arial"/>
          <w:sz w:val="21"/>
          <w:szCs w:val="21"/>
          <w:color w:val="auto"/>
        </w:rPr>
        <w:t>such disclosure is reasonably necessary to its or its Affiliate’s shareholders, directors, officers, managers, employees, agents, consultants, contractors, 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84" w:right="339" w:bottom="1440" w:gutter="0" w:footer="0" w:header="0"/>
        </w:sectPr>
      </w:pPr>
    </w:p>
    <w:bookmarkStart w:id="181" w:name="page182"/>
    <w:bookmarkEnd w:id="181"/>
    <w:p>
      <w:pPr>
        <w:jc w:val="both"/>
        <w:spacing w:after="0" w:line="232" w:lineRule="auto"/>
        <w:rPr>
          <w:sz w:val="20"/>
          <w:szCs w:val="20"/>
          <w:color w:val="auto"/>
        </w:rPr>
      </w:pPr>
      <w:r>
        <w:rPr>
          <w:rFonts w:ascii="Arial" w:cs="Arial" w:eastAsia="Arial" w:hAnsi="Arial"/>
          <w:sz w:val="21"/>
          <w:szCs w:val="21"/>
          <w:color w:val="auto"/>
        </w:rPr>
        <w:t xml:space="preserve">or sublicensees on a need-to-know basis for the sole purpose of performing its obligations or exercising its rights hereunder; </w:t>
      </w: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each case, the disclosees are bound by written obligations of confidentiality consistent with those contained in this</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w:t>
      </w:r>
    </w:p>
    <w:p>
      <w:pPr>
        <w:spacing w:after="0" w:line="159" w:lineRule="exact"/>
        <w:rPr>
          <w:sz w:val="20"/>
          <w:szCs w:val="20"/>
          <w:color w:val="auto"/>
        </w:rPr>
      </w:pPr>
    </w:p>
    <w:p>
      <w:pPr>
        <w:jc w:val="both"/>
        <w:ind w:firstLine="1296"/>
        <w:spacing w:after="0" w:line="236" w:lineRule="auto"/>
        <w:tabs>
          <w:tab w:leader="none" w:pos="1755" w:val="left"/>
        </w:tabs>
        <w:numPr>
          <w:ilvl w:val="0"/>
          <w:numId w:val="130"/>
        </w:numPr>
        <w:rPr>
          <w:rFonts w:ascii="Arial" w:cs="Arial" w:eastAsia="Arial" w:hAnsi="Arial"/>
          <w:sz w:val="20"/>
          <w:szCs w:val="20"/>
          <w:b w:val="1"/>
          <w:bCs w:val="1"/>
          <w:color w:val="auto"/>
        </w:rPr>
      </w:pPr>
      <w:r>
        <w:rPr>
          <w:rFonts w:ascii="Arial" w:cs="Arial" w:eastAsia="Arial" w:hAnsi="Arial"/>
          <w:sz w:val="20"/>
          <w:szCs w:val="20"/>
          <w:color w:val="auto"/>
        </w:rPr>
        <w:t xml:space="preserve">such disclosure is reasonably necessary to any bona fide potential or actual investor, advisor, lender, acquiror, merger partner, or other financial or commercial partner or research collaborator for the sole purpose of evaluating or carrying out an actual or potential investment, acquisition or other business relationship;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connection with such disclosure, such Party shall inform each disclosee of the confidential nature of such Confidential Information and shall be bound by commercially reasonable obligations of confidentiality substantially similar to those contained in this Agreement; or</w:t>
      </w:r>
    </w:p>
    <w:p>
      <w:pPr>
        <w:spacing w:after="0" w:line="157" w:lineRule="exact"/>
        <w:rPr>
          <w:rFonts w:ascii="Arial" w:cs="Arial" w:eastAsia="Arial" w:hAnsi="Arial"/>
          <w:sz w:val="20"/>
          <w:szCs w:val="20"/>
          <w:b w:val="1"/>
          <w:bCs w:val="1"/>
          <w:color w:val="auto"/>
        </w:rPr>
      </w:pPr>
    </w:p>
    <w:p>
      <w:pPr>
        <w:jc w:val="both"/>
        <w:ind w:firstLine="1296"/>
        <w:spacing w:after="0" w:line="232" w:lineRule="auto"/>
        <w:tabs>
          <w:tab w:leader="none" w:pos="1900" w:val="left"/>
        </w:tabs>
        <w:numPr>
          <w:ilvl w:val="0"/>
          <w:numId w:val="130"/>
        </w:numPr>
        <w:rPr>
          <w:rFonts w:ascii="Arial" w:cs="Arial" w:eastAsia="Arial" w:hAnsi="Arial"/>
          <w:sz w:val="21"/>
          <w:szCs w:val="21"/>
          <w:b w:val="1"/>
          <w:bCs w:val="1"/>
          <w:color w:val="auto"/>
        </w:rPr>
      </w:pPr>
      <w:r>
        <w:rPr>
          <w:rFonts w:ascii="Arial" w:cs="Arial" w:eastAsia="Arial" w:hAnsi="Arial"/>
          <w:sz w:val="21"/>
          <w:szCs w:val="21"/>
          <w:color w:val="auto"/>
        </w:rPr>
        <w:t>such disclosure is reasonably necessary to comply with Applicable Laws, including regulations or rules promulgated by applicable securities commissions (or other securities regulatory authorities), security exchanges, court order, administrative subpoena or order.</w:t>
      </w:r>
    </w:p>
    <w:p>
      <w:pPr>
        <w:spacing w:after="0" w:line="159"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Notwithstanding the foregoing, in the event a Party is required to make a disclosure of the other Party’s Confidential Information pursuant to Section 12.2(a) or 12.2(d), such Party shall promptly notify the other Party of such required disclosure, to the extent that it is legally authorized or permitted to so, and shall use reasonable efforts to obtain, or to assist the other Party in obtaining, a protective order preventing or limiting the required disclosure.</w:t>
      </w:r>
    </w:p>
    <w:p>
      <w:pPr>
        <w:spacing w:after="0" w:line="15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12.3</w:t>
      </w:r>
      <w:r>
        <w:rPr>
          <w:sz w:val="20"/>
          <w:szCs w:val="20"/>
          <w:color w:val="auto"/>
        </w:rPr>
        <w:tab/>
      </w:r>
      <w:r>
        <w:rPr>
          <w:rFonts w:ascii="Arial" w:cs="Arial" w:eastAsia="Arial" w:hAnsi="Arial"/>
          <w:sz w:val="19"/>
          <w:szCs w:val="19"/>
          <w:b w:val="1"/>
          <w:bCs w:val="1"/>
          <w:color w:val="auto"/>
        </w:rPr>
        <w:t>Publicity; Terms of Agreement</w:t>
      </w:r>
      <w:r>
        <w:rPr>
          <w:rFonts w:ascii="Arial" w:cs="Arial" w:eastAsia="Arial" w:hAnsi="Arial"/>
          <w:sz w:val="19"/>
          <w:szCs w:val="19"/>
          <w:color w:val="auto"/>
        </w:rPr>
        <w:t>.</w:t>
      </w:r>
    </w:p>
    <w:p>
      <w:pPr>
        <w:spacing w:after="0" w:line="194" w:lineRule="exact"/>
        <w:rPr>
          <w:sz w:val="20"/>
          <w:szCs w:val="20"/>
          <w:color w:val="auto"/>
        </w:rPr>
      </w:pPr>
    </w:p>
    <w:p>
      <w:pPr>
        <w:ind w:firstLine="1296"/>
        <w:spacing w:after="0" w:line="269" w:lineRule="auto"/>
        <w:tabs>
          <w:tab w:leader="none" w:pos="1767"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The Parties agree that the terms of this Agreement are the Confidential Information of both Parties, subject to the special authorized disclosure provisions set forth in this Section 12.3 (or otherwise subject to Section 12.2).</w:t>
      </w:r>
    </w:p>
    <w:p>
      <w:pPr>
        <w:spacing w:after="0" w:line="128" w:lineRule="exact"/>
        <w:rPr>
          <w:rFonts w:ascii="Arial" w:cs="Arial" w:eastAsia="Arial" w:hAnsi="Arial"/>
          <w:sz w:val="20"/>
          <w:szCs w:val="20"/>
          <w:b w:val="1"/>
          <w:bCs w:val="1"/>
          <w:color w:val="auto"/>
        </w:rPr>
      </w:pPr>
    </w:p>
    <w:p>
      <w:pPr>
        <w:jc w:val="both"/>
        <w:ind w:firstLine="1296"/>
        <w:spacing w:after="0" w:line="228" w:lineRule="auto"/>
        <w:tabs>
          <w:tab w:leader="none" w:pos="1819"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If either Party desires to make a public disclosure concerning the terms of this Agreement, such Party shall give reasonable prior advance notice of the proposed text of such disclosure to the other Party for its prior review and approval (except as otherwise provided herein), which approval shall not be unreasonably withheld or delayed. A Party commenting on such a proposed disclosure shall provide its comments, if any, within [***] after receiving the proposed disclosure for review (or such shorter period of time as necessitated by regulatory requirements). In addition, where required by Applicable Law, including regulations promulgated by applicable security exchanges, either Party shall have the right to make a press release or other public disclosure regarding the achievement of each milestone under this Agreement as it is achieved, the achievements of Regulatory Approval in the Hansoh Territory as they occur, or the occurrence of other events that affect either Party’s rights or obligations under this Agreement, in each case subject only to the review procedure set forth in the preceding sentences. In relation to the other Party’s review of such an announcement, such other Party may make specific, reasonable comments on such proposed press release within the prescribed time for commentary. Neither Party shall be required to seek the permission of the other Party to repeat any information regarding the terms of this Agreement that has already been publicly disclosed by such Party, or by the other Party, in accordance with this Section 12.3.</w:t>
      </w:r>
    </w:p>
    <w:p>
      <w:pPr>
        <w:spacing w:after="0" w:line="166" w:lineRule="exact"/>
        <w:rPr>
          <w:rFonts w:ascii="Arial" w:cs="Arial" w:eastAsia="Arial" w:hAnsi="Arial"/>
          <w:sz w:val="20"/>
          <w:szCs w:val="20"/>
          <w:b w:val="1"/>
          <w:bCs w:val="1"/>
          <w:color w:val="auto"/>
        </w:rPr>
      </w:pPr>
    </w:p>
    <w:p>
      <w:pPr>
        <w:jc w:val="both"/>
        <w:ind w:firstLine="1296"/>
        <w:spacing w:after="0" w:line="223" w:lineRule="auto"/>
        <w:tabs>
          <w:tab w:leader="none" w:pos="1916" w:val="left"/>
        </w:tabs>
        <w:numPr>
          <w:ilvl w:val="0"/>
          <w:numId w:val="131"/>
        </w:numPr>
        <w:rPr>
          <w:rFonts w:ascii="Arial" w:cs="Arial" w:eastAsia="Arial" w:hAnsi="Arial"/>
          <w:sz w:val="21"/>
          <w:szCs w:val="21"/>
          <w:b w:val="1"/>
          <w:bCs w:val="1"/>
          <w:color w:val="auto"/>
        </w:rPr>
      </w:pPr>
      <w:r>
        <w:rPr>
          <w:rFonts w:ascii="Arial" w:cs="Arial" w:eastAsia="Arial" w:hAnsi="Arial"/>
          <w:sz w:val="21"/>
          <w:szCs w:val="21"/>
          <w:color w:val="auto"/>
        </w:rPr>
        <w:t>The Parties acknowledge that either or both Parties or their Affiliates may be obligated to file under Applicable Laws a copy of this Agreement with Governmental Authorities, including the U.S.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or Hong Kong Securities and Futures Commission (the “</w:t>
      </w:r>
      <w:r>
        <w:rPr>
          <w:rFonts w:ascii="Arial" w:cs="Arial" w:eastAsia="Arial" w:hAnsi="Arial"/>
          <w:sz w:val="21"/>
          <w:szCs w:val="21"/>
          <w:b w:val="1"/>
          <w:bCs w:val="1"/>
          <w:color w:val="auto"/>
        </w:rPr>
        <w:t>SFC</w:t>
      </w:r>
      <w:r>
        <w:rPr>
          <w:rFonts w:ascii="Arial" w:cs="Arial" w:eastAsia="Arial" w:hAnsi="Arial"/>
          <w:sz w:val="21"/>
          <w:szCs w:val="21"/>
          <w:color w:val="auto"/>
        </w:rPr>
        <w:t xml:space="preserve">”). Each Party and its Affiliates shall be entitled to make such a required filing,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it requests confidential treatment of the commercial terms and sensitive technical terms hereof and thereof to the extent such confidential treatment is reasonably available. In the event of any such filing, each Party will provide the other Party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93" w:right="339" w:bottom="1440" w:gutter="0" w:footer="0" w:header="0"/>
        </w:sectPr>
      </w:pPr>
    </w:p>
    <w:bookmarkStart w:id="182" w:name="page183"/>
    <w:bookmarkEnd w:id="182"/>
    <w:p>
      <w:pPr>
        <w:jc w:val="both"/>
        <w:spacing w:after="0" w:line="221" w:lineRule="auto"/>
        <w:rPr>
          <w:sz w:val="20"/>
          <w:szCs w:val="20"/>
          <w:color w:val="auto"/>
        </w:rPr>
      </w:pPr>
      <w:r>
        <w:rPr>
          <w:rFonts w:ascii="Arial" w:cs="Arial" w:eastAsia="Arial" w:hAnsi="Arial"/>
          <w:sz w:val="21"/>
          <w:szCs w:val="21"/>
          <w:color w:val="auto"/>
        </w:rPr>
        <w:t>a copy of this Agreement marked to show provisions for which such Party or its Affiliate intends to seek confidential treatment and shall reasonably consider in good faith and incorporate the other Party’s comments thereon to the extent consistent with the legal requirements, with respect to the filing Party or Affiliate, governing disclosure of material agreements and material information that must be publicly filed. The non-filing Party agrees to promptly (and in any event, no less than [***] after receipt of such proposed redactions) provide its comments on such proposed redactions. The Party seeking such disclosure shall exercise Commercially Reasonable Efforts to obtain confidential treatment of this Agreement from the SEC or SFC as represented by the redacted version reviewed by the other Party.</w:t>
      </w:r>
    </w:p>
    <w:p>
      <w:pPr>
        <w:spacing w:after="0" w:line="155" w:lineRule="exact"/>
        <w:rPr>
          <w:sz w:val="20"/>
          <w:szCs w:val="20"/>
          <w:color w:val="auto"/>
        </w:rPr>
      </w:pPr>
    </w:p>
    <w:p>
      <w:pPr>
        <w:jc w:val="both"/>
        <w:ind w:firstLine="644"/>
        <w:spacing w:after="0" w:line="219" w:lineRule="auto"/>
        <w:rPr>
          <w:sz w:val="20"/>
          <w:szCs w:val="20"/>
          <w:color w:val="auto"/>
        </w:rPr>
      </w:pPr>
      <w:r>
        <w:rPr>
          <w:rFonts w:ascii="Arial" w:cs="Arial" w:eastAsia="Arial" w:hAnsi="Arial"/>
          <w:sz w:val="21"/>
          <w:szCs w:val="21"/>
          <w:b w:val="1"/>
          <w:bCs w:val="1"/>
          <w:color w:val="auto"/>
        </w:rPr>
        <w:t>12.4 Technical Publication</w:t>
      </w:r>
      <w:r>
        <w:rPr>
          <w:rFonts w:ascii="Arial" w:cs="Arial" w:eastAsia="Arial" w:hAnsi="Arial"/>
          <w:sz w:val="21"/>
          <w:szCs w:val="21"/>
          <w:color w:val="auto"/>
        </w:rPr>
        <w:t>. Except to the extent required by Applicable Laws or by Regulatory Authorities, [***]. If</w:t>
      </w:r>
      <w:r>
        <w:rPr>
          <w:rFonts w:ascii="Arial" w:cs="Arial" w:eastAsia="Arial" w:hAnsi="Arial"/>
          <w:sz w:val="21"/>
          <w:szCs w:val="21"/>
          <w:b w:val="1"/>
          <w:bCs w:val="1"/>
          <w:color w:val="auto"/>
        </w:rPr>
        <w:t xml:space="preserve"> </w:t>
      </w:r>
      <w:r>
        <w:rPr>
          <w:rFonts w:ascii="Arial" w:cs="Arial" w:eastAsia="Arial" w:hAnsi="Arial"/>
          <w:sz w:val="21"/>
          <w:szCs w:val="21"/>
          <w:color w:val="auto"/>
        </w:rPr>
        <w:t>Data is generated from a pre-clinical or clinical study in the Hansoh Territory without Keros’ involvement, Hansoh shall have the right to publish such Data upon written notification to Keros before its intended submission for publication. Hansoh shall submit each Publication permitted by this Section 12.4 to Keros at least [***] in advance of submission to any Regulatory Authority, publisher or presentation (as applicable), and Keros shall have the opportunity to review and comment on any proposed Publication. Hansoh shall reasonably consider Keros’ comments prior to submission of such Publication, and, at Keros’ request, delete references to Keros’ Confidential Information. In addition, if submission of any such Proposed Publication would preclude Keros from obtaining patent rights claiming patentable inventions, Hansoh shall, at Keros’ request, either delete the enabling portion of the proposed Publication or delay submission for an additional [***] or until a patent application covering such invention(s) is completed.</w:t>
      </w:r>
    </w:p>
    <w:p>
      <w:pPr>
        <w:spacing w:after="0" w:line="159"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9"/>
          <w:szCs w:val="19"/>
          <w:b w:val="1"/>
          <w:bCs w:val="1"/>
          <w:color w:val="auto"/>
        </w:rPr>
        <w:t>12.5 Equitable Relief</w:t>
      </w:r>
      <w:r>
        <w:rPr>
          <w:rFonts w:ascii="Arial" w:cs="Arial" w:eastAsia="Arial" w:hAnsi="Arial"/>
          <w:sz w:val="19"/>
          <w:szCs w:val="19"/>
          <w:color w:val="auto"/>
        </w:rPr>
        <w:t>. Each Party acknowledges that its breach of this Article 12 will cause irreparable harm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which cannot be reasonably or adequately compensated in damages in an action at law. Each Party agrees that the other Party shall be entitled, in addition to any other remedies it may have under this Agreement or otherwise, to seek preliminary and permanent injunctive and other equitable relief for any breach of this Agreement, including to prevent or curtail any actual or threatened breach of the obligations relating to Confidential Information set forth in this Article 12 by the other Party.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13</w:t>
      </w:r>
    </w:p>
    <w:p>
      <w:pPr>
        <w:jc w:val="center"/>
        <w:spacing w:after="0"/>
        <w:rPr>
          <w:sz w:val="20"/>
          <w:szCs w:val="20"/>
          <w:color w:val="auto"/>
        </w:rPr>
      </w:pPr>
      <w:r>
        <w:rPr>
          <w:rFonts w:ascii="Arial" w:cs="Arial" w:eastAsia="Arial" w:hAnsi="Arial"/>
          <w:sz w:val="21"/>
          <w:szCs w:val="21"/>
          <w:b w:val="1"/>
          <w:bCs w:val="1"/>
          <w:color w:val="auto"/>
        </w:rPr>
        <w:t>TERM AND TERMINATION</w:t>
      </w:r>
    </w:p>
    <w:p>
      <w:pPr>
        <w:spacing w:after="0" w:line="164" w:lineRule="exact"/>
        <w:rPr>
          <w:sz w:val="20"/>
          <w:szCs w:val="20"/>
          <w:color w:val="auto"/>
        </w:rPr>
      </w:pPr>
    </w:p>
    <w:p>
      <w:pPr>
        <w:jc w:val="both"/>
        <w:ind w:firstLine="644"/>
        <w:spacing w:after="0" w:line="226" w:lineRule="auto"/>
        <w:rPr>
          <w:sz w:val="20"/>
          <w:szCs w:val="20"/>
          <w:color w:val="auto"/>
        </w:rPr>
      </w:pPr>
      <w:r>
        <w:rPr>
          <w:rFonts w:ascii="Arial" w:cs="Arial" w:eastAsia="Arial" w:hAnsi="Arial"/>
          <w:sz w:val="21"/>
          <w:szCs w:val="21"/>
          <w:b w:val="1"/>
          <w:bCs w:val="1"/>
          <w:color w:val="auto"/>
        </w:rPr>
        <w:t>13.1 Term</w:t>
      </w:r>
      <w:r>
        <w:rPr>
          <w:rFonts w:ascii="Arial" w:cs="Arial" w:eastAsia="Arial" w:hAnsi="Arial"/>
          <w:sz w:val="21"/>
          <w:szCs w:val="21"/>
          <w:color w:val="auto"/>
        </w:rPr>
        <w:t>. The term of this Agreement (the “</w:t>
      </w:r>
      <w:r>
        <w:rPr>
          <w:rFonts w:ascii="Arial" w:cs="Arial" w:eastAsia="Arial" w:hAnsi="Arial"/>
          <w:sz w:val="21"/>
          <w:szCs w:val="21"/>
          <w:b w:val="1"/>
          <w:bCs w:val="1"/>
          <w:color w:val="auto"/>
        </w:rPr>
        <w:t>Term</w:t>
      </w:r>
      <w:r>
        <w:rPr>
          <w:rFonts w:ascii="Arial" w:cs="Arial" w:eastAsia="Arial" w:hAnsi="Arial"/>
          <w:sz w:val="21"/>
          <w:szCs w:val="21"/>
          <w:color w:val="auto"/>
        </w:rPr>
        <w:t>”) shall commence upon the Effective Date and, unless earlier</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terminated pursuant to this Article 13, shall remain in effect until the expiration of the Royalty Term on a Region-by-Region basis. Upon the expiration (but not early termination) of this Agreement, on a Region-by-Region basis, the license granted by Keros to Hansoh under Section 2.1 for such Licensed Product in such Region shall become exclusive, fully paid up, royalty free, irrevocable and perpetual in the Hansoh Territory.</w:t>
      </w:r>
    </w:p>
    <w:p>
      <w:pPr>
        <w:spacing w:after="0" w:line="151"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13.2 Termination by Hansoh</w:t>
      </w:r>
      <w:r>
        <w:rPr>
          <w:rFonts w:ascii="Arial" w:cs="Arial" w:eastAsia="Arial" w:hAnsi="Arial"/>
          <w:sz w:val="21"/>
          <w:szCs w:val="21"/>
          <w:color w:val="auto"/>
        </w:rPr>
        <w:t>. Hansoh may terminate this Agreement in its entirety at any time for convenience upon</w:t>
      </w:r>
      <w:r>
        <w:rPr>
          <w:rFonts w:ascii="Arial" w:cs="Arial" w:eastAsia="Arial" w:hAnsi="Arial"/>
          <w:sz w:val="21"/>
          <w:szCs w:val="21"/>
          <w:b w:val="1"/>
          <w:bCs w:val="1"/>
          <w:color w:val="auto"/>
        </w:rPr>
        <w:t xml:space="preserve"> </w:t>
      </w:r>
      <w:r>
        <w:rPr>
          <w:rFonts w:ascii="Arial" w:cs="Arial" w:eastAsia="Arial" w:hAnsi="Arial"/>
          <w:sz w:val="21"/>
          <w:szCs w:val="21"/>
          <w:color w:val="auto"/>
        </w:rPr>
        <w:t>[***] prior written notice given to Keros.</w:t>
      </w:r>
    </w:p>
    <w:p>
      <w:pPr>
        <w:spacing w:after="0" w:line="139" w:lineRule="exact"/>
        <w:rPr>
          <w:sz w:val="20"/>
          <w:szCs w:val="20"/>
          <w:color w:val="auto"/>
        </w:rPr>
      </w:pPr>
    </w:p>
    <w:p>
      <w:pPr>
        <w:jc w:val="both"/>
        <w:ind w:firstLine="644"/>
        <w:spacing w:after="0" w:line="233" w:lineRule="auto"/>
        <w:rPr>
          <w:sz w:val="20"/>
          <w:szCs w:val="20"/>
          <w:color w:val="auto"/>
        </w:rPr>
      </w:pPr>
      <w:r>
        <w:rPr>
          <w:rFonts w:ascii="Arial" w:cs="Arial" w:eastAsia="Arial" w:hAnsi="Arial"/>
          <w:sz w:val="20"/>
          <w:szCs w:val="20"/>
          <w:b w:val="1"/>
          <w:bCs w:val="1"/>
          <w:color w:val="auto"/>
        </w:rPr>
        <w:t xml:space="preserve">13.3 Termination by Keros for Cause. </w:t>
      </w:r>
      <w:r>
        <w:rPr>
          <w:rFonts w:ascii="Arial" w:cs="Arial" w:eastAsia="Arial" w:hAnsi="Arial"/>
          <w:sz w:val="20"/>
          <w:szCs w:val="20"/>
          <w:color w:val="auto"/>
        </w:rPr>
        <w:t>Keros may terminate this Agreement in its entirety upon [***] prior written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notice to Hansoh if Hansoh or its Affiliates or their respective sublicensees (directly or indirectly, individually or in association with any other Person) challenges the validity, enforceability or scope of any Keros Licensed Patent, unless during such [***] the subject challenge is permanently dismissed or withdrawn and is not thereafter reinstituted or continued;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in the event Hansoh’s sublicensee initiates such challenge, Keros may not terminate this Agreement if (i) Hansoh successfully causes such sublicensee to withdraw such challenge within such [***], or (ii) Hansoh successfully terminates such sublicense and provides written evidence of such termination to Keros within such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393" w:right="339" w:bottom="1440" w:gutter="0" w:footer="0" w:header="0"/>
        </w:sectPr>
      </w:pPr>
    </w:p>
    <w:bookmarkStart w:id="183" w:name="page184"/>
    <w:bookmarkEnd w:id="183"/>
    <w:p>
      <w:pPr>
        <w:jc w:val="both"/>
        <w:ind w:firstLine="644"/>
        <w:spacing w:after="0" w:line="228" w:lineRule="auto"/>
        <w:rPr>
          <w:sz w:val="20"/>
          <w:szCs w:val="20"/>
          <w:color w:val="auto"/>
        </w:rPr>
      </w:pPr>
      <w:r>
        <w:rPr>
          <w:rFonts w:ascii="Arial" w:cs="Arial" w:eastAsia="Arial" w:hAnsi="Arial"/>
          <w:sz w:val="20"/>
          <w:szCs w:val="20"/>
          <w:b w:val="1"/>
          <w:bCs w:val="1"/>
          <w:color w:val="auto"/>
        </w:rPr>
        <w:t>13.4 Termination for Material Breach</w:t>
      </w:r>
      <w:r>
        <w:rPr>
          <w:rFonts w:ascii="Arial" w:cs="Arial" w:eastAsia="Arial" w:hAnsi="Arial"/>
          <w:sz w:val="20"/>
          <w:szCs w:val="20"/>
          <w:color w:val="auto"/>
        </w:rPr>
        <w:t>. Each Party shall have the right to terminate this Agreement in its entirety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immediately upon written notice to the other Party if the other Party materially breaches its obligations under this Agreement and, after receiving written notice identifying such material breach in reasonable detail, fails to cure such material breach within [***] from the date of such notice. Such notice shall (a) expressly reference this Section 13.4, (b) reasonably describe the alleged breach which is the basis of such termination, and (c) clearly state the non-breaching Party’s intent to terminate this Agreement if the alleged breach is not cured within the applicable cure period. The Agreement shall terminate effective at the end of the notice period unless the breaching Party cures such breach during such notice period,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such cure period shall be extended for up to an additional [***] upon the breaching Party providing a written plan that reasonably demonstrates the need for such additional time and continuing to use Commercially Reasonable Efforts to cure such breach. If either Party disputes (i) whether such material breach has occurred, or (ii) whether the defaulting Party has cured such material breach, the Parties agree to promptly resolve the Dispute under Article 14. It is understood and acknowledged that, during the pendency of such a Dispute, all of the terms and conditions of this Agreement shall remain in effect and the Parties shall continue to perform all of their respective obligations hereunder. The Parties agree that for purposes of this Section 13.4, a breach of the representations or warranties of a Party under this Agreement shall not be a cause for termination of this Agreement unless such breach has had or would be reasonably expected to have a material adverse effect on the Development, Manufacture or Commercialization of the Licensed Product.</w:t>
      </w:r>
    </w:p>
    <w:p>
      <w:pPr>
        <w:spacing w:after="0" w:line="155" w:lineRule="exact"/>
        <w:rPr>
          <w:sz w:val="20"/>
          <w:szCs w:val="20"/>
          <w:color w:val="auto"/>
        </w:rPr>
      </w:pPr>
    </w:p>
    <w:p>
      <w:pPr>
        <w:jc w:val="both"/>
        <w:ind w:firstLine="644"/>
        <w:spacing w:after="0" w:line="222" w:lineRule="auto"/>
        <w:rPr>
          <w:sz w:val="20"/>
          <w:szCs w:val="20"/>
          <w:color w:val="auto"/>
        </w:rPr>
      </w:pPr>
      <w:r>
        <w:rPr>
          <w:rFonts w:ascii="Arial" w:cs="Arial" w:eastAsia="Arial" w:hAnsi="Arial"/>
          <w:sz w:val="21"/>
          <w:szCs w:val="21"/>
          <w:b w:val="1"/>
          <w:bCs w:val="1"/>
          <w:color w:val="auto"/>
        </w:rPr>
        <w:t>13.5 Termination Due to Bankruptcy</w:t>
      </w:r>
      <w:r>
        <w:rPr>
          <w:rFonts w:ascii="Arial" w:cs="Arial" w:eastAsia="Arial" w:hAnsi="Arial"/>
          <w:sz w:val="21"/>
          <w:szCs w:val="21"/>
          <w:color w:val="auto"/>
        </w:rPr>
        <w:t>. Either Party may terminate this Agreement if, at any time, the other Party files</w:t>
      </w:r>
      <w:r>
        <w:rPr>
          <w:rFonts w:ascii="Arial" w:cs="Arial" w:eastAsia="Arial" w:hAnsi="Arial"/>
          <w:sz w:val="21"/>
          <w:szCs w:val="21"/>
          <w:b w:val="1"/>
          <w:bCs w:val="1"/>
          <w:color w:val="auto"/>
        </w:rPr>
        <w:t xml:space="preserve"> </w:t>
      </w:r>
      <w:r>
        <w:rPr>
          <w:rFonts w:ascii="Arial" w:cs="Arial" w:eastAsia="Arial" w:hAnsi="Arial"/>
          <w:sz w:val="21"/>
          <w:szCs w:val="21"/>
          <w:color w:val="auto"/>
        </w:rPr>
        <w:t>in any court or agency pursuant to any statute or regulation of any state, country or jurisdiction, a petition in bankruptcy or insolvency or for reorganization or for an arrangement or for the appointment of a receiver or trustee of that Party or of its assets, or if the other Party proposes a written agreement of composition or extension of its debts, or if the other Party is served with an involuntary petition against it, filed in any insolvency proceeding, and such petition is not dismissed within [***] after the filing thereof, or if the other Party proposes or becomes a Party to any dissolution or liquidation, or if the other Party makes an assignment for the benefit of its creditors.</w:t>
      </w:r>
    </w:p>
    <w:p>
      <w:pPr>
        <w:spacing w:after="0" w:line="154"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13.6 Termination for FCPA Violation</w:t>
      </w:r>
      <w:r>
        <w:rPr>
          <w:rFonts w:ascii="Arial" w:cs="Arial" w:eastAsia="Arial" w:hAnsi="Arial"/>
          <w:sz w:val="21"/>
          <w:szCs w:val="21"/>
          <w:color w:val="auto"/>
        </w:rPr>
        <w:t>. Each Party may terminate the Agreement in its entirety upon written notice to</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Party if the other Party or its Affiliates or their sublicensees materially breaches the FCPA.</w:t>
      </w:r>
    </w:p>
    <w:p>
      <w:pPr>
        <w:spacing w:after="0" w:line="139"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13.7 Effect of Early Termination</w:t>
      </w:r>
      <w:r>
        <w:rPr>
          <w:rFonts w:ascii="Arial" w:cs="Arial" w:eastAsia="Arial" w:hAnsi="Arial"/>
          <w:sz w:val="21"/>
          <w:szCs w:val="21"/>
          <w:color w:val="auto"/>
        </w:rPr>
        <w:t>. Upon any early termination of this Agreement by either Party, the following shall</w:t>
      </w:r>
      <w:r>
        <w:rPr>
          <w:rFonts w:ascii="Arial" w:cs="Arial" w:eastAsia="Arial" w:hAnsi="Arial"/>
          <w:sz w:val="21"/>
          <w:szCs w:val="21"/>
          <w:b w:val="1"/>
          <w:bCs w:val="1"/>
          <w:color w:val="auto"/>
        </w:rPr>
        <w:t xml:space="preserve"> </w:t>
      </w:r>
      <w:r>
        <w:rPr>
          <w:rFonts w:ascii="Arial" w:cs="Arial" w:eastAsia="Arial" w:hAnsi="Arial"/>
          <w:sz w:val="21"/>
          <w:szCs w:val="21"/>
          <w:color w:val="auto"/>
        </w:rPr>
        <w:t>apply (in addition to any other rights and obligations under this Agreement with respect to such termination):</w:t>
      </w:r>
    </w:p>
    <w:p>
      <w:pPr>
        <w:spacing w:after="0" w:line="139" w:lineRule="exact"/>
        <w:rPr>
          <w:sz w:val="20"/>
          <w:szCs w:val="20"/>
          <w:color w:val="auto"/>
        </w:rPr>
      </w:pPr>
    </w:p>
    <w:p>
      <w:pPr>
        <w:jc w:val="both"/>
        <w:ind w:firstLine="1296"/>
        <w:spacing w:after="0" w:line="233" w:lineRule="auto"/>
        <w:tabs>
          <w:tab w:leader="none" w:pos="1834"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Licenses</w:t>
      </w:r>
      <w:r>
        <w:rPr>
          <w:rFonts w:ascii="Arial" w:cs="Arial" w:eastAsia="Arial" w:hAnsi="Arial"/>
          <w:sz w:val="20"/>
          <w:szCs w:val="20"/>
          <w:color w:val="auto"/>
        </w:rPr>
        <w:t>. All licenses and other rights granted by Keros to Hansoh under this Agreement shall terminate,</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all sublicenses granted by Hansoh unless such sublicenses are assumed by Keros pursuant to Section 2.1(c), which shall survive such termination. Keros shall have a reversion of all rights previously licensed to Hansoh hereunder for which the relevant licenses have terminated on a fully paid-up and royalty-free basis, itself or with or through an Affiliate or Third Party, to Develop and Commercialize the Licensed Products in the Field in the Hansoh Territory at Keros’ discretion. In the event of termination by Hansoh pursuant to Section 13.4 or Section 13.5, all licenses and other rights granted by Hansoh to Keros under Section 9.1(b)(ii) shall terminate, including all sublicenses granted by Keros.</w:t>
      </w:r>
    </w:p>
    <w:p>
      <w:pPr>
        <w:spacing w:after="0" w:line="154" w:lineRule="exact"/>
        <w:rPr>
          <w:rFonts w:ascii="Arial" w:cs="Arial" w:eastAsia="Arial" w:hAnsi="Arial"/>
          <w:sz w:val="20"/>
          <w:szCs w:val="20"/>
          <w:b w:val="1"/>
          <w:bCs w:val="1"/>
          <w:color w:val="auto"/>
        </w:rPr>
      </w:pPr>
    </w:p>
    <w:p>
      <w:pPr>
        <w:jc w:val="both"/>
        <w:ind w:firstLine="1296"/>
        <w:spacing w:after="0" w:line="249" w:lineRule="auto"/>
        <w:tabs>
          <w:tab w:leader="none" w:pos="1815"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Wind-Down</w:t>
      </w:r>
      <w:r>
        <w:rPr>
          <w:rFonts w:ascii="Arial" w:cs="Arial" w:eastAsia="Arial" w:hAnsi="Arial"/>
          <w:sz w:val="20"/>
          <w:szCs w:val="20"/>
          <w:color w:val="auto"/>
        </w:rPr>
        <w:t>. Hansoh will (i) responsibly wind-down, in accordance with accepted pharmaceutical industry</w:t>
      </w:r>
      <w:r>
        <w:rPr>
          <w:rFonts w:ascii="Arial" w:cs="Arial" w:eastAsia="Arial" w:hAnsi="Arial"/>
          <w:sz w:val="20"/>
          <w:szCs w:val="20"/>
          <w:b w:val="1"/>
          <w:bCs w:val="1"/>
          <w:color w:val="auto"/>
        </w:rPr>
        <w:t xml:space="preserve"> </w:t>
      </w:r>
      <w:r>
        <w:rPr>
          <w:rFonts w:ascii="Arial" w:cs="Arial" w:eastAsia="Arial" w:hAnsi="Arial"/>
          <w:sz w:val="20"/>
          <w:szCs w:val="20"/>
          <w:color w:val="auto"/>
        </w:rPr>
        <w:t>norms and ethical practices, any ongoing clinical studies for which it has responsibility hereunder in which patient dosing has commenced and (ii) at Keros’ written election, (A) transfer to Keros or its designee any such clinical studies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387" w:right="339" w:bottom="1440" w:gutter="0" w:footer="0" w:header="0"/>
        </w:sectPr>
      </w:pPr>
    </w:p>
    <w:bookmarkStart w:id="184" w:name="page185"/>
    <w:bookmarkEnd w:id="184"/>
    <w:p>
      <w:pPr>
        <w:jc w:val="both"/>
        <w:spacing w:after="0" w:line="223" w:lineRule="auto"/>
        <w:rPr>
          <w:sz w:val="20"/>
          <w:szCs w:val="20"/>
          <w:color w:val="auto"/>
        </w:rPr>
      </w:pPr>
      <w:r>
        <w:rPr>
          <w:rFonts w:ascii="Arial" w:cs="Arial" w:eastAsia="Arial" w:hAnsi="Arial"/>
          <w:sz w:val="21"/>
          <w:szCs w:val="21"/>
          <w:color w:val="auto"/>
        </w:rPr>
        <w:t xml:space="preserve">permitted under Applicable Laws and accepted pharmaceutical industry norms and ethical practices, or (B) if reasonably practicable and not adverse to patient safety, complete such trials,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Keros shall reimburse Hansoh its reasonable, out-of-pocket costs associated with completing such trials. For the purpose of clarity, except as provided for above, Hansoh may transfer to Keros or its designee or wind-down any ongoing Clinical Trials prior to the date of termination in accordance with accepted pharmaceutical industry norms and ethical practices and Hansoh will be responsible for any costs associated with such transfer or wind-down.</w:t>
      </w:r>
    </w:p>
    <w:p>
      <w:pPr>
        <w:spacing w:after="0" w:line="151" w:lineRule="exact"/>
        <w:rPr>
          <w:sz w:val="20"/>
          <w:szCs w:val="20"/>
          <w:color w:val="auto"/>
        </w:rPr>
      </w:pPr>
    </w:p>
    <w:p>
      <w:pPr>
        <w:jc w:val="both"/>
        <w:ind w:firstLine="1296"/>
        <w:spacing w:after="0" w:line="226" w:lineRule="auto"/>
        <w:tabs>
          <w:tab w:leader="none" w:pos="1894"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color w:val="auto"/>
        </w:rPr>
        <w:t>Regulatory Materials; Data</w:t>
      </w:r>
      <w:r>
        <w:rPr>
          <w:rFonts w:ascii="Arial" w:cs="Arial" w:eastAsia="Arial" w:hAnsi="Arial"/>
          <w:sz w:val="21"/>
          <w:szCs w:val="21"/>
          <w:color w:val="auto"/>
        </w:rPr>
        <w:t>. Hansoh shall (i) provide and assign (and hereby assigns) to Keros or its</w:t>
      </w:r>
      <w:r>
        <w:rPr>
          <w:rFonts w:ascii="Arial" w:cs="Arial" w:eastAsia="Arial" w:hAnsi="Arial"/>
          <w:sz w:val="21"/>
          <w:szCs w:val="21"/>
          <w:b w:val="1"/>
          <w:bCs w:val="1"/>
          <w:color w:val="auto"/>
        </w:rPr>
        <w:t xml:space="preserve"> </w:t>
      </w:r>
      <w:r>
        <w:rPr>
          <w:rFonts w:ascii="Arial" w:cs="Arial" w:eastAsia="Arial" w:hAnsi="Arial"/>
          <w:sz w:val="21"/>
          <w:szCs w:val="21"/>
          <w:color w:val="auto"/>
        </w:rPr>
        <w:t>designee all Regulatory Materials, including Regulatory Approvals, for the Licensed Products to the extent possible under Applicable Law in the Hansoh Territory, (ii) promptly provide and assign (and hereby assigns) to Keros all Data, including pharmacovigilance data, generated by or on behalf of Hansoh, and (iii) promptly return or destroy (and certify such destruction in writing), at Keros’ election, all Confidential Information of Keros.</w:t>
      </w:r>
    </w:p>
    <w:p>
      <w:pPr>
        <w:spacing w:after="0" w:line="151" w:lineRule="exact"/>
        <w:rPr>
          <w:rFonts w:ascii="Arial" w:cs="Arial" w:eastAsia="Arial" w:hAnsi="Arial"/>
          <w:sz w:val="21"/>
          <w:szCs w:val="21"/>
          <w:b w:val="1"/>
          <w:bCs w:val="1"/>
          <w:color w:val="auto"/>
        </w:rPr>
      </w:pPr>
    </w:p>
    <w:p>
      <w:pPr>
        <w:jc w:val="both"/>
        <w:ind w:firstLine="1296"/>
        <w:spacing w:after="0" w:line="221" w:lineRule="auto"/>
        <w:tabs>
          <w:tab w:leader="none" w:pos="1794"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Assistance</w:t>
      </w:r>
      <w:r>
        <w:rPr>
          <w:rFonts w:ascii="Arial" w:cs="Arial" w:eastAsia="Arial" w:hAnsi="Arial"/>
          <w:sz w:val="21"/>
          <w:szCs w:val="21"/>
          <w:color w:val="auto"/>
        </w:rPr>
        <w:t>. Upon Keros’ reasonable request, (i) Hansoh shall provide such assistance as may be</w:t>
      </w:r>
      <w:r>
        <w:rPr>
          <w:rFonts w:ascii="Arial" w:cs="Arial" w:eastAsia="Arial" w:hAnsi="Arial"/>
          <w:sz w:val="21"/>
          <w:szCs w:val="21"/>
          <w:b w:val="1"/>
          <w:bCs w:val="1"/>
          <w:color w:val="auto"/>
        </w:rPr>
        <w:t xml:space="preserve"> </w:t>
      </w:r>
      <w:r>
        <w:rPr>
          <w:rFonts w:ascii="Arial" w:cs="Arial" w:eastAsia="Arial" w:hAnsi="Arial"/>
          <w:sz w:val="21"/>
          <w:szCs w:val="21"/>
          <w:color w:val="auto"/>
        </w:rPr>
        <w:t>reasonably necessary or reasonably useful for Keros to continue the Development, Manufacture, and Commercialization of Licensed Products in the Hansoh Territory, to the extent Hansoh or its Affiliate or their sublicensee is then performing or have performed such activities, including upon the reasonable request of Keros, assigning (or using Commercially Reasonable Efforts to amend as appropriate) any agreements or arrangements Hansoh or its Affiliate have with any Third Party for the Development, Manufacture, distribution, or Commercialization of Licensed Products; and (ii) Hansoh shall provide Keros with copies of any promotional and marketing materials generated by or on behalf of Hansoh with respect to Licensed Products prior to the effective date of termination.</w:t>
      </w:r>
    </w:p>
    <w:p>
      <w:pPr>
        <w:spacing w:after="0" w:line="153" w:lineRule="exact"/>
        <w:rPr>
          <w:rFonts w:ascii="Arial" w:cs="Arial" w:eastAsia="Arial" w:hAnsi="Arial"/>
          <w:sz w:val="21"/>
          <w:szCs w:val="21"/>
          <w:b w:val="1"/>
          <w:bCs w:val="1"/>
          <w:color w:val="auto"/>
        </w:rPr>
      </w:pPr>
    </w:p>
    <w:p>
      <w:pPr>
        <w:jc w:val="both"/>
        <w:ind w:firstLine="1296"/>
        <w:spacing w:after="0" w:line="249" w:lineRule="auto"/>
        <w:tabs>
          <w:tab w:leader="none" w:pos="1741"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Inventory</w:t>
      </w:r>
      <w:r>
        <w:rPr>
          <w:rFonts w:ascii="Arial" w:cs="Arial" w:eastAsia="Arial" w:hAnsi="Arial"/>
          <w:sz w:val="20"/>
          <w:szCs w:val="20"/>
          <w:color w:val="auto"/>
        </w:rPr>
        <w:t>. In the event that this Agreement is terminated in its entirety, Keros shall have the right, but not the</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 to purchase any and all of the inventory of Licensed Products held by Hansoh or its Affiliates or sublicensees as of the date of termination, at a price equal to the transfer price paid by Hansoh to Keros for such inventory.</w:t>
      </w:r>
    </w:p>
    <w:p>
      <w:pPr>
        <w:spacing w:after="0" w:line="143" w:lineRule="exact"/>
        <w:rPr>
          <w:rFonts w:ascii="Arial" w:cs="Arial" w:eastAsia="Arial" w:hAnsi="Arial"/>
          <w:sz w:val="20"/>
          <w:szCs w:val="20"/>
          <w:b w:val="1"/>
          <w:bCs w:val="1"/>
          <w:color w:val="auto"/>
        </w:rPr>
      </w:pPr>
    </w:p>
    <w:p>
      <w:pPr>
        <w:jc w:val="both"/>
        <w:ind w:firstLine="1296"/>
        <w:spacing w:after="0" w:line="249" w:lineRule="auto"/>
        <w:tabs>
          <w:tab w:leader="none" w:pos="175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Intellectual Property</w:t>
      </w:r>
      <w:r>
        <w:rPr>
          <w:rFonts w:ascii="Arial" w:cs="Arial" w:eastAsia="Arial" w:hAnsi="Arial"/>
          <w:sz w:val="20"/>
          <w:szCs w:val="20"/>
          <w:color w:val="auto"/>
        </w:rPr>
        <w:t>. With respect to (i) [***] for the Development, Manufacture, or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Licensed Products, (ii) [***] pursuant to activities in connection with the Development, Manufacture, or Commercialization of Licensed Products prior to the effective date of termination [***], Hansoh hereby grants Keros [***].</w:t>
      </w:r>
    </w:p>
    <w:p>
      <w:pPr>
        <w:spacing w:after="0" w:line="143" w:lineRule="exact"/>
        <w:rPr>
          <w:rFonts w:ascii="Arial" w:cs="Arial" w:eastAsia="Arial" w:hAnsi="Arial"/>
          <w:sz w:val="20"/>
          <w:szCs w:val="20"/>
          <w:b w:val="1"/>
          <w:bCs w:val="1"/>
          <w:color w:val="auto"/>
        </w:rPr>
      </w:pPr>
    </w:p>
    <w:p>
      <w:pPr>
        <w:ind w:left="1740" w:hanging="444"/>
        <w:spacing w:after="0"/>
        <w:tabs>
          <w:tab w:leader="none" w:pos="1740"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color w:val="auto"/>
        </w:rPr>
        <w:t>Additional Hansoh Rights</w:t>
      </w:r>
      <w:r>
        <w:rPr>
          <w:rFonts w:ascii="Arial" w:cs="Arial" w:eastAsia="Arial" w:hAnsi="Arial"/>
          <w:sz w:val="21"/>
          <w:szCs w:val="21"/>
          <w:color w:val="auto"/>
        </w:rPr>
        <w:t>.</w:t>
      </w:r>
    </w:p>
    <w:p>
      <w:pPr>
        <w:spacing w:after="0" w:line="193" w:lineRule="exact"/>
        <w:rPr>
          <w:rFonts w:ascii="Arial" w:cs="Arial" w:eastAsia="Arial" w:hAnsi="Arial"/>
          <w:sz w:val="21"/>
          <w:szCs w:val="21"/>
          <w:b w:val="1"/>
          <w:bCs w:val="1"/>
          <w:color w:val="auto"/>
        </w:rPr>
      </w:pPr>
    </w:p>
    <w:p>
      <w:pPr>
        <w:ind w:firstLine="1940"/>
        <w:spacing w:after="0" w:line="245" w:lineRule="auto"/>
        <w:tabs>
          <w:tab w:leader="none" w:pos="2377" w:val="left"/>
        </w:tabs>
        <w:numPr>
          <w:ilvl w:val="1"/>
          <w:numId w:val="133"/>
        </w:numPr>
        <w:rPr>
          <w:rFonts w:ascii="Arial" w:cs="Arial" w:eastAsia="Arial" w:hAnsi="Arial"/>
          <w:sz w:val="21"/>
          <w:szCs w:val="21"/>
          <w:b w:val="1"/>
          <w:bCs w:val="1"/>
          <w:color w:val="auto"/>
        </w:rPr>
      </w:pPr>
      <w:r>
        <w:rPr>
          <w:rFonts w:ascii="Arial" w:cs="Arial" w:eastAsia="Arial" w:hAnsi="Arial"/>
          <w:sz w:val="21"/>
          <w:szCs w:val="21"/>
          <w:color w:val="auto"/>
        </w:rPr>
        <w:t>If Hansoh terminates the Agreement under Section 13.4 or Section 13.5, notwithstanding anything set forth to the contrary in this Section 13.6, Keros shall reimburse Hansoh for [***].</w:t>
      </w:r>
    </w:p>
    <w:p>
      <w:pPr>
        <w:spacing w:after="0" w:line="151" w:lineRule="exact"/>
        <w:rPr>
          <w:rFonts w:ascii="Arial" w:cs="Arial" w:eastAsia="Arial" w:hAnsi="Arial"/>
          <w:sz w:val="21"/>
          <w:szCs w:val="21"/>
          <w:b w:val="1"/>
          <w:bCs w:val="1"/>
          <w:color w:val="auto"/>
        </w:rPr>
      </w:pPr>
    </w:p>
    <w:p>
      <w:pPr>
        <w:jc w:val="both"/>
        <w:ind w:firstLine="1940"/>
        <w:spacing w:after="0" w:line="221" w:lineRule="auto"/>
        <w:tabs>
          <w:tab w:leader="none" w:pos="2436" w:val="left"/>
        </w:tabs>
        <w:numPr>
          <w:ilvl w:val="1"/>
          <w:numId w:val="133"/>
        </w:numPr>
        <w:rPr>
          <w:rFonts w:ascii="Arial" w:cs="Arial" w:eastAsia="Arial" w:hAnsi="Arial"/>
          <w:sz w:val="21"/>
          <w:szCs w:val="21"/>
          <w:b w:val="1"/>
          <w:bCs w:val="1"/>
          <w:color w:val="auto"/>
        </w:rPr>
      </w:pPr>
      <w:r>
        <w:rPr>
          <w:rFonts w:ascii="Arial" w:cs="Arial" w:eastAsia="Arial" w:hAnsi="Arial"/>
          <w:sz w:val="21"/>
          <w:szCs w:val="21"/>
          <w:color w:val="auto"/>
        </w:rPr>
        <w:t>If Hansoh terminates this Agreement under Section 13.4 and the Parties execute a license pursuant to Section 13.7(f), then, subject to Hansoh’s satisfactory performance of the transfer activities as set out in Sections 13.7(b) through 13.7(d), in the event that Keros requests the transfer of any of the Regulatory Materials, including Regulatory Approvals, obtained by Hansoh for the Commercialization of the relevant Licensed Compound in the Hansoh Territory to Keros, then, to the extent that such Regulatory Materials, including Regulatory Approvals, are transferred to Keros and Keros or its Affiliates or licensees (including sublicensees) use such materials or approvals in the Commercialization of a Licensed Product, [***]. For the avoidance of doubt the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393" w:right="339" w:bottom="1440" w:gutter="0" w:footer="0" w:header="0"/>
        </w:sectPr>
      </w:pPr>
    </w:p>
    <w:bookmarkStart w:id="185" w:name="page186"/>
    <w:bookmarkEnd w:id="185"/>
    <w:p>
      <w:pPr>
        <w:jc w:val="both"/>
        <w:ind w:firstLine="644"/>
        <w:spacing w:after="0" w:line="233" w:lineRule="auto"/>
        <w:rPr>
          <w:sz w:val="20"/>
          <w:szCs w:val="20"/>
          <w:color w:val="auto"/>
        </w:rPr>
      </w:pPr>
      <w:r>
        <w:rPr>
          <w:rFonts w:ascii="Arial" w:cs="Arial" w:eastAsia="Arial" w:hAnsi="Arial"/>
          <w:sz w:val="20"/>
          <w:szCs w:val="20"/>
          <w:b w:val="1"/>
          <w:bCs w:val="1"/>
          <w:color w:val="auto"/>
        </w:rPr>
        <w:t>13.8 Survival</w:t>
      </w:r>
      <w:r>
        <w:rPr>
          <w:rFonts w:ascii="Arial" w:cs="Arial" w:eastAsia="Arial" w:hAnsi="Arial"/>
          <w:sz w:val="20"/>
          <w:szCs w:val="20"/>
          <w:color w:val="auto"/>
        </w:rPr>
        <w:t>. Any expiration or termination of this Agreement shall not affect rights or obligations of the Parties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that have accrued prior to the date of expiration or termination. Notwithstanding anything to the contrary, the following provisions shall survive any expiration or termination of this Agreement: Sections 2.1(c)(v) (Keros’ right to assume a Hansoh Sublicense), 2.4 (No Implied Licenses), 8.7 (Payment Method; Foreign Exchange), 8.8 (Interest on Late Payments), 8.9 (Records; Audits), 8.10 (Taxes), 9.1 (Ownership), 10.5 (No Other Representations or Warranties), 13.1 (Term), 13.7 (Effect of Early Termination), 13.8 (Survival), 13.9 (Termination Not Sole Remedy) and Article 1 (Definitions), Article 11 (Indemnification), Article 12 (Confidentiality), Article 14 (Dispute Resolution), and Article 15 (Miscellaneous).</w:t>
      </w:r>
    </w:p>
    <w:p>
      <w:pPr>
        <w:spacing w:after="0" w:line="155"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13.9 Termination Not Sole Remedy</w:t>
      </w:r>
      <w:r>
        <w:rPr>
          <w:rFonts w:ascii="Arial" w:cs="Arial" w:eastAsia="Arial" w:hAnsi="Arial"/>
          <w:sz w:val="21"/>
          <w:szCs w:val="21"/>
          <w:color w:val="auto"/>
        </w:rPr>
        <w:t>. Termination is not the sole remedy under this Agreement and, whether or not</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is effected and notwithstanding anything contained in this Agreement to the contrary, all other remedies shall remain available except as agreed to otherwise herein.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14</w:t>
      </w:r>
    </w:p>
    <w:p>
      <w:pPr>
        <w:jc w:val="center"/>
        <w:spacing w:after="0"/>
        <w:rPr>
          <w:sz w:val="20"/>
          <w:szCs w:val="20"/>
          <w:color w:val="auto"/>
        </w:rPr>
      </w:pPr>
      <w:r>
        <w:rPr>
          <w:rFonts w:ascii="Arial" w:cs="Arial" w:eastAsia="Arial" w:hAnsi="Arial"/>
          <w:sz w:val="21"/>
          <w:szCs w:val="21"/>
          <w:b w:val="1"/>
          <w:bCs w:val="1"/>
          <w:color w:val="auto"/>
        </w:rPr>
        <w:t>DISPUTE RESOLUTION</w:t>
      </w:r>
    </w:p>
    <w:p>
      <w:pPr>
        <w:spacing w:after="0" w:line="164"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0"/>
          <w:szCs w:val="20"/>
          <w:b w:val="1"/>
          <w:bCs w:val="1"/>
          <w:color w:val="auto"/>
        </w:rPr>
        <w:t xml:space="preserve">14.1 Disputes; Internal Resolution </w:t>
      </w:r>
      <w:r>
        <w:rPr>
          <w:rFonts w:ascii="Arial" w:cs="Arial" w:eastAsia="Arial" w:hAnsi="Arial"/>
          <w:sz w:val="20"/>
          <w:szCs w:val="20"/>
          <w:color w:val="auto"/>
        </w:rPr>
        <w:t>. It is the objective of the Parties to establish procedures to facilitate the resolution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any and all disputes that may arise out of or in connection with this Agreement (each a “</w:t>
      </w:r>
      <w:r>
        <w:rPr>
          <w:rFonts w:ascii="Arial" w:cs="Arial" w:eastAsia="Arial" w:hAnsi="Arial"/>
          <w:sz w:val="20"/>
          <w:szCs w:val="20"/>
          <w:b w:val="1"/>
          <w:bCs w:val="1"/>
          <w:color w:val="auto"/>
        </w:rPr>
        <w:t>Dispute</w:t>
      </w:r>
      <w:r>
        <w:rPr>
          <w:rFonts w:ascii="Arial" w:cs="Arial" w:eastAsia="Arial" w:hAnsi="Arial"/>
          <w:sz w:val="20"/>
          <w:szCs w:val="20"/>
          <w:color w:val="auto"/>
        </w:rPr>
        <w:t>”) in an expedient manner by mutual cooperation. To accomplish this objective, the Parties agree that, except as otherwise provided in Section 3.3, in the event of such a Dispute, including any alleged breach under this Agreement or any issue relating to the interpretation or application of this Agreement, and the Parties are unable to resolve such Dispute within [***] after such Dispute is first identified by either Party in writing to the other, the Parties shall refer such Dispute to the Executive Officers for attempted resolution by good faith negotiations within [***] after such notice is received. If the Dispute is not resolved within such [***], either Party may commence arbitration with respect to the subject matter of the Dispute and with respect to any other claims it may have and thereafter neither Party shall have any further obligation under this Section 14.1. Any Dispute concerning the propriety of the commencement of the arbitration or the applicability of the Agreement to arbitrate shall be finally settled by the arbitral tribunal. Notwithstanding the foregoing, and without waiting for the expiration of any such [***] periods, Keros and Hansoh shall each have the right to apply to any court of competent jurisdiction for appropriate interim or provisional relief, as necessary to protect the rights or property of that Party.</w:t>
      </w:r>
    </w:p>
    <w:p>
      <w:pPr>
        <w:spacing w:after="0" w:line="154"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1"/>
          <w:szCs w:val="21"/>
          <w:b w:val="1"/>
          <w:bCs w:val="1"/>
          <w:color w:val="auto"/>
        </w:rPr>
        <w:t>14.2</w:t>
      </w:r>
      <w:r>
        <w:rPr>
          <w:sz w:val="20"/>
          <w:szCs w:val="20"/>
          <w:color w:val="auto"/>
        </w:rPr>
        <w:tab/>
      </w:r>
      <w:r>
        <w:rPr>
          <w:rFonts w:ascii="Arial" w:cs="Arial" w:eastAsia="Arial" w:hAnsi="Arial"/>
          <w:sz w:val="20"/>
          <w:szCs w:val="20"/>
          <w:b w:val="1"/>
          <w:bCs w:val="1"/>
          <w:color w:val="auto"/>
        </w:rPr>
        <w:t>Arbitration; Governing Law</w:t>
      </w:r>
      <w:r>
        <w:rPr>
          <w:rFonts w:ascii="Arial" w:cs="Arial" w:eastAsia="Arial" w:hAnsi="Arial"/>
          <w:sz w:val="20"/>
          <w:szCs w:val="20"/>
          <w:color w:val="auto"/>
        </w:rPr>
        <w:t>.</w:t>
      </w:r>
    </w:p>
    <w:p>
      <w:pPr>
        <w:spacing w:after="0" w:line="188" w:lineRule="exact"/>
        <w:rPr>
          <w:sz w:val="20"/>
          <w:szCs w:val="20"/>
          <w:color w:val="auto"/>
        </w:rPr>
      </w:pPr>
    </w:p>
    <w:p>
      <w:pPr>
        <w:jc w:val="both"/>
        <w:ind w:firstLine="1296"/>
        <w:spacing w:after="0" w:line="241" w:lineRule="auto"/>
        <w:tabs>
          <w:tab w:leader="none" w:pos="1893" w:val="left"/>
        </w:tabs>
        <w:numPr>
          <w:ilvl w:val="1"/>
          <w:numId w:val="134"/>
        </w:numPr>
        <w:rPr>
          <w:rFonts w:ascii="Arial" w:cs="Arial" w:eastAsia="Arial" w:hAnsi="Arial"/>
          <w:sz w:val="19"/>
          <w:szCs w:val="19"/>
          <w:b w:val="1"/>
          <w:bCs w:val="1"/>
          <w:color w:val="auto"/>
        </w:rPr>
      </w:pPr>
      <w:r>
        <w:rPr>
          <w:rFonts w:ascii="Arial" w:cs="Arial" w:eastAsia="Arial" w:hAnsi="Arial"/>
          <w:sz w:val="19"/>
          <w:szCs w:val="19"/>
          <w:b w:val="1"/>
          <w:bCs w:val="1"/>
          <w:color w:val="auto"/>
        </w:rPr>
        <w:t>General Arbitration</w:t>
      </w:r>
      <w:r>
        <w:rPr>
          <w:rFonts w:ascii="Arial" w:cs="Arial" w:eastAsia="Arial" w:hAnsi="Arial"/>
          <w:sz w:val="19"/>
          <w:szCs w:val="19"/>
          <w:color w:val="auto"/>
        </w:rPr>
        <w:t>. Subject to Section 14.1, all Disputes, including existence, validity, interpretation,</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breach or termination thereof, but excluding any Combination Product Dispute (pursuant to Section 1.60) shall be submitted to and finally resolved by arbitration administered by the [***] (the “</w:t>
      </w:r>
      <w:r>
        <w:rPr>
          <w:rFonts w:ascii="Arial" w:cs="Arial" w:eastAsia="Arial" w:hAnsi="Arial"/>
          <w:sz w:val="19"/>
          <w:szCs w:val="19"/>
          <w:b w:val="1"/>
          <w:bCs w:val="1"/>
          <w:color w:val="auto"/>
        </w:rPr>
        <w:t>Rules</w:t>
      </w:r>
      <w:r>
        <w:rPr>
          <w:rFonts w:ascii="Arial" w:cs="Arial" w:eastAsia="Arial" w:hAnsi="Arial"/>
          <w:sz w:val="19"/>
          <w:szCs w:val="19"/>
          <w:color w:val="auto"/>
        </w:rPr>
        <w:t>”). The seat, or legal place, of arbitration shall be [***]. The language of the arbitration shall be English. The arbitration shall be conducted by a tribunal of three (3) arbitrators. Each Party shall nominate one (1) arbitrator, and the two (2) Party nominated arbitrators shall jointly nominate, within</w:t>
      </w:r>
    </w:p>
    <w:p>
      <w:pPr>
        <w:jc w:val="both"/>
        <w:ind w:firstLine="7"/>
        <w:spacing w:after="0" w:line="219" w:lineRule="auto"/>
        <w:tabs>
          <w:tab w:leader="none" w:pos="526" w:val="left"/>
        </w:tabs>
        <w:numPr>
          <w:ilvl w:val="0"/>
          <w:numId w:val="134"/>
        </w:numPr>
        <w:rPr>
          <w:rFonts w:ascii="Arial" w:cs="Arial" w:eastAsia="Arial" w:hAnsi="Arial"/>
          <w:sz w:val="21"/>
          <w:szCs w:val="21"/>
          <w:color w:val="auto"/>
        </w:rPr>
      </w:pPr>
      <w:r>
        <w:rPr>
          <w:rFonts w:ascii="Arial" w:cs="Arial" w:eastAsia="Arial" w:hAnsi="Arial"/>
          <w:sz w:val="21"/>
          <w:szCs w:val="21"/>
          <w:color w:val="auto"/>
        </w:rPr>
        <w:t>of the second arbitrator’s appointment, the third arbitrator who shall serve as the presiding arbitrator and shall be of neutral nationality. Each arbitrator must have significant business or legal experience in the pharmaceutical business. An arbitrator shall be deemed to meet this qualification unless a Party objects within [***] after the arbitrator is nominated. The Parties hereby agree to engage in discovery of information and evidence that is or might be relevant to the claims, defenses, and issues in the Dispute, including by means of discovery in the form of requests for documents (including electronically stored information). After conducting any hearing and taking any evidence deemed appropriate for consideration, the arbitrators shall render their award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387" w:right="339" w:bottom="1440" w:gutter="0" w:footer="0" w:header="0"/>
        </w:sectPr>
      </w:pPr>
    </w:p>
    <w:bookmarkStart w:id="186" w:name="page187"/>
    <w:bookmarkEnd w:id="186"/>
    <w:p>
      <w:pPr>
        <w:spacing w:after="0" w:line="168" w:lineRule="exact"/>
        <w:rPr>
          <w:sz w:val="20"/>
          <w:szCs w:val="20"/>
          <w:color w:val="auto"/>
        </w:rPr>
      </w:pPr>
    </w:p>
    <w:p>
      <w:pPr>
        <w:jc w:val="both"/>
        <w:ind w:firstLine="7"/>
        <w:spacing w:after="0" w:line="227" w:lineRule="auto"/>
        <w:tabs>
          <w:tab w:leader="none" w:pos="536" w:val="left"/>
        </w:tabs>
        <w:numPr>
          <w:ilvl w:val="0"/>
          <w:numId w:val="135"/>
        </w:numPr>
        <w:rPr>
          <w:rFonts w:ascii="Arial" w:cs="Arial" w:eastAsia="Arial" w:hAnsi="Arial"/>
          <w:sz w:val="21"/>
          <w:szCs w:val="21"/>
          <w:color w:val="auto"/>
        </w:rPr>
      </w:pPr>
      <w:r>
        <w:rPr>
          <w:rFonts w:ascii="Arial" w:cs="Arial" w:eastAsia="Arial" w:hAnsi="Arial"/>
          <w:sz w:val="21"/>
          <w:szCs w:val="21"/>
          <w:color w:val="auto"/>
        </w:rPr>
        <w:t>of the final arbitration hearing or the final post-hearing submissions unless the Parties jointly request an extension, or the arbitral tribunal determines in a reasoned decision that the interest of justice or the complexity of the case requires that such a limit be extended. The arbitral tribunal shall not have the power to award damages excluded pursuant to Section 11.4 of this Agreement, and any arbitral award that purports to award such damages is expressly prohibited.</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award shall be final and binding, and the Parties undertake to carry out the award without delay. Judgment on the award so rendered may be entered in any court of competent jurisdiction. Notwithstanding any provision in the Rules, (i) the arbitral tribunal shall not be empowered to allocate, assess, or award costs or fees (whether at the conclusion of the proceedings or at any other time); each Party shall bear [***] administrative costs and the fees and costs of the arbitrators, and (ii) each Party shall bear its own attorneys’ fees, expert or witness fees, and any other fees and costs. The existence and content of the arbitral proceedings and any rulings or awards shall be kept confidential by the Parties and members of the arbitral tribunal except (A) to the extent that disclosure may be required of a Party to fulfill a legal duty, protect or pursue a legal right, or enforce or challenge an award in bona fide legal proceedings before a state court or other judicial authority, (B) with the consent of all Parties, (C) where needed for the preparation or presentation of a claim or defense in this arbitration, (D) where such information is already in the public domain other than as a result of a breach of this clause, or (E) by order of the arbitral tribunal upon application of a Party.</w:t>
      </w:r>
    </w:p>
    <w:p>
      <w:pPr>
        <w:spacing w:after="0" w:line="180" w:lineRule="exact"/>
        <w:rPr>
          <w:sz w:val="20"/>
          <w:szCs w:val="20"/>
          <w:color w:val="auto"/>
        </w:rPr>
      </w:pPr>
    </w:p>
    <w:p>
      <w:pPr>
        <w:jc w:val="both"/>
        <w:ind w:firstLine="1296"/>
        <w:spacing w:after="0"/>
        <w:tabs>
          <w:tab w:leader="none" w:pos="1801" w:val="left"/>
        </w:tabs>
        <w:numPr>
          <w:ilvl w:val="0"/>
          <w:numId w:val="1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Baseball Arbitration. </w:t>
      </w:r>
      <w:r>
        <w:rPr>
          <w:rFonts w:ascii="Arial" w:cs="Arial" w:eastAsia="Arial" w:hAnsi="Arial"/>
          <w:sz w:val="19"/>
          <w:szCs w:val="19"/>
          <w:color w:val="auto"/>
        </w:rPr>
        <w:t>Subject to Section 14.1, any Combination Product Dispute (pursuant to Section 1.60)</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submitted to and finally resolved by the following provisions (i.e., “baseball-style” arbitration). The Parties shall promptly designate in writing a single mutually acceptable arbitrator experienced in the licensing, development, and commercialization of pharmaceutical products, who is independent of each Party (i.e., not a current or former employee, consultant, officer, or director or current stockholder of either Party or their respective Affiliates and who does not otherwise have any current or previous business relationship with either Party or their respective Affiliates). If the Parties cannot agree on an arbitrator within [***] after referral of such matter, the arbitrator shall be selected by the President of the Chamber of Commerce of New York. The arbitration shall be conducted in accordance with the Rules to the extent consistent with this Section 14.2(b). Within [***] of the arbitrator’s appointment, each Party shall prepare and deliver to both the arbitrator and other Party its last, best offer for the applicable unresolved terms and a memorandum in support thereof. The Parties shall also provide the arbitrator with a copy of the relevant provisions of this Agreement. Each Party may submit to the arbitrator (with a copy to the other Party) a rebuttal to the other Party’s support memorandum and will at such time have the opportunity to amend its last such offer based on any new information contained in the other Party’s support memorandum. Within [***] after the arbitrator’s appointment, the arbitrator will select from the [***] proposals provided by the Parties the proposal such arbitrator believes is most consistent with the intent of the Parties when this Agreement was entered into provided the arbitrator may not alter the terms of this Agreement. The decision of the arbitrator shall be final and binding on the Parties. The foregoing “baseball-style” arbitration shall be the exclusive remedy of either Party if the Parties cannot agree on a Combination Product Dispute.</w:t>
      </w:r>
    </w:p>
    <w:p>
      <w:pPr>
        <w:spacing w:after="0" w:line="150" w:lineRule="exact"/>
        <w:rPr>
          <w:rFonts w:ascii="Arial" w:cs="Arial" w:eastAsia="Arial" w:hAnsi="Arial"/>
          <w:sz w:val="19"/>
          <w:szCs w:val="19"/>
          <w:b w:val="1"/>
          <w:bCs w:val="1"/>
          <w:color w:val="auto"/>
        </w:rPr>
      </w:pPr>
    </w:p>
    <w:p>
      <w:pPr>
        <w:ind w:right="20" w:firstLine="1296"/>
        <w:spacing w:after="0" w:line="251" w:lineRule="auto"/>
        <w:tabs>
          <w:tab w:leader="none" w:pos="1741" w:val="left"/>
        </w:tabs>
        <w:numPr>
          <w:ilvl w:val="0"/>
          <w:numId w:val="136"/>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w:t>
      </w:r>
      <w:r>
        <w:rPr>
          <w:rFonts w:ascii="Arial" w:cs="Arial" w:eastAsia="Arial" w:hAnsi="Arial"/>
          <w:sz w:val="21"/>
          <w:szCs w:val="21"/>
          <w:color w:val="auto"/>
        </w:rPr>
        <w:t>. This Agreement and all Disputes shall be governed by and construed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laws of the [***], without giving effect to any conflicts or choice of law rules or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440" w:right="3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1"/>
          <w:szCs w:val="21"/>
          <w:b w:val="1"/>
          <w:bCs w:val="1"/>
          <w:color w:val="auto"/>
        </w:rPr>
        <w:t>ARTICLE 15</w:t>
      </w: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164" w:lineRule="exact"/>
        <w:rPr>
          <w:sz w:val="20"/>
          <w:szCs w:val="20"/>
          <w:color w:val="auto"/>
        </w:rPr>
      </w:pPr>
    </w:p>
    <w:p>
      <w:pPr>
        <w:jc w:val="both"/>
        <w:ind w:firstLine="644"/>
        <w:spacing w:after="0" w:line="231" w:lineRule="auto"/>
        <w:rPr>
          <w:sz w:val="20"/>
          <w:szCs w:val="20"/>
          <w:color w:val="auto"/>
        </w:rPr>
      </w:pPr>
      <w:r>
        <w:rPr>
          <w:rFonts w:ascii="Arial" w:cs="Arial" w:eastAsia="Arial" w:hAnsi="Arial"/>
          <w:sz w:val="20"/>
          <w:szCs w:val="20"/>
          <w:b w:val="1"/>
          <w:bCs w:val="1"/>
          <w:color w:val="auto"/>
        </w:rPr>
        <w:t>15.1 Entire Agreement; Amendment</w:t>
      </w:r>
      <w:r>
        <w:rPr>
          <w:rFonts w:ascii="Arial" w:cs="Arial" w:eastAsia="Arial" w:hAnsi="Arial"/>
          <w:sz w:val="20"/>
          <w:szCs w:val="20"/>
          <w:color w:val="auto"/>
        </w:rPr>
        <w:t>. This Agreement, including the Exhibits hereto, sets forth the complete, final and</w:t>
      </w:r>
      <w:r>
        <w:rPr>
          <w:rFonts w:ascii="Arial" w:cs="Arial" w:eastAsia="Arial" w:hAnsi="Arial"/>
          <w:sz w:val="20"/>
          <w:szCs w:val="20"/>
          <w:b w:val="1"/>
          <w:bCs w:val="1"/>
          <w:color w:val="auto"/>
        </w:rPr>
        <w:t xml:space="preserve"> </w:t>
      </w:r>
      <w:r>
        <w:rPr>
          <w:rFonts w:ascii="Arial" w:cs="Arial" w:eastAsia="Arial" w:hAnsi="Arial"/>
          <w:sz w:val="20"/>
          <w:szCs w:val="20"/>
          <w:color w:val="auto"/>
        </w:rPr>
        <w:t>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including the Confidentiality Agreement. The foregoing shall not be interpreted as a waiver of any remedies available to either Party as a result of any breach prior to the Effective Date, by the other Party of its obligations under the Confidentiality Agreement. There are no covenants, promises, agreements, warranties, representations, conditions or understandings, either oral or written, between the Parties other than as are set forth in this Agreement. No subsequent alteration, amendment, change or addition to this Agreement shall be binding upon the Parties unless reduced to writing and signed by an authorized officer of each Party.</w:t>
      </w:r>
    </w:p>
    <w:p>
      <w:pPr>
        <w:spacing w:after="0" w:line="155" w:lineRule="exact"/>
        <w:rPr>
          <w:sz w:val="20"/>
          <w:szCs w:val="20"/>
          <w:color w:val="auto"/>
        </w:rPr>
      </w:pPr>
    </w:p>
    <w:p>
      <w:pPr>
        <w:jc w:val="both"/>
        <w:ind w:firstLine="644"/>
        <w:spacing w:after="0" w:line="230" w:lineRule="auto"/>
        <w:rPr>
          <w:sz w:val="20"/>
          <w:szCs w:val="20"/>
          <w:color w:val="auto"/>
        </w:rPr>
      </w:pPr>
      <w:r>
        <w:rPr>
          <w:rFonts w:ascii="Arial" w:cs="Arial" w:eastAsia="Arial" w:hAnsi="Arial"/>
          <w:sz w:val="20"/>
          <w:szCs w:val="20"/>
          <w:b w:val="1"/>
          <w:bCs w:val="1"/>
          <w:color w:val="auto"/>
        </w:rPr>
        <w:t>15.2 Force Majeure</w:t>
      </w:r>
      <w:r>
        <w:rPr>
          <w:rFonts w:ascii="Arial" w:cs="Arial" w:eastAsia="Arial" w:hAnsi="Arial"/>
          <w:sz w:val="20"/>
          <w:szCs w:val="20"/>
          <w:color w:val="auto"/>
        </w:rPr>
        <w:t>. Each Party’s shall be excused from the performance of its obligations under this Agreement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extent that such performance is prevented by force majeure and the nonperforming Party promptly provides notice of the prevention to the other Party. Such excuse shall be continued only for so long as (a) the condition constituting force majeure continues and (b) the nonperforming Party takes all reasonable efforts to remove the condition. For purposes of this Agreement, force majeure shall include conditions beyond the reasonable control of the applicable Party, which may include an act of God, war, civil commotion, terrorist act, labor strike or lock-out, epidemic, failure or default of public utilities or common carriers, destruction of production facilities or materials by fire, earthquake, storm or like catastrophe, action or inaction of any Governmental Authority, and failure of plant or machinery. Notwithstanding the foregoing, a Party shall not be excused from making payments owed hereunder because of a force majeure event affecting such Party. If a force majeure event persists for more than [***], then the Parties will discuss in good faith the modification of the Parties’ obligations under this Agreement in order to mitigate the delays caused by such force majeure.</w:t>
      </w:r>
    </w:p>
    <w:p>
      <w:pPr>
        <w:spacing w:after="0" w:line="152" w:lineRule="exact"/>
        <w:rPr>
          <w:sz w:val="20"/>
          <w:szCs w:val="20"/>
          <w:color w:val="auto"/>
        </w:rPr>
      </w:pPr>
    </w:p>
    <w:p>
      <w:pPr>
        <w:jc w:val="both"/>
        <w:ind w:firstLine="644"/>
        <w:spacing w:after="0" w:line="222" w:lineRule="auto"/>
        <w:rPr>
          <w:sz w:val="20"/>
          <w:szCs w:val="20"/>
          <w:color w:val="auto"/>
        </w:rPr>
      </w:pPr>
      <w:r>
        <w:rPr>
          <w:rFonts w:ascii="Arial" w:cs="Arial" w:eastAsia="Arial" w:hAnsi="Arial"/>
          <w:sz w:val="21"/>
          <w:szCs w:val="21"/>
          <w:b w:val="1"/>
          <w:bCs w:val="1"/>
          <w:color w:val="auto"/>
        </w:rPr>
        <w:t>15.3 Notices</w:t>
      </w:r>
      <w:r>
        <w:rPr>
          <w:rFonts w:ascii="Arial" w:cs="Arial" w:eastAsia="Arial" w:hAnsi="Arial"/>
          <w:sz w:val="21"/>
          <w:szCs w:val="21"/>
          <w:color w:val="auto"/>
        </w:rPr>
        <w:t>. Any notice required or permitted to be given under this Agreement shall be in writing, shall specifically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refer to this Agreement, and shall be addressed to the appropriate Party at the address specified below or such other address as may be specified by such Party in writing in accordance with this Section 15.3, and shall be deemed to have been given for all purposes (a) when received, if hand-delivered or a reputable courier service, (b) [***] after mailing, if mailed by first class certified or registered airmail, postage prepaid, return receipt requested, (c) or upon receipt if sent by electronic mail,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notice is also sent by a reputable courier service or first class certified or registered airmail, postage prepaid, return receipt requested.</w:t>
      </w:r>
    </w:p>
    <w:p>
      <w:pPr>
        <w:spacing w:after="0" w:line="15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1"/>
          <w:szCs w:val="21"/>
          <w:color w:val="auto"/>
        </w:rPr>
        <w:t>If to Keros:</w:t>
        <w:tab/>
        <w:t>[***]</w:t>
      </w:r>
    </w:p>
    <w:p>
      <w:pPr>
        <w:ind w:left="860"/>
        <w:spacing w:after="0" w:line="213" w:lineRule="auto"/>
        <w:rPr>
          <w:sz w:val="20"/>
          <w:szCs w:val="20"/>
          <w:color w:val="auto"/>
        </w:rPr>
      </w:pPr>
      <w:r>
        <w:rPr>
          <w:rFonts w:ascii="Arial" w:cs="Arial" w:eastAsia="Arial" w:hAnsi="Arial"/>
          <w:sz w:val="21"/>
          <w:szCs w:val="21"/>
          <w:color w:val="auto"/>
        </w:rPr>
        <w:t>[***]</w:t>
      </w:r>
    </w:p>
    <w:p>
      <w:pPr>
        <w:ind w:left="3060"/>
        <w:spacing w:after="0" w:line="213" w:lineRule="auto"/>
        <w:rPr>
          <w:sz w:val="20"/>
          <w:szCs w:val="20"/>
          <w:color w:val="auto"/>
        </w:rPr>
      </w:pPr>
      <w:r>
        <w:rPr>
          <w:rFonts w:ascii="Arial" w:cs="Arial" w:eastAsia="Arial" w:hAnsi="Arial"/>
          <w:sz w:val="21"/>
          <w:szCs w:val="21"/>
          <w:color w:val="auto"/>
        </w:rPr>
        <w:t>[***]</w:t>
      </w:r>
    </w:p>
    <w:p>
      <w:pPr>
        <w:ind w:left="3060"/>
        <w:spacing w:after="0" w:line="214" w:lineRule="auto"/>
        <w:rPr>
          <w:sz w:val="20"/>
          <w:szCs w:val="20"/>
          <w:color w:val="auto"/>
        </w:rPr>
      </w:pPr>
      <w:r>
        <w:rPr>
          <w:rFonts w:ascii="Arial" w:cs="Arial" w:eastAsia="Arial" w:hAnsi="Arial"/>
          <w:sz w:val="21"/>
          <w:szCs w:val="21"/>
          <w:color w:val="auto"/>
        </w:rPr>
        <w:t>[***]</w:t>
      </w:r>
    </w:p>
    <w:p>
      <w:pPr>
        <w:ind w:left="3060"/>
        <w:spacing w:after="0"/>
        <w:rPr>
          <w:sz w:val="20"/>
          <w:szCs w:val="20"/>
          <w:color w:val="auto"/>
        </w:rPr>
      </w:pPr>
      <w:r>
        <w:rPr>
          <w:rFonts w:ascii="Arial" w:cs="Arial" w:eastAsia="Arial" w:hAnsi="Arial"/>
          <w:sz w:val="21"/>
          <w:szCs w:val="21"/>
          <w:color w:val="auto"/>
        </w:rPr>
        <w:t>[***]</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21"/>
          <w:szCs w:val="21"/>
          <w:color w:val="auto"/>
        </w:rPr>
        <w:t>with copies to (which shall not constitute notice):</w:t>
      </w:r>
    </w:p>
    <w:p>
      <w:pPr>
        <w:spacing w:after="0" w:line="206" w:lineRule="exact"/>
        <w:rPr>
          <w:sz w:val="20"/>
          <w:szCs w:val="20"/>
          <w:color w:val="auto"/>
        </w:rPr>
      </w:pPr>
    </w:p>
    <w:p>
      <w:pPr>
        <w:ind w:left="3080"/>
        <w:spacing w:after="0"/>
        <w:rPr>
          <w:sz w:val="20"/>
          <w:szCs w:val="20"/>
          <w:color w:val="auto"/>
        </w:rPr>
      </w:pPr>
      <w:r>
        <w:rPr>
          <w:rFonts w:ascii="Arial" w:cs="Arial" w:eastAsia="Arial" w:hAnsi="Arial"/>
          <w:sz w:val="21"/>
          <w:szCs w:val="21"/>
          <w:color w:val="auto"/>
        </w:rPr>
        <w:t>[***]</w:t>
      </w:r>
    </w:p>
    <w:p>
      <w:pPr>
        <w:ind w:left="860"/>
        <w:spacing w:after="0" w:line="213" w:lineRule="auto"/>
        <w:rPr>
          <w:sz w:val="20"/>
          <w:szCs w:val="20"/>
          <w:color w:val="auto"/>
        </w:rPr>
      </w:pPr>
      <w:r>
        <w:rPr>
          <w:rFonts w:ascii="Arial" w:cs="Arial" w:eastAsia="Arial" w:hAnsi="Arial"/>
          <w:sz w:val="21"/>
          <w:szCs w:val="21"/>
          <w:color w:val="auto"/>
        </w:rPr>
        <w:t>[***]</w:t>
      </w:r>
    </w:p>
    <w:p>
      <w:pPr>
        <w:ind w:left="3060"/>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84" w:right="339" w:bottom="1440" w:gutter="0" w:footer="0" w:header="0"/>
        </w:sectPr>
      </w:pPr>
    </w:p>
    <w:bookmarkStart w:id="188" w:name="page189"/>
    <w:bookmarkEnd w:id="188"/>
    <w:p>
      <w:pPr>
        <w:ind w:left="3060"/>
        <w:spacing w:after="0"/>
        <w:rPr>
          <w:sz w:val="20"/>
          <w:szCs w:val="20"/>
          <w:color w:val="auto"/>
        </w:rPr>
      </w:pPr>
      <w:r>
        <w:rPr>
          <w:rFonts w:ascii="Arial" w:cs="Arial" w:eastAsia="Arial" w:hAnsi="Arial"/>
          <w:sz w:val="21"/>
          <w:szCs w:val="21"/>
          <w:color w:val="auto"/>
        </w:rPr>
        <w:t>[***]</w:t>
      </w:r>
    </w:p>
    <w:p>
      <w:pPr>
        <w:ind w:left="3060"/>
        <w:spacing w:after="0"/>
        <w:rPr>
          <w:sz w:val="20"/>
          <w:szCs w:val="20"/>
          <w:color w:val="auto"/>
        </w:rPr>
      </w:pPr>
      <w:r>
        <w:rPr>
          <w:rFonts w:ascii="Arial" w:cs="Arial" w:eastAsia="Arial" w:hAnsi="Arial"/>
          <w:sz w:val="21"/>
          <w:szCs w:val="21"/>
          <w:color w:val="auto"/>
        </w:rPr>
        <w:t>[***]</w:t>
      </w:r>
    </w:p>
    <w:p>
      <w:pPr>
        <w:spacing w:after="0" w:line="188" w:lineRule="exact"/>
        <w:rPr>
          <w:sz w:val="20"/>
          <w:szCs w:val="20"/>
          <w:color w:val="auto"/>
        </w:rPr>
      </w:pPr>
    </w:p>
    <w:p>
      <w:pPr>
        <w:ind w:left="860"/>
        <w:spacing w:after="0"/>
        <w:rPr>
          <w:sz w:val="20"/>
          <w:szCs w:val="20"/>
          <w:color w:val="auto"/>
        </w:rPr>
      </w:pPr>
      <w:r>
        <w:rPr>
          <w:rFonts w:ascii="Arial" w:cs="Arial" w:eastAsia="Arial" w:hAnsi="Arial"/>
          <w:sz w:val="21"/>
          <w:szCs w:val="21"/>
          <w:color w:val="auto"/>
        </w:rPr>
        <w:t>[***]</w:t>
      </w:r>
    </w:p>
    <w:p>
      <w:pPr>
        <w:ind w:left="3060"/>
        <w:spacing w:after="0" w:line="213" w:lineRule="auto"/>
        <w:rPr>
          <w:sz w:val="20"/>
          <w:szCs w:val="20"/>
          <w:color w:val="auto"/>
        </w:rPr>
      </w:pPr>
      <w:r>
        <w:rPr>
          <w:rFonts w:ascii="Arial" w:cs="Arial" w:eastAsia="Arial" w:hAnsi="Arial"/>
          <w:sz w:val="21"/>
          <w:szCs w:val="21"/>
          <w:color w:val="auto"/>
        </w:rPr>
        <w:t>[***]</w:t>
      </w:r>
    </w:p>
    <w:p>
      <w:pPr>
        <w:ind w:left="3060"/>
        <w:spacing w:after="0" w:line="213" w:lineRule="auto"/>
        <w:rPr>
          <w:sz w:val="20"/>
          <w:szCs w:val="20"/>
          <w:color w:val="auto"/>
        </w:rPr>
      </w:pPr>
      <w:r>
        <w:rPr>
          <w:rFonts w:ascii="Arial" w:cs="Arial" w:eastAsia="Arial" w:hAnsi="Arial"/>
          <w:sz w:val="21"/>
          <w:szCs w:val="21"/>
          <w:color w:val="auto"/>
        </w:rPr>
        <w:t>[***]</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w:t>
      </w:r>
    </w:p>
    <w:p>
      <w:pPr>
        <w:spacing w:after="0" w:line="18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1"/>
          <w:szCs w:val="21"/>
          <w:color w:val="auto"/>
        </w:rPr>
        <w:t>If to Hansoh:</w:t>
        <w:tab/>
        <w:t>[***]</w:t>
      </w:r>
    </w:p>
    <w:p>
      <w:pPr>
        <w:ind w:left="3060"/>
        <w:spacing w:after="0" w:line="213" w:lineRule="auto"/>
        <w:rPr>
          <w:sz w:val="20"/>
          <w:szCs w:val="20"/>
          <w:color w:val="auto"/>
        </w:rPr>
      </w:pPr>
      <w:r>
        <w:rPr>
          <w:rFonts w:ascii="Arial" w:cs="Arial" w:eastAsia="Arial" w:hAnsi="Arial"/>
          <w:sz w:val="21"/>
          <w:szCs w:val="21"/>
          <w:color w:val="auto"/>
        </w:rPr>
        <w:t>[***]</w:t>
      </w:r>
    </w:p>
    <w:p>
      <w:pPr>
        <w:ind w:left="3060"/>
        <w:spacing w:after="0" w:line="213" w:lineRule="auto"/>
        <w:rPr>
          <w:sz w:val="20"/>
          <w:szCs w:val="20"/>
          <w:color w:val="auto"/>
        </w:rPr>
      </w:pPr>
      <w:r>
        <w:rPr>
          <w:rFonts w:ascii="Arial" w:cs="Arial" w:eastAsia="Arial" w:hAnsi="Arial"/>
          <w:sz w:val="21"/>
          <w:szCs w:val="21"/>
          <w:color w:val="auto"/>
        </w:rPr>
        <w:t>[***]</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with copies to (which shall not constitute notice):</w:t>
      </w:r>
    </w:p>
    <w:p>
      <w:pPr>
        <w:spacing w:after="0" w:line="206"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w:t>
      </w:r>
    </w:p>
    <w:p>
      <w:pPr>
        <w:ind w:left="3060"/>
        <w:spacing w:after="0" w:line="213" w:lineRule="auto"/>
        <w:rPr>
          <w:sz w:val="20"/>
          <w:szCs w:val="20"/>
          <w:color w:val="auto"/>
        </w:rPr>
      </w:pPr>
      <w:r>
        <w:rPr>
          <w:rFonts w:ascii="Arial" w:cs="Arial" w:eastAsia="Arial" w:hAnsi="Arial"/>
          <w:sz w:val="21"/>
          <w:szCs w:val="21"/>
          <w:color w:val="auto"/>
        </w:rPr>
        <w:t>[***]</w:t>
      </w:r>
    </w:p>
    <w:p>
      <w:pPr>
        <w:ind w:left="3060"/>
        <w:spacing w:after="0" w:line="213" w:lineRule="auto"/>
        <w:rPr>
          <w:sz w:val="20"/>
          <w:szCs w:val="20"/>
          <w:color w:val="auto"/>
        </w:rPr>
      </w:pPr>
      <w:r>
        <w:rPr>
          <w:rFonts w:ascii="Arial" w:cs="Arial" w:eastAsia="Arial" w:hAnsi="Arial"/>
          <w:sz w:val="21"/>
          <w:szCs w:val="21"/>
          <w:color w:val="auto"/>
        </w:rPr>
        <w:t>[***]</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21"/>
          <w:szCs w:val="21"/>
          <w:color w:val="auto"/>
        </w:rPr>
        <w:t>[***]</w:t>
      </w:r>
    </w:p>
    <w:p>
      <w:pPr>
        <w:spacing w:after="0" w:line="191" w:lineRule="exact"/>
        <w:rPr>
          <w:sz w:val="20"/>
          <w:szCs w:val="20"/>
          <w:color w:val="auto"/>
        </w:rPr>
      </w:pPr>
    </w:p>
    <w:p>
      <w:pPr>
        <w:jc w:val="both"/>
        <w:ind w:firstLine="644"/>
        <w:spacing w:after="0" w:line="233" w:lineRule="auto"/>
        <w:rPr>
          <w:sz w:val="20"/>
          <w:szCs w:val="20"/>
          <w:color w:val="auto"/>
        </w:rPr>
      </w:pPr>
      <w:r>
        <w:rPr>
          <w:rFonts w:ascii="Arial" w:cs="Arial" w:eastAsia="Arial" w:hAnsi="Arial"/>
          <w:sz w:val="20"/>
          <w:szCs w:val="20"/>
          <w:b w:val="1"/>
          <w:bCs w:val="1"/>
          <w:color w:val="auto"/>
        </w:rPr>
        <w:t>15.4 No Strict Construction; Headings</w:t>
      </w:r>
      <w:r>
        <w:rPr>
          <w:rFonts w:ascii="Arial" w:cs="Arial" w:eastAsia="Arial" w:hAnsi="Arial"/>
          <w:sz w:val="20"/>
          <w:szCs w:val="20"/>
          <w:color w:val="auto"/>
        </w:rPr>
        <w:t>. This Agreement has been prepared jointly by the Parties and shall not be</w:t>
      </w:r>
      <w:r>
        <w:rPr>
          <w:rFonts w:ascii="Arial" w:cs="Arial" w:eastAsia="Arial" w:hAnsi="Arial"/>
          <w:sz w:val="20"/>
          <w:szCs w:val="20"/>
          <w:b w:val="1"/>
          <w:bCs w:val="1"/>
          <w:color w:val="auto"/>
        </w:rPr>
        <w:t xml:space="preserve"> </w:t>
      </w:r>
      <w:r>
        <w:rPr>
          <w:rFonts w:ascii="Arial" w:cs="Arial" w:eastAsia="Arial" w:hAnsi="Arial"/>
          <w:sz w:val="20"/>
          <w:szCs w:val="20"/>
          <w:color w:val="auto"/>
        </w:rPr>
        <w:t>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Except where the context otherwise requires, the use of any gender shall be applicable to all genders, and the word “or” is used in the inclusive sense (and/or). The term “including” as used herein means including, without limiting the generality of any description preceding such term.</w:t>
      </w:r>
    </w:p>
    <w:p>
      <w:pPr>
        <w:spacing w:after="0" w:line="155" w:lineRule="exact"/>
        <w:rPr>
          <w:sz w:val="20"/>
          <w:szCs w:val="20"/>
          <w:color w:val="auto"/>
        </w:rPr>
      </w:pPr>
    </w:p>
    <w:p>
      <w:pPr>
        <w:jc w:val="both"/>
        <w:ind w:firstLine="644"/>
        <w:spacing w:after="0" w:line="224" w:lineRule="auto"/>
        <w:rPr>
          <w:sz w:val="20"/>
          <w:szCs w:val="20"/>
          <w:color w:val="auto"/>
        </w:rPr>
      </w:pPr>
      <w:r>
        <w:rPr>
          <w:rFonts w:ascii="Arial" w:cs="Arial" w:eastAsia="Arial" w:hAnsi="Arial"/>
          <w:sz w:val="21"/>
          <w:szCs w:val="21"/>
          <w:b w:val="1"/>
          <w:bCs w:val="1"/>
          <w:color w:val="auto"/>
        </w:rPr>
        <w:t>15.5 Assignment</w:t>
      </w:r>
      <w:r>
        <w:rPr>
          <w:rFonts w:ascii="Arial" w:cs="Arial" w:eastAsia="Arial" w:hAnsi="Arial"/>
          <w:sz w:val="21"/>
          <w:szCs w:val="21"/>
          <w:color w:val="auto"/>
        </w:rPr>
        <w:t>. Neither Party may assign or transfer this Agreement or any rights or obligations hereunder without the</w:t>
      </w:r>
      <w:r>
        <w:rPr>
          <w:rFonts w:ascii="Arial" w:cs="Arial" w:eastAsia="Arial" w:hAnsi="Arial"/>
          <w:sz w:val="21"/>
          <w:szCs w:val="21"/>
          <w:b w:val="1"/>
          <w:bCs w:val="1"/>
          <w:color w:val="auto"/>
        </w:rPr>
        <w:t xml:space="preserve"> </w:t>
      </w:r>
      <w:r>
        <w:rPr>
          <w:rFonts w:ascii="Arial" w:cs="Arial" w:eastAsia="Arial" w:hAnsi="Arial"/>
          <w:sz w:val="21"/>
          <w:szCs w:val="21"/>
          <w:color w:val="auto"/>
        </w:rPr>
        <w:t>prior written consent of the other Party, not to be unreasonably withheld, conditioned, or delayed, except that either Party may make such an assignment or transfer without the other Party’s consent to an Affiliate of such Party or in connection with the sale or transfer of all or substantially all of the assets to which this Agreement relates. Any such permitted assignee shall assume all obligations of its assignor under this Agreement. Any assignment or attempted assignment by either Party in violation of the terms of this Section 15.5 shall be null, void and of no legal effect.</w:t>
      </w:r>
    </w:p>
    <w:p>
      <w:pPr>
        <w:spacing w:after="0" w:line="151" w:lineRule="exact"/>
        <w:rPr>
          <w:sz w:val="20"/>
          <w:szCs w:val="20"/>
          <w:color w:val="auto"/>
        </w:rPr>
      </w:pPr>
    </w:p>
    <w:p>
      <w:pPr>
        <w:jc w:val="both"/>
        <w:ind w:firstLine="644"/>
        <w:spacing w:after="0" w:line="252" w:lineRule="auto"/>
        <w:rPr>
          <w:sz w:val="20"/>
          <w:szCs w:val="20"/>
          <w:color w:val="auto"/>
        </w:rPr>
      </w:pPr>
      <w:r>
        <w:rPr>
          <w:rFonts w:ascii="Arial" w:cs="Arial" w:eastAsia="Arial" w:hAnsi="Arial"/>
          <w:sz w:val="19"/>
          <w:szCs w:val="19"/>
          <w:b w:val="1"/>
          <w:bCs w:val="1"/>
          <w:color w:val="auto"/>
        </w:rPr>
        <w:t>15.6 Performance by Affiliates</w:t>
      </w:r>
      <w:r>
        <w:rPr>
          <w:rFonts w:ascii="Arial" w:cs="Arial" w:eastAsia="Arial" w:hAnsi="Arial"/>
          <w:sz w:val="19"/>
          <w:szCs w:val="19"/>
          <w:color w:val="auto"/>
        </w:rPr>
        <w:t>. Each Party may discharge any obligations and exercise any right hereunder through</w:t>
      </w:r>
      <w:r>
        <w:rPr>
          <w:rFonts w:ascii="Arial" w:cs="Arial" w:eastAsia="Arial" w:hAnsi="Arial"/>
          <w:sz w:val="19"/>
          <w:szCs w:val="19"/>
          <w:b w:val="1"/>
          <w:bCs w:val="1"/>
          <w:color w:val="auto"/>
        </w:rPr>
        <w:t xml:space="preserve"> </w:t>
      </w:r>
      <w:r>
        <w:rPr>
          <w:rFonts w:ascii="Arial" w:cs="Arial" w:eastAsia="Arial" w:hAnsi="Arial"/>
          <w:sz w:val="19"/>
          <w:szCs w:val="19"/>
          <w:color w:val="auto"/>
        </w:rPr>
        <w:t>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41" w:lineRule="exact"/>
        <w:rPr>
          <w:sz w:val="20"/>
          <w:szCs w:val="20"/>
          <w:color w:val="auto"/>
        </w:rPr>
      </w:pPr>
    </w:p>
    <w:p>
      <w:pPr>
        <w:jc w:val="both"/>
        <w:ind w:firstLine="644"/>
        <w:spacing w:after="0" w:line="275" w:lineRule="auto"/>
        <w:rPr>
          <w:sz w:val="20"/>
          <w:szCs w:val="20"/>
          <w:color w:val="auto"/>
        </w:rPr>
      </w:pPr>
      <w:r>
        <w:rPr>
          <w:rFonts w:ascii="Arial" w:cs="Arial" w:eastAsia="Arial" w:hAnsi="Arial"/>
          <w:sz w:val="20"/>
          <w:szCs w:val="20"/>
          <w:b w:val="1"/>
          <w:bCs w:val="1"/>
          <w:color w:val="auto"/>
        </w:rPr>
        <w:t>15.7 Further Actions</w:t>
      </w:r>
      <w:r>
        <w:rPr>
          <w:rFonts w:ascii="Arial" w:cs="Arial" w:eastAsia="Arial" w:hAnsi="Arial"/>
          <w:sz w:val="20"/>
          <w:szCs w:val="20"/>
          <w:color w:val="auto"/>
        </w:rPr>
        <w:t>. Each Party agrees to execute, acknowledge and deliver such further instruments, and to do all</w:t>
      </w:r>
      <w:r>
        <w:rPr>
          <w:rFonts w:ascii="Arial" w:cs="Arial" w:eastAsia="Arial" w:hAnsi="Arial"/>
          <w:sz w:val="20"/>
          <w:szCs w:val="20"/>
          <w:b w:val="1"/>
          <w:bCs w:val="1"/>
          <w:color w:val="auto"/>
        </w:rPr>
        <w:t xml:space="preserve"> </w:t>
      </w:r>
      <w:r>
        <w:rPr>
          <w:rFonts w:ascii="Arial" w:cs="Arial" w:eastAsia="Arial" w:hAnsi="Arial"/>
          <w:sz w:val="20"/>
          <w:szCs w:val="20"/>
          <w:color w:val="auto"/>
        </w:rPr>
        <w:t>such other acts, as may be necessary or reasonably useful in order to carry out the purposes and intent of this Agreement.</w:t>
      </w:r>
    </w:p>
    <w:p>
      <w:pPr>
        <w:spacing w:after="0" w:line="117" w:lineRule="exact"/>
        <w:rPr>
          <w:sz w:val="20"/>
          <w:szCs w:val="20"/>
          <w:color w:val="auto"/>
        </w:rPr>
      </w:pPr>
    </w:p>
    <w:p>
      <w:pPr>
        <w:jc w:val="both"/>
        <w:ind w:firstLine="644"/>
        <w:spacing w:after="0" w:line="234" w:lineRule="auto"/>
        <w:rPr>
          <w:sz w:val="20"/>
          <w:szCs w:val="20"/>
          <w:color w:val="auto"/>
        </w:rPr>
      </w:pPr>
      <w:r>
        <w:rPr>
          <w:rFonts w:ascii="Arial" w:cs="Arial" w:eastAsia="Arial" w:hAnsi="Arial"/>
          <w:sz w:val="21"/>
          <w:szCs w:val="21"/>
          <w:b w:val="1"/>
          <w:bCs w:val="1"/>
          <w:color w:val="auto"/>
        </w:rPr>
        <w:t>15.8 Severability</w:t>
      </w:r>
      <w:r>
        <w:rPr>
          <w:rFonts w:ascii="Arial" w:cs="Arial" w:eastAsia="Arial" w:hAnsi="Arial"/>
          <w:sz w:val="21"/>
          <w:szCs w:val="21"/>
          <w:color w:val="auto"/>
        </w:rPr>
        <w:t>. If any one or more of the provisions of this Agreement is held to be invalid or unenforceable by any</w:t>
      </w:r>
      <w:r>
        <w:rPr>
          <w:rFonts w:ascii="Arial" w:cs="Arial" w:eastAsia="Arial" w:hAnsi="Arial"/>
          <w:sz w:val="21"/>
          <w:szCs w:val="21"/>
          <w:b w:val="1"/>
          <w:bCs w:val="1"/>
          <w:color w:val="auto"/>
        </w:rPr>
        <w:t xml:space="preserve"> </w:t>
      </w:r>
      <w:r>
        <w:rPr>
          <w:rFonts w:ascii="Arial" w:cs="Arial" w:eastAsia="Arial" w:hAnsi="Arial"/>
          <w:sz w:val="21"/>
          <w:szCs w:val="21"/>
          <w:color w:val="auto"/>
        </w:rPr>
        <w:t>court of competent jurisdiction from which no appeal can be or is taken, the provision shall be considered severed from this Agreement and shall not serve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384" w:right="339" w:bottom="1440" w:gutter="0" w:footer="0" w:header="0"/>
        </w:sectPr>
      </w:pPr>
    </w:p>
    <w:bookmarkStart w:id="189" w:name="page190"/>
    <w:bookmarkEnd w:id="189"/>
    <w:p>
      <w:pPr>
        <w:jc w:val="both"/>
        <w:spacing w:after="0" w:line="232" w:lineRule="auto"/>
        <w:rPr>
          <w:sz w:val="20"/>
          <w:szCs w:val="20"/>
          <w:color w:val="auto"/>
        </w:rPr>
      </w:pPr>
      <w:r>
        <w:rPr>
          <w:rFonts w:ascii="Arial" w:cs="Arial" w:eastAsia="Arial" w:hAnsi="Arial"/>
          <w:sz w:val="21"/>
          <w:szCs w:val="21"/>
          <w:color w:val="auto"/>
        </w:rPr>
        <w:t>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53" w:lineRule="exact"/>
        <w:rPr>
          <w:sz w:val="20"/>
          <w:szCs w:val="20"/>
          <w:color w:val="auto"/>
        </w:rPr>
      </w:pPr>
    </w:p>
    <w:p>
      <w:pPr>
        <w:jc w:val="both"/>
        <w:ind w:firstLine="644"/>
        <w:spacing w:after="0" w:line="249" w:lineRule="auto"/>
        <w:rPr>
          <w:sz w:val="20"/>
          <w:szCs w:val="20"/>
          <w:color w:val="auto"/>
        </w:rPr>
      </w:pPr>
      <w:r>
        <w:rPr>
          <w:rFonts w:ascii="Arial" w:cs="Arial" w:eastAsia="Arial" w:hAnsi="Arial"/>
          <w:sz w:val="20"/>
          <w:szCs w:val="20"/>
          <w:b w:val="1"/>
          <w:bCs w:val="1"/>
          <w:color w:val="auto"/>
        </w:rPr>
        <w:t>15.9 No Waiver</w:t>
      </w:r>
      <w:r>
        <w:rPr>
          <w:rFonts w:ascii="Arial" w:cs="Arial" w:eastAsia="Arial" w:hAnsi="Arial"/>
          <w:sz w:val="20"/>
          <w:szCs w:val="20"/>
          <w:color w:val="auto"/>
        </w:rPr>
        <w:t>. Any delay in enforcing a Party’s rights under this Agreement or any waiver as to a particular default or</w:t>
      </w:r>
      <w:r>
        <w:rPr>
          <w:rFonts w:ascii="Arial" w:cs="Arial" w:eastAsia="Arial" w:hAnsi="Arial"/>
          <w:sz w:val="20"/>
          <w:szCs w:val="20"/>
          <w:b w:val="1"/>
          <w:bCs w:val="1"/>
          <w:color w:val="auto"/>
        </w:rPr>
        <w:t xml:space="preserve"> </w:t>
      </w:r>
      <w:r>
        <w:rPr>
          <w:rFonts w:ascii="Arial" w:cs="Arial" w:eastAsia="Arial" w:hAnsi="Arial"/>
          <w:sz w:val="20"/>
          <w:szCs w:val="20"/>
          <w:color w:val="auto"/>
        </w:rPr>
        <w:t>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43"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15.10 Independent Contractors</w:t>
      </w:r>
      <w:r>
        <w:rPr>
          <w:rFonts w:ascii="Arial" w:cs="Arial" w:eastAsia="Arial" w:hAnsi="Arial"/>
          <w:sz w:val="21"/>
          <w:szCs w:val="21"/>
          <w:color w:val="auto"/>
        </w:rPr>
        <w:t>. Each Party shall act solely as an independent contractor, and nothing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construed to give either Party the power or authority to act for, bind, or commit the other Party in any way. Nothing herein shall be construed to create the relationship of partners, principal and agent, or joint-venture partners between the Parties.</w:t>
      </w:r>
    </w:p>
    <w:p>
      <w:pPr>
        <w:spacing w:after="0" w:line="152" w:lineRule="exact"/>
        <w:rPr>
          <w:sz w:val="20"/>
          <w:szCs w:val="20"/>
          <w:color w:val="auto"/>
        </w:rPr>
      </w:pPr>
    </w:p>
    <w:p>
      <w:pPr>
        <w:jc w:val="both"/>
        <w:ind w:firstLine="644"/>
        <w:spacing w:after="0" w:line="251" w:lineRule="auto"/>
        <w:rPr>
          <w:sz w:val="20"/>
          <w:szCs w:val="20"/>
          <w:color w:val="auto"/>
        </w:rPr>
      </w:pPr>
      <w:r>
        <w:rPr>
          <w:rFonts w:ascii="Arial" w:cs="Arial" w:eastAsia="Arial" w:hAnsi="Arial"/>
          <w:sz w:val="21"/>
          <w:szCs w:val="21"/>
          <w:b w:val="1"/>
          <w:bCs w:val="1"/>
          <w:color w:val="auto"/>
        </w:rPr>
        <w:t>15.11 English Language</w:t>
      </w:r>
      <w:r>
        <w:rPr>
          <w:rFonts w:ascii="Arial" w:cs="Arial" w:eastAsia="Arial" w:hAnsi="Arial"/>
          <w:sz w:val="21"/>
          <w:szCs w:val="21"/>
          <w:color w:val="auto"/>
        </w:rPr>
        <w:t>. This Agreement was prepared in the English language, which language shall govern the</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interpretation of, and any dispute regarding, the terms of this Agreement.</w:t>
      </w:r>
    </w:p>
    <w:p>
      <w:pPr>
        <w:spacing w:after="0" w:line="139" w:lineRule="exact"/>
        <w:rPr>
          <w:sz w:val="20"/>
          <w:szCs w:val="20"/>
          <w:color w:val="auto"/>
        </w:rPr>
      </w:pPr>
    </w:p>
    <w:p>
      <w:pPr>
        <w:jc w:val="both"/>
        <w:ind w:firstLine="644"/>
        <w:spacing w:after="0" w:line="229" w:lineRule="auto"/>
        <w:rPr>
          <w:sz w:val="20"/>
          <w:szCs w:val="20"/>
          <w:color w:val="auto"/>
        </w:rPr>
      </w:pPr>
      <w:r>
        <w:rPr>
          <w:rFonts w:ascii="Arial" w:cs="Arial" w:eastAsia="Arial" w:hAnsi="Arial"/>
          <w:sz w:val="21"/>
          <w:szCs w:val="21"/>
          <w:b w:val="1"/>
          <w:bCs w:val="1"/>
          <w:color w:val="auto"/>
        </w:rPr>
        <w:t>15.12 Counterparts; Electronic Signatures</w:t>
      </w:r>
      <w:r>
        <w:rPr>
          <w:rFonts w:ascii="Arial" w:cs="Arial" w:eastAsia="Arial" w:hAnsi="Arial"/>
          <w:sz w:val="21"/>
          <w:szCs w:val="21"/>
          <w:color w:val="auto"/>
        </w:rPr>
        <w:t>. This Agreement may be executed in one (1) or more counterparts, each of</w:t>
      </w:r>
      <w:r>
        <w:rPr>
          <w:rFonts w:ascii="Arial" w:cs="Arial" w:eastAsia="Arial" w:hAnsi="Arial"/>
          <w:sz w:val="21"/>
          <w:szCs w:val="21"/>
          <w:b w:val="1"/>
          <w:bCs w:val="1"/>
          <w:color w:val="auto"/>
        </w:rPr>
        <w:t xml:space="preserve"> </w:t>
      </w:r>
      <w:r>
        <w:rPr>
          <w:rFonts w:ascii="Arial" w:cs="Arial" w:eastAsia="Arial" w:hAnsi="Arial"/>
          <w:sz w:val="21"/>
          <w:szCs w:val="21"/>
          <w:color w:val="auto"/>
        </w:rPr>
        <w:t>which shall be deemed an original, but all of which together shall constitute one and the same instrument. This Agreement may be executed by facsimile or electronically transmitted signatures and such signatures shall be deemed to bind each Party hereto as if they were original signatures.</w:t>
      </w:r>
    </w:p>
    <w:p>
      <w:pPr>
        <w:spacing w:after="0" w:line="152" w:lineRule="exact"/>
        <w:rPr>
          <w:sz w:val="20"/>
          <w:szCs w:val="20"/>
          <w:color w:val="auto"/>
        </w:rPr>
      </w:pPr>
    </w:p>
    <w:p>
      <w:pPr>
        <w:jc w:val="both"/>
        <w:ind w:firstLine="644"/>
        <w:spacing w:after="0" w:line="241" w:lineRule="auto"/>
        <w:rPr>
          <w:sz w:val="20"/>
          <w:szCs w:val="20"/>
          <w:color w:val="auto"/>
        </w:rPr>
      </w:pPr>
      <w:r>
        <w:rPr>
          <w:rFonts w:ascii="Arial" w:cs="Arial" w:eastAsia="Arial" w:hAnsi="Arial"/>
          <w:sz w:val="19"/>
          <w:szCs w:val="19"/>
          <w:b w:val="1"/>
          <w:bCs w:val="1"/>
          <w:color w:val="auto"/>
        </w:rPr>
        <w:t>15.13 Rights in Bankruptcy</w:t>
      </w:r>
      <w:r>
        <w:rPr>
          <w:rFonts w:ascii="Arial" w:cs="Arial" w:eastAsia="Arial" w:hAnsi="Arial"/>
          <w:sz w:val="19"/>
          <w:szCs w:val="19"/>
          <w:color w:val="auto"/>
        </w:rPr>
        <w:t>. All rights and licenses granted under or pursuant to this Agreement by one Party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are, and otherwise will be deemed to be, for purposes of Section 365(n) of the U.S. Bankruptcy Code or comparable provision of applicable bankruptcy or insolvency laws, licenses of right to “intellectual property” as defined under Section 101 of the U.S. Bankruptcy Code or comparable provision of applicable bankruptcy or insolvency laws. Each Party will retain and may fully exercise all of its rights and elections under the U.S. Bankruptcy Code or comparable provision of applicable bankruptcy or insolvency laws. The Parties further agree that, in the event of the commencement of a bankruptcy proceeding by or against a Party to this Agreement under the U.S. Bankruptcy Code or comparable provision of applicable bankruptcy or insolvency laws, the other Party will be entitled to a complete duplicate of (or complete access to, as appropriate) any such intellectual property and all embodiments of such intellectual property, and same, if not already in its possession, will be promptly delivered to it (a) upon any such commencement of a bankruptcy or insolvency proceeding upon its written request therefor, unless the bankrupt Party elects to continue to perform all of its obligations under this Agreement, or (b) if not delivered under (a) above, following the rejection of this Agreement by or on behalf of the bankrupt Party upon written request therefor by the other Party.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393" w:right="339" w:bottom="1440" w:gutter="0" w:footer="0" w:header="0"/>
        </w:sectPr>
      </w:pPr>
    </w:p>
    <w:bookmarkStart w:id="190" w:name="page191"/>
    <w:bookmarkEnd w:id="190"/>
    <w:p>
      <w:pPr>
        <w:ind w:firstLine="644"/>
        <w:spacing w:after="0" w:line="251"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Parties have executed this License Agreement in duplicate originals by their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officers as of the Effective Date.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0"/>
        <w:spacing w:after="0"/>
        <w:tabs>
          <w:tab w:leader="none" w:pos="5840" w:val="left"/>
        </w:tabs>
        <w:rPr>
          <w:sz w:val="20"/>
          <w:szCs w:val="20"/>
          <w:color w:val="auto"/>
        </w:rPr>
      </w:pPr>
      <w:r>
        <w:rPr>
          <w:rFonts w:ascii="Arial" w:cs="Arial" w:eastAsia="Arial" w:hAnsi="Arial"/>
          <w:sz w:val="21"/>
          <w:szCs w:val="21"/>
          <w:b w:val="1"/>
          <w:bCs w:val="1"/>
          <w:color w:val="auto"/>
        </w:rPr>
        <w:t>Keros Therapeutics, Inc.</w:t>
      </w:r>
      <w:r>
        <w:rPr>
          <w:sz w:val="20"/>
          <w:szCs w:val="20"/>
          <w:color w:val="auto"/>
        </w:rPr>
        <w:tab/>
      </w:r>
      <w:r>
        <w:rPr>
          <w:rFonts w:ascii="Arial" w:cs="Arial" w:eastAsia="Arial" w:hAnsi="Arial"/>
          <w:sz w:val="19"/>
          <w:szCs w:val="19"/>
          <w:b w:val="1"/>
          <w:bCs w:val="1"/>
          <w:color w:val="auto"/>
        </w:rPr>
        <w:t>Hansoh (Shanghai) Healthtech Co.,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860"/>
        <w:spacing w:after="0"/>
        <w:rPr>
          <w:sz w:val="20"/>
          <w:szCs w:val="20"/>
          <w:color w:val="auto"/>
        </w:rPr>
      </w:pPr>
      <w:r>
        <w:rPr>
          <w:rFonts w:ascii="Arial" w:cs="Arial" w:eastAsia="Arial" w:hAnsi="Arial"/>
          <w:sz w:val="21"/>
          <w:szCs w:val="21"/>
          <w:color w:val="auto"/>
        </w:rPr>
        <w:t>By: /s/ Yuan Sun</w:t>
      </w:r>
    </w:p>
    <w:p>
      <w:pPr>
        <w:ind w:left="80"/>
        <w:spacing w:after="0" w:line="213" w:lineRule="auto"/>
        <w:rPr>
          <w:sz w:val="20"/>
          <w:szCs w:val="20"/>
          <w:color w:val="auto"/>
        </w:rPr>
      </w:pPr>
      <w:r>
        <w:rPr>
          <w:rFonts w:ascii="Arial" w:cs="Arial" w:eastAsia="Arial" w:hAnsi="Arial"/>
          <w:sz w:val="21"/>
          <w:szCs w:val="21"/>
          <w:color w:val="auto"/>
        </w:rPr>
        <w:t>By:/s/ Jasbir S. Seehra</w:t>
      </w:r>
    </w:p>
    <w:p>
      <w:pPr>
        <w:ind w:left="5860"/>
        <w:spacing w:after="0" w:line="213" w:lineRule="auto"/>
        <w:rPr>
          <w:sz w:val="20"/>
          <w:szCs w:val="20"/>
          <w:color w:val="auto"/>
        </w:rPr>
      </w:pPr>
      <w:r>
        <w:rPr>
          <w:rFonts w:ascii="Arial" w:cs="Arial" w:eastAsia="Arial" w:hAnsi="Arial"/>
          <w:sz w:val="21"/>
          <w:szCs w:val="21"/>
          <w:color w:val="auto"/>
        </w:rPr>
        <w:t>Name: Yuan Sun</w:t>
      </w:r>
    </w:p>
    <w:p>
      <w:pPr>
        <w:ind w:left="80"/>
        <w:spacing w:after="0" w:line="214" w:lineRule="auto"/>
        <w:rPr>
          <w:sz w:val="20"/>
          <w:szCs w:val="20"/>
          <w:color w:val="auto"/>
        </w:rPr>
      </w:pPr>
      <w:r>
        <w:rPr>
          <w:rFonts w:ascii="Arial" w:cs="Arial" w:eastAsia="Arial" w:hAnsi="Arial"/>
          <w:sz w:val="21"/>
          <w:szCs w:val="21"/>
          <w:color w:val="auto"/>
        </w:rPr>
        <w:t>Name: Jasbir S. Seehra</w:t>
      </w:r>
    </w:p>
    <w:p>
      <w:pPr>
        <w:ind w:left="5860"/>
        <w:spacing w:after="0" w:line="213" w:lineRule="auto"/>
        <w:rPr>
          <w:sz w:val="20"/>
          <w:szCs w:val="20"/>
          <w:color w:val="auto"/>
        </w:rPr>
      </w:pPr>
      <w:r>
        <w:rPr>
          <w:rFonts w:ascii="Arial" w:cs="Arial" w:eastAsia="Arial" w:hAnsi="Arial"/>
          <w:sz w:val="21"/>
          <w:szCs w:val="21"/>
          <w:color w:val="auto"/>
        </w:rPr>
        <w:t>Title: Authorized Representative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1"/>
          <w:szCs w:val="21"/>
          <w:color w:val="auto"/>
        </w:rPr>
        <w:t>Title: Chief Executive Officer</w:t>
      </w:r>
    </w:p>
    <w:p>
      <w:pPr>
        <w:sectPr>
          <w:pgSz w:w="11900" w:h="16838" w:orient="portrait"/>
          <w:cols w:equalWidth="0" w:num="1">
            <w:col w:w="11240"/>
          </w:cols>
          <w:pgMar w:left="320" w:top="1387" w:right="339" w:bottom="1440" w:gutter="0" w:footer="0" w:header="0"/>
        </w:sectPr>
      </w:pPr>
    </w:p>
    <w:bookmarkStart w:id="191" w:name="page192"/>
    <w:bookmarkEnd w:id="191"/>
    <w:p>
      <w:pPr>
        <w:jc w:val="right"/>
        <w:ind w:right="3539"/>
        <w:spacing w:after="0"/>
        <w:rPr>
          <w:sz w:val="20"/>
          <w:szCs w:val="20"/>
          <w:color w:val="auto"/>
        </w:rPr>
      </w:pPr>
      <w:r>
        <w:rPr>
          <w:rFonts w:ascii="Arial" w:cs="Arial" w:eastAsia="Arial" w:hAnsi="Arial"/>
          <w:sz w:val="21"/>
          <w:szCs w:val="21"/>
          <w:b w:val="1"/>
          <w:bCs w:val="1"/>
          <w:color w:val="auto"/>
        </w:rPr>
        <w:t>LIST OF EXHIBITS</w:t>
      </w:r>
    </w:p>
    <w:p>
      <w:pPr>
        <w:spacing w:after="0" w:line="212" w:lineRule="exact"/>
        <w:rPr>
          <w:sz w:val="20"/>
          <w:szCs w:val="20"/>
          <w:color w:val="auto"/>
        </w:rPr>
      </w:pPr>
    </w:p>
    <w:p>
      <w:pPr>
        <w:spacing w:after="0"/>
        <w:tabs>
          <w:tab w:leader="none" w:pos="1160" w:val="left"/>
        </w:tabs>
        <w:rPr>
          <w:sz w:val="20"/>
          <w:szCs w:val="20"/>
          <w:color w:val="auto"/>
        </w:rPr>
      </w:pPr>
      <w:r>
        <w:rPr>
          <w:rFonts w:ascii="Arial" w:cs="Arial" w:eastAsia="Arial" w:hAnsi="Arial"/>
          <w:sz w:val="21"/>
          <w:szCs w:val="21"/>
          <w:b w:val="1"/>
          <w:bCs w:val="1"/>
          <w:color w:val="auto"/>
        </w:rPr>
        <w:t>Exhibit A:</w:t>
      </w:r>
      <w:r>
        <w:rPr>
          <w:sz w:val="20"/>
          <w:szCs w:val="20"/>
          <w:color w:val="auto"/>
        </w:rPr>
        <w:tab/>
      </w:r>
      <w:r>
        <w:rPr>
          <w:rFonts w:ascii="Arial" w:cs="Arial" w:eastAsia="Arial" w:hAnsi="Arial"/>
          <w:sz w:val="19"/>
          <w:szCs w:val="19"/>
          <w:b w:val="1"/>
          <w:bCs w:val="1"/>
          <w:color w:val="auto"/>
        </w:rPr>
        <w:t>Keros Licensed Patents as of the Effective Date</w:t>
      </w:r>
    </w:p>
    <w:p>
      <w:pPr>
        <w:spacing w:after="0" w:line="235" w:lineRule="auto"/>
        <w:tabs>
          <w:tab w:leader="none" w:pos="1160" w:val="left"/>
        </w:tabs>
        <w:rPr>
          <w:sz w:val="20"/>
          <w:szCs w:val="20"/>
          <w:color w:val="auto"/>
        </w:rPr>
      </w:pPr>
      <w:r>
        <w:rPr>
          <w:rFonts w:ascii="Arial" w:cs="Arial" w:eastAsia="Arial" w:hAnsi="Arial"/>
          <w:sz w:val="21"/>
          <w:szCs w:val="21"/>
          <w:b w:val="1"/>
          <w:bCs w:val="1"/>
          <w:color w:val="auto"/>
        </w:rPr>
        <w:t>Exhibit B:</w:t>
      </w:r>
      <w:r>
        <w:rPr>
          <w:sz w:val="20"/>
          <w:szCs w:val="20"/>
          <w:color w:val="auto"/>
        </w:rPr>
        <w:tab/>
      </w:r>
      <w:r>
        <w:rPr>
          <w:rFonts w:ascii="Arial" w:cs="Arial" w:eastAsia="Arial" w:hAnsi="Arial"/>
          <w:sz w:val="19"/>
          <w:szCs w:val="19"/>
          <w:b w:val="1"/>
          <w:bCs w:val="1"/>
          <w:color w:val="auto"/>
        </w:rPr>
        <w:t>Licensed Compound Description</w:t>
      </w:r>
    </w:p>
    <w:p>
      <w:pPr>
        <w:spacing w:after="0" w:line="236" w:lineRule="auto"/>
        <w:tabs>
          <w:tab w:leader="none" w:pos="1160" w:val="left"/>
        </w:tabs>
        <w:rPr>
          <w:sz w:val="20"/>
          <w:szCs w:val="20"/>
          <w:color w:val="auto"/>
        </w:rPr>
      </w:pPr>
      <w:r>
        <w:rPr>
          <w:rFonts w:ascii="Arial" w:cs="Arial" w:eastAsia="Arial" w:hAnsi="Arial"/>
          <w:sz w:val="21"/>
          <w:szCs w:val="21"/>
          <w:b w:val="1"/>
          <w:bCs w:val="1"/>
          <w:color w:val="auto"/>
        </w:rPr>
        <w:t>Exhibit C:</w:t>
      </w:r>
      <w:r>
        <w:rPr>
          <w:sz w:val="20"/>
          <w:szCs w:val="20"/>
          <w:color w:val="auto"/>
        </w:rPr>
        <w:tab/>
      </w:r>
      <w:r>
        <w:rPr>
          <w:rFonts w:ascii="Arial" w:cs="Arial" w:eastAsia="Arial" w:hAnsi="Arial"/>
          <w:sz w:val="19"/>
          <w:szCs w:val="19"/>
          <w:b w:val="1"/>
          <w:bCs w:val="1"/>
          <w:color w:val="auto"/>
        </w:rPr>
        <w:t>Technology Transfer Plan</w:t>
      </w:r>
    </w:p>
    <w:p>
      <w:pPr>
        <w:spacing w:after="0" w:line="236" w:lineRule="auto"/>
        <w:tabs>
          <w:tab w:leader="none" w:pos="1160" w:val="left"/>
        </w:tabs>
        <w:rPr>
          <w:sz w:val="20"/>
          <w:szCs w:val="20"/>
          <w:color w:val="auto"/>
        </w:rPr>
      </w:pPr>
      <w:r>
        <w:rPr>
          <w:rFonts w:ascii="Arial" w:cs="Arial" w:eastAsia="Arial" w:hAnsi="Arial"/>
          <w:sz w:val="21"/>
          <w:szCs w:val="21"/>
          <w:b w:val="1"/>
          <w:bCs w:val="1"/>
          <w:color w:val="auto"/>
        </w:rPr>
        <w:t>Exhibit D:</w:t>
      </w:r>
      <w:r>
        <w:rPr>
          <w:sz w:val="20"/>
          <w:szCs w:val="20"/>
          <w:color w:val="auto"/>
        </w:rPr>
        <w:tab/>
      </w:r>
      <w:r>
        <w:rPr>
          <w:rFonts w:ascii="Arial" w:cs="Arial" w:eastAsia="Arial" w:hAnsi="Arial"/>
          <w:sz w:val="19"/>
          <w:szCs w:val="19"/>
          <w:b w:val="1"/>
          <w:bCs w:val="1"/>
          <w:color w:val="auto"/>
        </w:rPr>
        <w:t>Initial Development Plan</w:t>
      </w:r>
    </w:p>
    <w:p>
      <w:pPr>
        <w:spacing w:after="0"/>
        <w:tabs>
          <w:tab w:leader="none" w:pos="1160" w:val="left"/>
        </w:tabs>
        <w:rPr>
          <w:sz w:val="20"/>
          <w:szCs w:val="20"/>
          <w:color w:val="auto"/>
        </w:rPr>
      </w:pPr>
      <w:r>
        <w:rPr>
          <w:rFonts w:ascii="Arial" w:cs="Arial" w:eastAsia="Arial" w:hAnsi="Arial"/>
          <w:sz w:val="21"/>
          <w:szCs w:val="21"/>
          <w:b w:val="1"/>
          <w:bCs w:val="1"/>
          <w:color w:val="auto"/>
        </w:rPr>
        <w:t>Exhibit E:</w:t>
      </w:r>
      <w:r>
        <w:rPr>
          <w:sz w:val="20"/>
          <w:szCs w:val="20"/>
          <w:color w:val="auto"/>
        </w:rPr>
        <w:tab/>
      </w:r>
      <w:r>
        <w:rPr>
          <w:rFonts w:ascii="Arial" w:cs="Arial" w:eastAsia="Arial" w:hAnsi="Arial"/>
          <w:sz w:val="19"/>
          <w:szCs w:val="19"/>
          <w:b w:val="1"/>
          <w:bCs w:val="1"/>
          <w:color w:val="auto"/>
        </w:rPr>
        <w:t>Hansoh’s Affiliates as of the Effective Date</w:t>
      </w:r>
    </w:p>
    <w:p>
      <w:pPr>
        <w:sectPr>
          <w:pgSz w:w="11900" w:h="16838" w:orient="portrait"/>
          <w:cols w:equalWidth="0" w:num="1">
            <w:col w:w="10139"/>
          </w:cols>
          <w:pgMar w:left="320" w:top="1387" w:right="1440" w:bottom="1440" w:gutter="0" w:footer="0" w:header="0"/>
        </w:sectPr>
      </w:pPr>
    </w:p>
    <w:bookmarkStart w:id="192" w:name="page193"/>
    <w:bookmarkEnd w:id="192"/>
    <w:p>
      <w:pPr>
        <w:jc w:val="center"/>
        <w:ind w:right="-1120"/>
        <w:spacing w:after="0"/>
        <w:rPr>
          <w:sz w:val="20"/>
          <w:szCs w:val="20"/>
          <w:color w:val="auto"/>
        </w:rPr>
      </w:pPr>
      <w:r>
        <w:rPr>
          <w:rFonts w:ascii="Arial" w:cs="Arial" w:eastAsia="Arial" w:hAnsi="Arial"/>
          <w:sz w:val="21"/>
          <w:szCs w:val="21"/>
          <w:b w:val="1"/>
          <w:bCs w:val="1"/>
          <w:color w:val="auto"/>
        </w:rPr>
        <w:t>Exhibit A</w:t>
      </w:r>
    </w:p>
    <w:p>
      <w:pPr>
        <w:jc w:val="center"/>
        <w:ind w:right="-1120"/>
        <w:spacing w:after="0"/>
        <w:rPr>
          <w:sz w:val="20"/>
          <w:szCs w:val="20"/>
          <w:color w:val="auto"/>
        </w:rPr>
      </w:pPr>
      <w:r>
        <w:rPr>
          <w:rFonts w:ascii="Arial" w:cs="Arial" w:eastAsia="Arial" w:hAnsi="Arial"/>
          <w:sz w:val="19"/>
          <w:szCs w:val="19"/>
          <w:b w:val="1"/>
          <w:bCs w:val="1"/>
          <w:color w:val="auto"/>
        </w:rPr>
        <w:t>Keros Licensed Patents as of the Effective Date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A - 1</w:t>
      </w:r>
    </w:p>
    <w:p>
      <w:pPr>
        <w:sectPr>
          <w:pgSz w:w="11900" w:h="16838" w:orient="portrait"/>
          <w:cols w:equalWidth="0" w:num="1">
            <w:col w:w="10139"/>
          </w:cols>
          <w:pgMar w:left="320" w:top="1384" w:right="1440" w:bottom="1440" w:gutter="0" w:footer="0" w:header="0"/>
        </w:sectPr>
      </w:pPr>
    </w:p>
    <w:bookmarkStart w:id="193" w:name="page194"/>
    <w:bookmarkEnd w:id="193"/>
    <w:p>
      <w:pPr>
        <w:spacing w:after="0" w:line="52" w:lineRule="exact"/>
        <w:rPr>
          <w:sz w:val="20"/>
          <w:szCs w:val="20"/>
          <w:color w:val="auto"/>
        </w:rPr>
      </w:pPr>
    </w:p>
    <w:p>
      <w:pPr>
        <w:jc w:val="center"/>
        <w:ind w:right="-1100"/>
        <w:spacing w:after="0"/>
        <w:rPr>
          <w:sz w:val="20"/>
          <w:szCs w:val="20"/>
          <w:color w:val="auto"/>
        </w:rPr>
      </w:pPr>
      <w:r>
        <w:rPr>
          <w:rFonts w:ascii="Arial" w:cs="Arial" w:eastAsia="Arial" w:hAnsi="Arial"/>
          <w:sz w:val="21"/>
          <w:szCs w:val="21"/>
          <w:b w:val="1"/>
          <w:bCs w:val="1"/>
          <w:color w:val="auto"/>
        </w:rPr>
        <w:t>Exhibit B</w:t>
      </w:r>
    </w:p>
    <w:p>
      <w:pPr>
        <w:jc w:val="center"/>
        <w:ind w:right="-1100"/>
        <w:spacing w:after="0"/>
        <w:rPr>
          <w:sz w:val="20"/>
          <w:szCs w:val="20"/>
          <w:color w:val="auto"/>
        </w:rPr>
      </w:pPr>
      <w:r>
        <w:rPr>
          <w:rFonts w:ascii="Arial" w:cs="Arial" w:eastAsia="Arial" w:hAnsi="Arial"/>
          <w:sz w:val="19"/>
          <w:szCs w:val="19"/>
          <w:b w:val="1"/>
          <w:bCs w:val="1"/>
          <w:color w:val="auto"/>
        </w:rPr>
        <w:t>Licensed Compound Description</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B - 1</w:t>
      </w:r>
    </w:p>
    <w:p>
      <w:pPr>
        <w:sectPr>
          <w:pgSz w:w="11900" w:h="16838" w:orient="portrait"/>
          <w:cols w:equalWidth="0" w:num="1">
            <w:col w:w="10139"/>
          </w:cols>
          <w:pgMar w:left="320" w:top="1440" w:right="1440" w:bottom="1440" w:gutter="0" w:footer="0" w:header="0"/>
        </w:sectPr>
      </w:pPr>
    </w:p>
    <w:bookmarkStart w:id="194" w:name="page195"/>
    <w:bookmarkEnd w:id="194"/>
    <w:p>
      <w:pPr>
        <w:jc w:val="center"/>
        <w:ind w:right="-1100"/>
        <w:spacing w:after="0"/>
        <w:rPr>
          <w:sz w:val="20"/>
          <w:szCs w:val="20"/>
          <w:color w:val="auto"/>
        </w:rPr>
      </w:pPr>
      <w:r>
        <w:rPr>
          <w:rFonts w:ascii="Arial" w:cs="Arial" w:eastAsia="Arial" w:hAnsi="Arial"/>
          <w:sz w:val="21"/>
          <w:szCs w:val="21"/>
          <w:b w:val="1"/>
          <w:bCs w:val="1"/>
          <w:color w:val="auto"/>
        </w:rPr>
        <w:t>Exhibit C</w:t>
      </w:r>
    </w:p>
    <w:p>
      <w:pPr>
        <w:jc w:val="center"/>
        <w:ind w:right="-1100"/>
        <w:spacing w:after="0"/>
        <w:rPr>
          <w:sz w:val="20"/>
          <w:szCs w:val="20"/>
          <w:color w:val="auto"/>
        </w:rPr>
      </w:pPr>
      <w:r>
        <w:rPr>
          <w:rFonts w:ascii="Arial" w:cs="Arial" w:eastAsia="Arial" w:hAnsi="Arial"/>
          <w:sz w:val="19"/>
          <w:szCs w:val="19"/>
          <w:b w:val="1"/>
          <w:bCs w:val="1"/>
          <w:color w:val="auto"/>
        </w:rPr>
        <w:t>Technology Transfer Plan</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C - 1</w:t>
      </w:r>
    </w:p>
    <w:p>
      <w:pPr>
        <w:sectPr>
          <w:pgSz w:w="11900" w:h="16838" w:orient="portrait"/>
          <w:cols w:equalWidth="0" w:num="1">
            <w:col w:w="10139"/>
          </w:cols>
          <w:pgMar w:left="320" w:top="1384" w:right="1440" w:bottom="1440" w:gutter="0" w:footer="0" w:header="0"/>
        </w:sectPr>
      </w:pPr>
    </w:p>
    <w:bookmarkStart w:id="195" w:name="page196"/>
    <w:bookmarkEnd w:id="195"/>
    <w:p>
      <w:pPr>
        <w:jc w:val="center"/>
        <w:ind w:right="-1100"/>
        <w:spacing w:after="0"/>
        <w:rPr>
          <w:sz w:val="20"/>
          <w:szCs w:val="20"/>
          <w:color w:val="auto"/>
        </w:rPr>
      </w:pPr>
      <w:r>
        <w:rPr>
          <w:rFonts w:ascii="Arial" w:cs="Arial" w:eastAsia="Arial" w:hAnsi="Arial"/>
          <w:sz w:val="21"/>
          <w:szCs w:val="21"/>
          <w:b w:val="1"/>
          <w:bCs w:val="1"/>
          <w:color w:val="auto"/>
        </w:rPr>
        <w:t>Exhibit D</w:t>
      </w:r>
    </w:p>
    <w:p>
      <w:pPr>
        <w:jc w:val="center"/>
        <w:ind w:right="-1100"/>
        <w:spacing w:after="0"/>
        <w:rPr>
          <w:sz w:val="20"/>
          <w:szCs w:val="20"/>
          <w:color w:val="auto"/>
        </w:rPr>
      </w:pPr>
      <w:r>
        <w:rPr>
          <w:rFonts w:ascii="Arial" w:cs="Arial" w:eastAsia="Arial" w:hAnsi="Arial"/>
          <w:sz w:val="19"/>
          <w:szCs w:val="19"/>
          <w:b w:val="1"/>
          <w:bCs w:val="1"/>
          <w:color w:val="auto"/>
        </w:rPr>
        <w:t>Initial Development Plan</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0"/>
        <w:spacing w:after="0"/>
        <w:rPr>
          <w:sz w:val="20"/>
          <w:szCs w:val="20"/>
          <w:color w:val="auto"/>
        </w:rPr>
      </w:pPr>
      <w:r>
        <w:rPr>
          <w:rFonts w:ascii="Arial" w:cs="Arial" w:eastAsia="Arial" w:hAnsi="Arial"/>
          <w:sz w:val="21"/>
          <w:szCs w:val="21"/>
          <w:color w:val="auto"/>
        </w:rPr>
        <w:t>D - 1</w:t>
      </w:r>
    </w:p>
    <w:p>
      <w:pPr>
        <w:sectPr>
          <w:pgSz w:w="11900" w:h="16838" w:orient="portrait"/>
          <w:cols w:equalWidth="0" w:num="1">
            <w:col w:w="10139"/>
          </w:cols>
          <w:pgMar w:left="320" w:top="1385" w:right="1440" w:bottom="1440" w:gutter="0" w:footer="0" w:header="0"/>
        </w:sectPr>
      </w:pPr>
    </w:p>
    <w:bookmarkStart w:id="196" w:name="page197"/>
    <w:bookmarkEnd w:id="196"/>
    <w:p>
      <w:pPr>
        <w:jc w:val="center"/>
        <w:ind w:right="-1120"/>
        <w:spacing w:after="0"/>
        <w:rPr>
          <w:sz w:val="20"/>
          <w:szCs w:val="20"/>
          <w:color w:val="auto"/>
        </w:rPr>
      </w:pPr>
      <w:r>
        <w:rPr>
          <w:rFonts w:ascii="Arial" w:cs="Arial" w:eastAsia="Arial" w:hAnsi="Arial"/>
          <w:sz w:val="21"/>
          <w:szCs w:val="21"/>
          <w:b w:val="1"/>
          <w:bCs w:val="1"/>
          <w:color w:val="auto"/>
        </w:rPr>
        <w:t>Exhibit E</w:t>
      </w:r>
    </w:p>
    <w:p>
      <w:pPr>
        <w:jc w:val="center"/>
        <w:ind w:right="-1120"/>
        <w:spacing w:after="0"/>
        <w:rPr>
          <w:sz w:val="20"/>
          <w:szCs w:val="20"/>
          <w:color w:val="auto"/>
        </w:rPr>
      </w:pPr>
      <w:r>
        <w:rPr>
          <w:rFonts w:ascii="Arial" w:cs="Arial" w:eastAsia="Arial" w:hAnsi="Arial"/>
          <w:sz w:val="19"/>
          <w:szCs w:val="19"/>
          <w:b w:val="1"/>
          <w:bCs w:val="1"/>
          <w:color w:val="auto"/>
        </w:rPr>
        <w:t>Hansoh’s Affiliates as of the Effective Date</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E - 1</w:t>
      </w:r>
    </w:p>
    <w:p>
      <w:pPr>
        <w:sectPr>
          <w:pgSz w:w="11900" w:h="16838" w:orient="portrait"/>
          <w:cols w:equalWidth="0" w:num="1">
            <w:col w:w="10139"/>
          </w:cols>
          <w:pgMar w:left="320" w:top="1384" w:right="1440" w:bottom="1440" w:gutter="0" w:footer="0" w:header="0"/>
        </w:sectPr>
      </w:pPr>
    </w:p>
    <w:bookmarkStart w:id="197" w:name="page198"/>
    <w:bookmarkEnd w:id="197"/>
    <w:p>
      <w:pPr>
        <w:ind w:right="240"/>
        <w:spacing w:after="0" w:line="229" w:lineRule="auto"/>
        <w:rPr>
          <w:sz w:val="20"/>
          <w:szCs w:val="20"/>
          <w:color w:val="auto"/>
        </w:rPr>
      </w:pPr>
      <w:r>
        <w:rPr>
          <w:rFonts w:ascii="Arial" w:cs="Arial" w:eastAsia="Arial" w:hAnsi="Arial"/>
          <w:sz w:val="21"/>
          <w:szCs w:val="21"/>
          <w:b w:val="1"/>
          <w:bCs w:val="1"/>
          <w:color w:val="auto"/>
        </w:rPr>
        <w:t>CERTAIN CONFIDENTIAL INFORMATION CONTAINED IN THIS DOCUMENT, MARKED BY [***], HAS BEEN OMITTED BECAUSE KEROS THERAPEUTICS, INC. HAS DETERMINED THE INFORMATION (I) IS NOT MATERIAL AND (II) WOULD LIKELY CAUSE COMPETITIVE HARM TO KEROS THERAPEUTICS, INC.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AMENDMENT NO. 1</w:t>
      </w:r>
    </w:p>
    <w:p>
      <w:pPr>
        <w:jc w:val="center"/>
        <w:ind w:right="-19"/>
        <w:spacing w:after="0"/>
        <w:rPr>
          <w:sz w:val="20"/>
          <w:szCs w:val="20"/>
          <w:color w:val="auto"/>
        </w:rPr>
      </w:pPr>
      <w:r>
        <w:rPr>
          <w:rFonts w:ascii="Arial" w:cs="Arial" w:eastAsia="Arial" w:hAnsi="Arial"/>
          <w:sz w:val="21"/>
          <w:szCs w:val="21"/>
          <w:b w:val="1"/>
          <w:bCs w:val="1"/>
          <w:color w:val="auto"/>
        </w:rPr>
        <w:t>TO LICENSE AGREEMENT</w:t>
      </w:r>
    </w:p>
    <w:p>
      <w:pPr>
        <w:spacing w:after="0" w:line="191"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Amendment No. 1</w:t>
      </w:r>
      <w:r>
        <w:rPr>
          <w:rFonts w:ascii="Arial" w:cs="Arial" w:eastAsia="Arial" w:hAnsi="Arial"/>
          <w:sz w:val="20"/>
          <w:szCs w:val="20"/>
          <w:color w:val="auto"/>
        </w:rPr>
        <w:t xml:space="preserve">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February 10, 2022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xml:space="preserve">”), by and between </w:t>
      </w:r>
      <w:r>
        <w:rPr>
          <w:rFonts w:ascii="Arial" w:cs="Arial" w:eastAsia="Arial" w:hAnsi="Arial"/>
          <w:sz w:val="20"/>
          <w:szCs w:val="20"/>
          <w:b w:val="1"/>
          <w:bCs w:val="1"/>
          <w:color w:val="auto"/>
        </w:rPr>
        <w:t>Keros Therapeutics, Inc.</w:t>
      </w:r>
      <w:r>
        <w:rPr>
          <w:rFonts w:ascii="Arial" w:cs="Arial" w:eastAsia="Arial" w:hAnsi="Arial"/>
          <w:sz w:val="20"/>
          <w:szCs w:val="20"/>
          <w:color w:val="auto"/>
        </w:rPr>
        <w:t>, corporation organized and existing under the laws of Delaware and having a place of business at 99 Hayden Avenue, Suite 120, Building E, Lexington, MA 02421 (“</w:t>
      </w:r>
      <w:r>
        <w:rPr>
          <w:rFonts w:ascii="Arial" w:cs="Arial" w:eastAsia="Arial" w:hAnsi="Arial"/>
          <w:sz w:val="20"/>
          <w:szCs w:val="20"/>
          <w:b w:val="1"/>
          <w:bCs w:val="1"/>
          <w:color w:val="auto"/>
        </w:rPr>
        <w:t>Keros</w:t>
      </w:r>
      <w:r>
        <w:rPr>
          <w:rFonts w:ascii="Arial" w:cs="Arial" w:eastAsia="Arial" w:hAnsi="Arial"/>
          <w:sz w:val="20"/>
          <w:szCs w:val="20"/>
          <w:color w:val="auto"/>
        </w:rPr>
        <w:t xml:space="preserve">”), and </w:t>
      </w:r>
      <w:r>
        <w:rPr>
          <w:rFonts w:ascii="Arial" w:cs="Arial" w:eastAsia="Arial" w:hAnsi="Arial"/>
          <w:sz w:val="20"/>
          <w:szCs w:val="20"/>
          <w:b w:val="1"/>
          <w:bCs w:val="1"/>
          <w:color w:val="auto"/>
        </w:rPr>
        <w:t>Hansoh (Shanghai) Healthtech Co., Ltd.</w:t>
      </w:r>
      <w:r>
        <w:rPr>
          <w:rFonts w:ascii="Arial" w:cs="Arial" w:eastAsia="Arial" w:hAnsi="Arial"/>
          <w:sz w:val="20"/>
          <w:szCs w:val="20"/>
          <w:color w:val="auto"/>
        </w:rPr>
        <w:t>, a corporation organized and existing under the laws of the People’s Republic of China having a place of business at Room 101, No.287 Xiangke Road and No.1158 Haike Road, China (Shanghai) Pilot Free Trade Zone, China (“</w:t>
      </w:r>
      <w:r>
        <w:rPr>
          <w:rFonts w:ascii="Arial" w:cs="Arial" w:eastAsia="Arial" w:hAnsi="Arial"/>
          <w:sz w:val="20"/>
          <w:szCs w:val="20"/>
          <w:b w:val="1"/>
          <w:bCs w:val="1"/>
          <w:color w:val="auto"/>
        </w:rPr>
        <w:t>Hansoh</w:t>
      </w:r>
      <w:r>
        <w:rPr>
          <w:rFonts w:ascii="Arial" w:cs="Arial" w:eastAsia="Arial" w:hAnsi="Arial"/>
          <w:sz w:val="20"/>
          <w:szCs w:val="20"/>
          <w:color w:val="auto"/>
        </w:rPr>
        <w:t>”). Keros and Hansoh are sometimes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RECITALS</w:t>
      </w:r>
    </w:p>
    <w:p>
      <w:pPr>
        <w:spacing w:after="0" w:line="215" w:lineRule="exact"/>
        <w:rPr>
          <w:sz w:val="20"/>
          <w:szCs w:val="20"/>
          <w:color w:val="auto"/>
        </w:rPr>
      </w:pPr>
    </w:p>
    <w:p>
      <w:pPr>
        <w:ind w:right="1020" w:firstLine="644"/>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Keros and Hansoh are parties to that certain License Agreement, dated as of December 12, 2021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and</w:t>
      </w:r>
    </w:p>
    <w:p>
      <w:pPr>
        <w:spacing w:after="0" w:line="166" w:lineRule="exact"/>
        <w:rPr>
          <w:sz w:val="20"/>
          <w:szCs w:val="20"/>
          <w:color w:val="auto"/>
        </w:rPr>
      </w:pPr>
    </w:p>
    <w:p>
      <w:pPr>
        <w:ind w:right="260" w:firstLine="644"/>
        <w:spacing w:after="0" w:line="25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accordance with Section 15.1 of the Agreement, the Parties mutually desire to amend the Agreement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manner set forth below.</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for good and valuable consideration, the receipt and sufficiency of which is hereby acknowledged, the</w:t>
      </w:r>
    </w:p>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Parties hereby agree as follows: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AGREEMENT</w:t>
      </w:r>
    </w:p>
    <w:p>
      <w:pPr>
        <w:spacing w:after="0" w:line="221" w:lineRule="exact"/>
        <w:rPr>
          <w:sz w:val="20"/>
          <w:szCs w:val="20"/>
          <w:color w:val="auto"/>
        </w:rPr>
      </w:pPr>
    </w:p>
    <w:p>
      <w:pPr>
        <w:ind w:left="700" w:hanging="371"/>
        <w:spacing w:after="0"/>
        <w:tabs>
          <w:tab w:leader="none" w:pos="70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All capitalized terms used, but not defined, in this Amendment shall have the meaning set forth in the Agreement.</w:t>
      </w:r>
    </w:p>
    <w:p>
      <w:pPr>
        <w:spacing w:after="0" w:line="214" w:lineRule="exact"/>
        <w:rPr>
          <w:rFonts w:ascii="Arial" w:cs="Arial" w:eastAsia="Arial" w:hAnsi="Arial"/>
          <w:sz w:val="21"/>
          <w:szCs w:val="21"/>
          <w:color w:val="auto"/>
        </w:rPr>
      </w:pPr>
    </w:p>
    <w:p>
      <w:pPr>
        <w:ind w:left="700" w:hanging="371"/>
        <w:spacing w:after="0"/>
        <w:tabs>
          <w:tab w:leader="none" w:pos="70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Section 7.1 to the Agreement is hereby deleted in its entirety and replaced with the following:</w:t>
      </w:r>
    </w:p>
    <w:p>
      <w:pPr>
        <w:spacing w:after="0" w:line="209" w:lineRule="exact"/>
        <w:rPr>
          <w:sz w:val="20"/>
          <w:szCs w:val="20"/>
          <w:color w:val="auto"/>
        </w:rPr>
      </w:pPr>
    </w:p>
    <w:p>
      <w:pPr>
        <w:ind w:left="980" w:right="80"/>
        <w:spacing w:after="0"/>
        <w:rPr>
          <w:sz w:val="20"/>
          <w:szCs w:val="20"/>
          <w:color w:val="auto"/>
        </w:rPr>
      </w:pPr>
      <w:r>
        <w:rPr>
          <w:rFonts w:ascii="Arial" w:cs="Arial" w:eastAsia="Arial" w:hAnsi="Arial"/>
          <w:sz w:val="19"/>
          <w:szCs w:val="19"/>
          <w:b w:val="1"/>
          <w:bCs w:val="1"/>
          <w:color w:val="auto"/>
        </w:rPr>
        <w:t xml:space="preserve">“Keros Manufacture and Supply. </w:t>
      </w:r>
      <w:r>
        <w:rPr>
          <w:rFonts w:ascii="Arial" w:cs="Arial" w:eastAsia="Arial" w:hAnsi="Arial"/>
          <w:sz w:val="19"/>
          <w:szCs w:val="19"/>
          <w:color w:val="auto"/>
        </w:rPr>
        <w:t>Hansoh shall purchase from Keros, and Keros shall use Commercially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to supply to Hansoh, all of its requirements for Licensed Products at Keros’ Fully Burdened Manufacturing Cost, plus a premium of [***]), for Hansoh to conduct any Clinical Trial for obtaining any Regulatory Approval and for commercial purposes, in each case in the Field in the Hansoh Territory, provided that (a) Hansoh provides Keros with a forecast of its requirements for Licensed Products at least (i) [***] in advance for preclinical and Phase 1 clinical materials, (ii) at least [***] in advance for all other clinical materials not covered under Section 7.1(a)(i), and</w:t>
      </w:r>
    </w:p>
    <w:p>
      <w:pPr>
        <w:spacing w:after="0" w:line="1" w:lineRule="exact"/>
        <w:rPr>
          <w:sz w:val="20"/>
          <w:szCs w:val="20"/>
          <w:color w:val="auto"/>
        </w:rPr>
      </w:pPr>
    </w:p>
    <w:p>
      <w:pPr>
        <w:ind w:left="980" w:right="20" w:hanging="6"/>
        <w:spacing w:after="0" w:line="229" w:lineRule="auto"/>
        <w:tabs>
          <w:tab w:leader="none" w:pos="135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at least [***] in advance for commercial supply, and (b) submits a purchase order for such Licensed Products upon [***] written notice to Keros. The Parties shall negotiate in good faith a clinical supply agreement to be executed within [***] after the Effective Date. Additionally, the Parties shall negotiate in good faith a commercial supply agreement to be executed within [***] prior to the anticipated First Commercial Sale of a Licensed Product by Hansoh in the Hansoh Territory (each of the clinical supply agreement and the commercial supply agreement, a “Supply Agreement”). For clarity, notwithstanding anything to the contrary in this Agreement, Hansoh shall not have the right to Manufacture or have Manufactured any Licensed Product for clinical or commercial use prior to the completion of the manufacturing technology transfer set forth in Section 7.2.”</w:t>
      </w:r>
    </w:p>
    <w:p>
      <w:pPr>
        <w:sectPr>
          <w:pgSz w:w="11900" w:h="16838" w:orient="portrait"/>
          <w:cols w:equalWidth="0" w:num="1">
            <w:col w:w="11240"/>
          </w:cols>
          <w:pgMar w:left="320" w:top="98" w:right="339" w:bottom="1440" w:gutter="0" w:footer="0" w:header="0"/>
        </w:sectPr>
      </w:pPr>
    </w:p>
    <w:bookmarkStart w:id="198" w:name="page199"/>
    <w:bookmarkEnd w:id="198"/>
    <w:p>
      <w:pPr>
        <w:ind w:left="660" w:hanging="651"/>
        <w:spacing w:after="0" w:line="227" w:lineRule="auto"/>
        <w:tabs>
          <w:tab w:leader="none" w:pos="392" w:val="left"/>
        </w:tabs>
        <w:numPr>
          <w:ilvl w:val="0"/>
          <w:numId w:val="139"/>
        </w:numPr>
        <w:rPr>
          <w:rFonts w:ascii="Arial" w:cs="Arial" w:eastAsia="Arial" w:hAnsi="Arial"/>
          <w:sz w:val="21"/>
          <w:szCs w:val="21"/>
          <w:color w:val="auto"/>
        </w:rPr>
      </w:pPr>
      <w:r>
        <w:rPr>
          <w:rFonts w:ascii="Arial" w:cs="Arial" w:eastAsia="Arial" w:hAnsi="Arial"/>
          <w:sz w:val="21"/>
          <w:szCs w:val="21"/>
          <w:color w:val="auto"/>
        </w:rPr>
        <w:t>Except as amended by this Amendment, the Agreement shall remain in full force and effect without modification. After the Amendment Effective Date, every reference in the Agreement to the “Agreement” shall mean the Agreement as amended by this Amendment. In the event of inconsistency between the terms of the Agreement and this Amendment, the terms of this Amendment shall govern.</w:t>
      </w:r>
    </w:p>
    <w:p>
      <w:pPr>
        <w:spacing w:after="0" w:line="186" w:lineRule="exact"/>
        <w:rPr>
          <w:rFonts w:ascii="Arial" w:cs="Arial" w:eastAsia="Arial" w:hAnsi="Arial"/>
          <w:sz w:val="21"/>
          <w:szCs w:val="21"/>
          <w:color w:val="auto"/>
        </w:rPr>
      </w:pPr>
    </w:p>
    <w:p>
      <w:pPr>
        <w:ind w:left="660" w:right="100" w:hanging="651"/>
        <w:spacing w:after="0" w:line="227" w:lineRule="auto"/>
        <w:tabs>
          <w:tab w:leader="none" w:pos="38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This Amendment may be executed in one (1) or more counterparts, each of which shall be deemed an original, but all of which together shall constitute one and the same instrument. This Amendment may be executed by facsimile or electronically transmitted signatures and such signatures shall be deemed to bind each Party hereto as if they were original signatures.</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0820"/>
          </w:cols>
          <w:pgMar w:left="640" w:top="1393" w:right="439" w:bottom="1440" w:gutter="0" w:footer="0" w:header="0"/>
        </w:sectPr>
      </w:pPr>
    </w:p>
    <w:bookmarkStart w:id="199" w:name="page200"/>
    <w:bookmarkEnd w:id="199"/>
    <w:p>
      <w:pPr>
        <w:ind w:firstLine="644"/>
        <w:spacing w:after="0" w:line="245"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have executed this Amendment in duplicate originals by their duly authorized</w:t>
      </w:r>
      <w:r>
        <w:rPr>
          <w:rFonts w:ascii="Arial" w:cs="Arial" w:eastAsia="Arial" w:hAnsi="Arial"/>
          <w:sz w:val="21"/>
          <w:szCs w:val="21"/>
          <w:b w:val="1"/>
          <w:bCs w:val="1"/>
          <w:color w:val="auto"/>
        </w:rPr>
        <w:t xml:space="preserve"> </w:t>
      </w:r>
      <w:r>
        <w:rPr>
          <w:rFonts w:ascii="Arial" w:cs="Arial" w:eastAsia="Arial" w:hAnsi="Arial"/>
          <w:sz w:val="21"/>
          <w:szCs w:val="21"/>
          <w:color w:val="auto"/>
        </w:rPr>
        <w:t>officers as of the Amendment Effective Date.</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79"/>
        </w:trPr>
        <w:tc>
          <w:tcPr>
            <w:tcW w:w="4180" w:type="dxa"/>
            <w:vAlign w:val="bottom"/>
            <w:gridSpan w:val="3"/>
          </w:tcPr>
          <w:p>
            <w:pPr>
              <w:spacing w:after="0"/>
              <w:rPr>
                <w:sz w:val="20"/>
                <w:szCs w:val="20"/>
                <w:color w:val="auto"/>
              </w:rPr>
            </w:pPr>
            <w:r>
              <w:rPr>
                <w:rFonts w:ascii="Arial" w:cs="Arial" w:eastAsia="Arial" w:hAnsi="Arial"/>
                <w:sz w:val="21"/>
                <w:szCs w:val="21"/>
                <w:b w:val="1"/>
                <w:bCs w:val="1"/>
                <w:color w:val="auto"/>
              </w:rPr>
              <w:t>Keros Therapeutics, Inc.</w:t>
            </w:r>
          </w:p>
        </w:tc>
        <w:tc>
          <w:tcPr>
            <w:tcW w:w="5280" w:type="dxa"/>
            <w:vAlign w:val="bottom"/>
            <w:gridSpan w:val="3"/>
          </w:tcPr>
          <w:p>
            <w:pPr>
              <w:ind w:left="1600"/>
              <w:spacing w:after="0"/>
              <w:rPr>
                <w:sz w:val="20"/>
                <w:szCs w:val="20"/>
                <w:color w:val="auto"/>
              </w:rPr>
            </w:pPr>
            <w:r>
              <w:rPr>
                <w:rFonts w:ascii="Arial" w:cs="Arial" w:eastAsia="Arial" w:hAnsi="Arial"/>
                <w:sz w:val="21"/>
                <w:szCs w:val="21"/>
                <w:b w:val="1"/>
                <w:bCs w:val="1"/>
                <w:color w:val="auto"/>
                <w:w w:val="92"/>
              </w:rPr>
              <w:t>Hansoh (Shanghai) Healthtech Co., Ltd.</w:t>
            </w:r>
          </w:p>
        </w:tc>
        <w:tc>
          <w:tcPr>
            <w:tcW w:w="0" w:type="dxa"/>
            <w:vAlign w:val="bottom"/>
          </w:tcPr>
          <w:p>
            <w:pPr>
              <w:spacing w:after="0"/>
              <w:rPr>
                <w:sz w:val="1"/>
                <w:szCs w:val="1"/>
                <w:color w:val="auto"/>
              </w:rPr>
            </w:pPr>
          </w:p>
        </w:tc>
      </w:tr>
      <w:tr>
        <w:trPr>
          <w:trHeight w:val="610"/>
        </w:trPr>
        <w:tc>
          <w:tcPr>
            <w:tcW w:w="360" w:type="dxa"/>
            <w:vAlign w:val="bottom"/>
          </w:tcPr>
          <w:p>
            <w:pPr>
              <w:spacing w:after="0"/>
              <w:rPr>
                <w:sz w:val="20"/>
                <w:szCs w:val="20"/>
                <w:color w:val="auto"/>
              </w:rPr>
            </w:pPr>
            <w:r>
              <w:rPr>
                <w:rFonts w:ascii="Arial" w:cs="Arial" w:eastAsia="Arial" w:hAnsi="Arial"/>
                <w:sz w:val="21"/>
                <w:szCs w:val="21"/>
                <w:color w:val="auto"/>
              </w:rPr>
              <w:t>By:</w:t>
            </w:r>
          </w:p>
        </w:tc>
        <w:tc>
          <w:tcPr>
            <w:tcW w:w="184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9"/>
              </w:rPr>
              <w:t>/s/ Jasbir S. Seehra</w:t>
            </w:r>
          </w:p>
        </w:tc>
        <w:tc>
          <w:tcPr>
            <w:tcW w:w="1980" w:type="dxa"/>
            <w:vAlign w:val="bottom"/>
          </w:tcPr>
          <w:p>
            <w:pPr>
              <w:spacing w:after="0"/>
              <w:rPr>
                <w:sz w:val="24"/>
                <w:szCs w:val="24"/>
                <w:color w:val="auto"/>
              </w:rPr>
            </w:pPr>
          </w:p>
        </w:tc>
        <w:tc>
          <w:tcPr>
            <w:tcW w:w="5280" w:type="dxa"/>
            <w:vAlign w:val="bottom"/>
            <w:gridSpan w:val="3"/>
          </w:tcPr>
          <w:p>
            <w:pPr>
              <w:ind w:left="1600"/>
              <w:spacing w:after="0"/>
              <w:rPr>
                <w:sz w:val="20"/>
                <w:szCs w:val="20"/>
                <w:color w:val="auto"/>
              </w:rPr>
            </w:pPr>
            <w:r>
              <w:rPr>
                <w:rFonts w:ascii="Arial" w:cs="Arial" w:eastAsia="Arial" w:hAnsi="Arial"/>
                <w:sz w:val="21"/>
                <w:szCs w:val="21"/>
                <w:color w:val="auto"/>
              </w:rPr>
              <w:t>By: /s/ Weiyong Sun</w:t>
            </w: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line="208" w:lineRule="exact"/>
              <w:rPr>
                <w:sz w:val="20"/>
                <w:szCs w:val="20"/>
                <w:color w:val="auto"/>
              </w:rPr>
            </w:pPr>
            <w:r>
              <w:rPr>
                <w:rFonts w:ascii="Arial" w:cs="Arial" w:eastAsia="Arial" w:hAnsi="Arial"/>
                <w:sz w:val="21"/>
                <w:szCs w:val="21"/>
                <w:color w:val="auto"/>
              </w:rPr>
              <w:t>Name: Jasbir S. Seehra</w:t>
            </w:r>
          </w:p>
        </w:tc>
        <w:tc>
          <w:tcPr>
            <w:tcW w:w="19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180" w:type="dxa"/>
            <w:vAlign w:val="bottom"/>
            <w:gridSpan w:val="3"/>
            <w:vMerge w:val="continue"/>
          </w:tcPr>
          <w:p>
            <w:pPr>
              <w:spacing w:after="0"/>
              <w:rPr>
                <w:sz w:val="14"/>
                <w:szCs w:val="14"/>
                <w:color w:val="auto"/>
              </w:rPr>
            </w:pPr>
          </w:p>
        </w:tc>
        <w:tc>
          <w:tcPr>
            <w:tcW w:w="3600" w:type="dxa"/>
            <w:vAlign w:val="bottom"/>
            <w:gridSpan w:val="2"/>
          </w:tcPr>
          <w:p>
            <w:pPr>
              <w:ind w:left="1600"/>
              <w:spacing w:after="0" w:line="168" w:lineRule="exact"/>
              <w:rPr>
                <w:sz w:val="20"/>
                <w:szCs w:val="20"/>
                <w:color w:val="auto"/>
              </w:rPr>
            </w:pPr>
            <w:r>
              <w:rPr>
                <w:rFonts w:ascii="Arial" w:cs="Arial" w:eastAsia="Arial" w:hAnsi="Arial"/>
                <w:sz w:val="19"/>
                <w:szCs w:val="19"/>
                <w:color w:val="auto"/>
              </w:rPr>
              <w:t>Name: Weiyong Sun</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4180" w:type="dxa"/>
            <w:vAlign w:val="bottom"/>
            <w:gridSpan w:val="3"/>
          </w:tcPr>
          <w:p>
            <w:pPr>
              <w:spacing w:after="0"/>
              <w:rPr>
                <w:sz w:val="20"/>
                <w:szCs w:val="20"/>
                <w:color w:val="auto"/>
              </w:rPr>
            </w:pPr>
            <w:r>
              <w:rPr>
                <w:rFonts w:ascii="Arial" w:cs="Arial" w:eastAsia="Arial" w:hAnsi="Arial"/>
                <w:sz w:val="21"/>
                <w:szCs w:val="21"/>
                <w:color w:val="auto"/>
              </w:rPr>
              <w:t>Title: Chief Executive Officer</w:t>
            </w:r>
          </w:p>
        </w:tc>
        <w:tc>
          <w:tcPr>
            <w:tcW w:w="5280" w:type="dxa"/>
            <w:vAlign w:val="bottom"/>
            <w:gridSpan w:val="3"/>
          </w:tcPr>
          <w:p>
            <w:pPr>
              <w:ind w:left="1600"/>
              <w:spacing w:after="0"/>
              <w:rPr>
                <w:sz w:val="20"/>
                <w:szCs w:val="20"/>
                <w:color w:val="auto"/>
              </w:rPr>
            </w:pPr>
            <w:r>
              <w:rPr>
                <w:rFonts w:ascii="Arial" w:cs="Arial" w:eastAsia="Arial" w:hAnsi="Arial"/>
                <w:sz w:val="21"/>
                <w:szCs w:val="21"/>
                <w:color w:val="auto"/>
              </w:rPr>
              <w:t>Title: Authorized Representative</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87"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1"/>
          <w:szCs w:val="21"/>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THE</w:t>
      </w:r>
    </w:p>
    <w:p>
      <w:pPr>
        <w:jc w:val="center"/>
        <w:spacing w:after="0"/>
        <w:rPr>
          <w:sz w:val="20"/>
          <w:szCs w:val="20"/>
          <w:color w:val="auto"/>
        </w:rPr>
      </w:pPr>
      <w:r>
        <w:rPr>
          <w:rFonts w:ascii="Arial" w:cs="Arial" w:eastAsia="Arial" w:hAnsi="Arial"/>
          <w:sz w:val="21"/>
          <w:szCs w:val="21"/>
          <w:b w:val="1"/>
          <w:bCs w:val="1"/>
          <w:color w:val="auto"/>
        </w:rPr>
        <w:t>EXECUTIVE EMPLOYMENT AGREEMENT OF JENNIFER LACHEY</w:t>
      </w:r>
    </w:p>
    <w:p>
      <w:pPr>
        <w:spacing w:after="0" w:line="191" w:lineRule="exact"/>
        <w:rPr>
          <w:sz w:val="20"/>
          <w:szCs w:val="20"/>
          <w:color w:val="auto"/>
        </w:rPr>
      </w:pPr>
    </w:p>
    <w:p>
      <w:pPr>
        <w:jc w:val="both"/>
        <w:ind w:firstLine="644"/>
        <w:spacing w:after="0" w:line="21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First Amendment to the Executive Employment Agreement of Jennifer Lachey</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is entered into this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January, 2022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Jennifer Lachey</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xml:space="preserve">”) and </w:t>
      </w:r>
      <w:r>
        <w:rPr>
          <w:rFonts w:ascii="Arial" w:cs="Arial" w:eastAsia="Arial" w:hAnsi="Arial"/>
          <w:sz w:val="21"/>
          <w:szCs w:val="21"/>
          <w:b w:val="1"/>
          <w:bCs w:val="1"/>
          <w:color w:val="auto"/>
        </w:rPr>
        <w:t>Keros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Therapeutics, Inc. </w:t>
      </w:r>
      <w:r>
        <w:rPr>
          <w:rFonts w:ascii="Arial" w:cs="Arial" w:eastAsia="Arial" w:hAnsi="Arial"/>
          <w:sz w:val="21"/>
          <w:szCs w:val="21"/>
          <w:color w:val="auto"/>
        </w:rPr>
        <w:t>(the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94"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21"/>
          <w:szCs w:val="21"/>
          <w:color w:val="auto"/>
        </w:rPr>
        <w:t>A. WHEREAS, the Executive was employed as the VP, Biology and Pharmacology of the Company on May 9, 2016, pursuant to the terms of the April 20, 2016 offer letter;</w:t>
      </w:r>
    </w:p>
    <w:p>
      <w:pPr>
        <w:spacing w:after="0" w:line="15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21"/>
          <w:szCs w:val="21"/>
          <w:color w:val="auto"/>
        </w:rPr>
        <w:t>B. WHEREAS, on June 12, 2019, the Company’s Board of Directors voted to change the Executive’s status from VP, Biology and Pharmacology to Chief Scientific Officer;</w:t>
      </w:r>
    </w:p>
    <w:p>
      <w:pPr>
        <w:spacing w:after="0" w:line="15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21"/>
          <w:szCs w:val="21"/>
          <w:color w:val="auto"/>
        </w:rPr>
        <w:t>C. WHEREAS, the Company and the Executive have entered into that certain Executive Employment Agreement effective April 13, 2020 (the “</w:t>
      </w:r>
      <w:r>
        <w:rPr>
          <w:rFonts w:ascii="Arial" w:cs="Arial" w:eastAsia="Arial" w:hAnsi="Arial"/>
          <w:sz w:val="21"/>
          <w:szCs w:val="21"/>
          <w:b w:val="1"/>
          <w:bCs w:val="1"/>
          <w:i w:val="1"/>
          <w:iCs w:val="1"/>
          <w:color w:val="auto"/>
        </w:rPr>
        <w:t>Executive Employment Agreement</w:t>
      </w:r>
      <w:r>
        <w:rPr>
          <w:rFonts w:ascii="Arial" w:cs="Arial" w:eastAsia="Arial" w:hAnsi="Arial"/>
          <w:sz w:val="21"/>
          <w:szCs w:val="21"/>
          <w:color w:val="auto"/>
        </w:rPr>
        <w:t>”); and</w:t>
      </w:r>
    </w:p>
    <w:p>
      <w:pPr>
        <w:spacing w:after="0" w:line="15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21"/>
          <w:szCs w:val="21"/>
          <w:color w:val="auto"/>
        </w:rPr>
        <w:t>D. WHEREAS, in consideration of the mutual agreements contained herein, the Executive and the Company wish to amend the Executive Employment Agreement as provided in this Amendment.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parties agree to the following:</w:t>
      </w:r>
    </w:p>
    <w:p>
      <w:pPr>
        <w:spacing w:after="0" w:line="316" w:lineRule="exact"/>
        <w:rPr>
          <w:sz w:val="20"/>
          <w:szCs w:val="20"/>
          <w:color w:val="auto"/>
        </w:rPr>
      </w:pPr>
    </w:p>
    <w:p>
      <w:pPr>
        <w:ind w:left="440" w:hanging="433"/>
        <w:spacing w:after="0"/>
        <w:tabs>
          <w:tab w:leader="none" w:pos="440" w:val="left"/>
        </w:tabs>
        <w:numPr>
          <w:ilvl w:val="0"/>
          <w:numId w:val="140"/>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to Section 5</w:t>
      </w:r>
      <w:r>
        <w:rPr>
          <w:rFonts w:ascii="Arial" w:cs="Arial" w:eastAsia="Arial" w:hAnsi="Arial"/>
          <w:sz w:val="19"/>
          <w:szCs w:val="19"/>
          <w:color w:val="auto"/>
        </w:rPr>
        <w:t>. Section 5 of the Executive Employment Agreement is hereby replaced in its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entirety</w:t>
      </w:r>
      <w:r>
        <w:rPr>
          <w:rFonts w:ascii="Arial" w:cs="Arial" w:eastAsia="Arial" w:hAnsi="Arial"/>
          <w:sz w:val="19"/>
          <w:szCs w:val="19"/>
          <w:b w:val="1"/>
          <w:bCs w:val="1"/>
          <w:color w:val="auto"/>
        </w:rPr>
        <w:t xml:space="preserve"> </w:t>
      </w:r>
      <w:r>
        <w:rPr>
          <w:rFonts w:ascii="Arial" w:cs="Arial" w:eastAsia="Arial" w:hAnsi="Arial"/>
          <w:sz w:val="19"/>
          <w:szCs w:val="19"/>
          <w:color w:val="auto"/>
        </w:rPr>
        <w:t>as follows:</w:t>
      </w:r>
    </w:p>
    <w:p>
      <w:pPr>
        <w:spacing w:after="0" w:line="216" w:lineRule="exact"/>
        <w:rPr>
          <w:rFonts w:ascii="Arial" w:cs="Arial" w:eastAsia="Arial" w:hAnsi="Arial"/>
          <w:sz w:val="19"/>
          <w:szCs w:val="19"/>
          <w:color w:val="auto"/>
        </w:rPr>
      </w:pPr>
    </w:p>
    <w:p>
      <w:pPr>
        <w:jc w:val="both"/>
        <w:ind w:firstLine="652"/>
        <w:spacing w:after="0" w:line="247" w:lineRule="auto"/>
        <w:tabs>
          <w:tab w:leader="none" w:pos="1087"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Executive will be eligible to accrue a maximum of three (3) weeks paid vacation per year, in accordance with the Company’s vacation policy. On the fifth-year anniversary of Executive’s start date, Executive shall be eligible to accrue a maximum of four (4) weeks paid vacation per year, in accordance with the Company’s vacation policy. Vacation must be used in the calendar year it is accrued or it will be forfeited, subject to one week of such accrued and unused vacation which may carried over to the subsequent year, in accordance with the Company’s vacation policy. Vacation shall be taken subject to the demands of the Company’s business and Executive’s obligations as an employee of the Company with a substantial degree of responsibility.</w:t>
      </w:r>
    </w:p>
    <w:p>
      <w:pPr>
        <w:spacing w:after="0" w:line="174" w:lineRule="exact"/>
        <w:rPr>
          <w:rFonts w:ascii="Arial" w:cs="Arial" w:eastAsia="Arial" w:hAnsi="Arial"/>
          <w:sz w:val="19"/>
          <w:szCs w:val="19"/>
          <w:color w:val="auto"/>
        </w:rPr>
      </w:pPr>
    </w:p>
    <w:p>
      <w:pPr>
        <w:jc w:val="both"/>
        <w:ind w:firstLine="7"/>
        <w:spacing w:after="0" w:line="229" w:lineRule="auto"/>
        <w:tabs>
          <w:tab w:leader="none" w:pos="510" w:val="left"/>
        </w:tabs>
        <w:numPr>
          <w:ilvl w:val="0"/>
          <w:numId w:val="140"/>
        </w:numPr>
        <w:rPr>
          <w:rFonts w:ascii="Arial" w:cs="Arial" w:eastAsia="Arial" w:hAnsi="Arial"/>
          <w:sz w:val="21"/>
          <w:szCs w:val="21"/>
          <w:color w:val="auto"/>
        </w:rPr>
      </w:pPr>
      <w:r>
        <w:rPr>
          <w:rFonts w:ascii="Arial" w:cs="Arial" w:eastAsia="Arial" w:hAnsi="Arial"/>
          <w:sz w:val="21"/>
          <w:szCs w:val="21"/>
          <w:b w:val="1"/>
          <w:bCs w:val="1"/>
          <w:u w:val="single" w:color="auto"/>
          <w:color w:val="auto"/>
        </w:rPr>
        <w:t>Not Grounds for Good Reason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the Executive further agree that this Amendment does not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grounds for “Good Reason” pursuant to Sections 9 and 11(d) of the Executive Employment Agreement, or otherwise constitute any trigger for the Company’s payment of any severance benefits to Executive pursuant to Section 9 of the Executive Employment Agreement.</w:t>
      </w:r>
    </w:p>
    <w:p>
      <w:pPr>
        <w:spacing w:after="0" w:line="178" w:lineRule="exact"/>
        <w:rPr>
          <w:rFonts w:ascii="Arial" w:cs="Arial" w:eastAsia="Arial" w:hAnsi="Arial"/>
          <w:sz w:val="21"/>
          <w:szCs w:val="21"/>
          <w:color w:val="auto"/>
        </w:rPr>
      </w:pPr>
    </w:p>
    <w:p>
      <w:pPr>
        <w:jc w:val="both"/>
        <w:ind w:firstLine="7"/>
        <w:spacing w:after="0" w:line="229" w:lineRule="auto"/>
        <w:tabs>
          <w:tab w:leader="none" w:pos="376" w:val="left"/>
        </w:tabs>
        <w:numPr>
          <w:ilvl w:val="0"/>
          <w:numId w:val="140"/>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will continue to abide by Company rules and policies. Executive acknowledges and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to comply with the Employee Confidential Information and Invention Assignment Agreement, which Executive signed on March 29, 2020 and which prohibits unauthorized use or disclosure of the Company’s proprietary information, among other obligations.</w:t>
      </w:r>
    </w:p>
    <w:p>
      <w:pPr>
        <w:spacing w:after="0" w:line="178" w:lineRule="exact"/>
        <w:rPr>
          <w:rFonts w:ascii="Arial" w:cs="Arial" w:eastAsia="Arial" w:hAnsi="Arial"/>
          <w:sz w:val="21"/>
          <w:szCs w:val="21"/>
          <w:color w:val="auto"/>
        </w:rPr>
      </w:pPr>
    </w:p>
    <w:p>
      <w:pPr>
        <w:ind w:right="20" w:firstLine="7"/>
        <w:spacing w:after="0" w:line="251" w:lineRule="auto"/>
        <w:tabs>
          <w:tab w:leader="none" w:pos="443" w:val="left"/>
        </w:tabs>
        <w:numPr>
          <w:ilvl w:val="0"/>
          <w:numId w:val="140"/>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Amendments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modified or amended in this Amendment, no other term or provision of the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Agreement is amended or modified in any</w:t>
      </w:r>
    </w:p>
    <w:p>
      <w:pPr>
        <w:sectPr>
          <w:pgSz w:w="11900" w:h="16838" w:orient="portrait"/>
          <w:cols w:equalWidth="0" w:num="1">
            <w:col w:w="11240"/>
          </w:cols>
          <w:pgMar w:left="320" w:top="98" w:right="339" w:bottom="1440" w:gutter="0" w:footer="0" w:header="0"/>
        </w:sectPr>
      </w:pPr>
    </w:p>
    <w:bookmarkStart w:id="201" w:name="page202"/>
    <w:bookmarkEnd w:id="201"/>
    <w:p>
      <w:pPr>
        <w:jc w:val="both"/>
        <w:spacing w:after="0" w:line="227" w:lineRule="auto"/>
        <w:rPr>
          <w:sz w:val="20"/>
          <w:szCs w:val="20"/>
          <w:color w:val="auto"/>
        </w:rPr>
      </w:pPr>
      <w:r>
        <w:rPr>
          <w:rFonts w:ascii="Arial" w:cs="Arial" w:eastAsia="Arial" w:hAnsi="Arial"/>
          <w:sz w:val="21"/>
          <w:szCs w:val="21"/>
          <w:color w:val="auto"/>
        </w:rPr>
        <w:t>respect. The Executive Employment Agreement, and its exhibits, along with this Amendment, set forth the entire understanding between the parties with regard to the subject matter hereof and supersedes any prior oral discussions or written communications and agreements. This Amendment cannot be modified or amended except in writing signed by the Executive and an authorized officer of the Company.</w:t>
      </w:r>
    </w:p>
    <w:p>
      <w:pPr>
        <w:spacing w:after="0" w:line="181" w:lineRule="exact"/>
        <w:rPr>
          <w:sz w:val="20"/>
          <w:szCs w:val="20"/>
          <w:color w:val="auto"/>
        </w:rPr>
      </w:pPr>
    </w:p>
    <w:p>
      <w:pPr>
        <w:ind w:firstLine="7"/>
        <w:spacing w:after="0" w:line="251" w:lineRule="auto"/>
        <w:tabs>
          <w:tab w:leader="none" w:pos="389" w:val="left"/>
        </w:tabs>
        <w:numPr>
          <w:ilvl w:val="0"/>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Amendment shall be governed by the laws of the Commonwealth of Massachusetts, without regard to</w:t>
      </w:r>
      <w:r>
        <w:rPr>
          <w:rFonts w:ascii="Arial" w:cs="Arial" w:eastAsia="Arial" w:hAnsi="Arial"/>
          <w:sz w:val="21"/>
          <w:szCs w:val="21"/>
          <w:b w:val="1"/>
          <w:bCs w:val="1"/>
          <w:color w:val="auto"/>
        </w:rPr>
        <w:t xml:space="preserve"> </w:t>
      </w:r>
      <w:r>
        <w:rPr>
          <w:rFonts w:ascii="Arial" w:cs="Arial" w:eastAsia="Arial" w:hAnsi="Arial"/>
          <w:sz w:val="21"/>
          <w:szCs w:val="21"/>
          <w:color w:val="auto"/>
        </w:rPr>
        <w:t>any conflicts of law principals thereof that would call for the application of the laws of any other jurisdiction.</w:t>
      </w:r>
    </w:p>
    <w:p>
      <w:pPr>
        <w:spacing w:after="0" w:line="165" w:lineRule="exact"/>
        <w:rPr>
          <w:rFonts w:ascii="Arial" w:cs="Arial" w:eastAsia="Arial" w:hAnsi="Arial"/>
          <w:sz w:val="21"/>
          <w:szCs w:val="21"/>
          <w:color w:val="auto"/>
        </w:rPr>
      </w:pPr>
    </w:p>
    <w:p>
      <w:pPr>
        <w:ind w:firstLine="7"/>
        <w:spacing w:after="0" w:line="251" w:lineRule="auto"/>
        <w:tabs>
          <w:tab w:leader="none" w:pos="376" w:val="left"/>
        </w:tabs>
        <w:numPr>
          <w:ilvl w:val="0"/>
          <w:numId w:val="141"/>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Amendment may be executed via facsimile or electronic transmission and in any number of 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which shall be deemed an original, but all of which together shall constitute one instrument.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1240"/>
          </w:cols>
          <w:pgMar w:left="320" w:top="1393" w:right="339" w:bottom="1440" w:gutter="0" w:footer="0" w:header="0"/>
        </w:sectPr>
      </w:pPr>
    </w:p>
    <w:bookmarkStart w:id="202" w:name="page203"/>
    <w:bookmarkEnd w:id="202"/>
    <w:p>
      <w:pPr>
        <w:spacing w:after="0" w:line="245" w:lineRule="auto"/>
        <w:rPr>
          <w:sz w:val="20"/>
          <w:szCs w:val="20"/>
          <w:color w:val="auto"/>
        </w:rPr>
      </w:pPr>
      <w:r>
        <w:rPr>
          <w:rFonts w:ascii="Arial" w:cs="Arial" w:eastAsia="Arial" w:hAnsi="Arial"/>
          <w:sz w:val="21"/>
          <w:szCs w:val="21"/>
          <w:color w:val="auto"/>
        </w:rPr>
        <w:t>The parties have executed this First Amendment To The Executive Employment Agreement Of Jennifer Lachey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“COMPANY”</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KEROS THERAPEUTICS, INC.</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By: /s/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-5715</wp:posOffset>
            </wp:positionV>
            <wp:extent cx="10223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ind w:left="4520"/>
        <w:spacing w:after="0" w:line="213" w:lineRule="auto"/>
        <w:rPr>
          <w:sz w:val="20"/>
          <w:szCs w:val="20"/>
          <w:color w:val="auto"/>
        </w:rPr>
      </w:pPr>
      <w:r>
        <w:rPr>
          <w:rFonts w:ascii="Arial" w:cs="Arial" w:eastAsia="Arial" w:hAnsi="Arial"/>
          <w:sz w:val="21"/>
          <w:szCs w:val="21"/>
          <w:color w:val="auto"/>
        </w:rPr>
        <w:t>Name: Jasbir Seehra</w:t>
      </w:r>
    </w:p>
    <w:p>
      <w:pPr>
        <w:ind w:left="4520"/>
        <w:spacing w:after="0"/>
        <w:rPr>
          <w:sz w:val="20"/>
          <w:szCs w:val="20"/>
          <w:color w:val="auto"/>
        </w:rPr>
      </w:pPr>
      <w:r>
        <w:rPr>
          <w:rFonts w:ascii="Arial" w:cs="Arial" w:eastAsia="Arial" w:hAnsi="Arial"/>
          <w:sz w:val="21"/>
          <w:szCs w:val="21"/>
          <w:color w:val="auto"/>
        </w:rPr>
        <w:t>Title: President and CEO</w:t>
      </w:r>
    </w:p>
    <w:p>
      <w:pPr>
        <w:spacing w:after="0" w:line="200" w:lineRule="exact"/>
        <w:rPr>
          <w:sz w:val="20"/>
          <w:szCs w:val="20"/>
          <w:color w:val="auto"/>
        </w:rPr>
      </w:pPr>
    </w:p>
    <w:p>
      <w:pPr>
        <w:spacing w:after="0" w:line="380"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“EXECUTIVE”</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JENNIFER LACHEY</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/s/ Jennifer Lachey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3100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1"/>
          <w:szCs w:val="21"/>
          <w:color w:val="auto"/>
        </w:rPr>
        <w:t>Executive Name</w:t>
      </w:r>
    </w:p>
    <w:p>
      <w:pPr>
        <w:sectPr>
          <w:pgSz w:w="11900" w:h="16838" w:orient="portrait"/>
          <w:cols w:equalWidth="0" w:num="1">
            <w:col w:w="11240"/>
          </w:cols>
          <w:pgMar w:left="320" w:top="1393"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1"/>
          <w:szCs w:val="21"/>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THE</w:t>
      </w:r>
    </w:p>
    <w:p>
      <w:pPr>
        <w:jc w:val="center"/>
        <w:spacing w:after="0"/>
        <w:rPr>
          <w:sz w:val="20"/>
          <w:szCs w:val="20"/>
          <w:color w:val="auto"/>
        </w:rPr>
      </w:pPr>
      <w:r>
        <w:rPr>
          <w:rFonts w:ascii="Arial" w:cs="Arial" w:eastAsia="Arial" w:hAnsi="Arial"/>
          <w:sz w:val="21"/>
          <w:szCs w:val="21"/>
          <w:b w:val="1"/>
          <w:bCs w:val="1"/>
          <w:color w:val="auto"/>
        </w:rPr>
        <w:t>EXECUTIVE EMPLOYMENT AGREEMENT OF KEITH REGNANTE</w:t>
      </w:r>
    </w:p>
    <w:p>
      <w:pPr>
        <w:spacing w:after="0" w:line="191" w:lineRule="exact"/>
        <w:rPr>
          <w:sz w:val="20"/>
          <w:szCs w:val="20"/>
          <w:color w:val="auto"/>
        </w:rPr>
      </w:pPr>
    </w:p>
    <w:p>
      <w:pPr>
        <w:jc w:val="both"/>
        <w:ind w:firstLine="644"/>
        <w:spacing w:after="0" w:line="21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First Amendment to the Executive Employment Agreement of Keith Regnante</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is entered into this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January, 2022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Keith Regnante</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xml:space="preserve">”) and </w:t>
      </w:r>
      <w:r>
        <w:rPr>
          <w:rFonts w:ascii="Arial" w:cs="Arial" w:eastAsia="Arial" w:hAnsi="Arial"/>
          <w:sz w:val="21"/>
          <w:szCs w:val="21"/>
          <w:b w:val="1"/>
          <w:bCs w:val="1"/>
          <w:color w:val="auto"/>
        </w:rPr>
        <w:t>Keros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Therapeutics, Inc. </w:t>
      </w:r>
      <w:r>
        <w:rPr>
          <w:rFonts w:ascii="Arial" w:cs="Arial" w:eastAsia="Arial" w:hAnsi="Arial"/>
          <w:sz w:val="21"/>
          <w:szCs w:val="21"/>
          <w:color w:val="auto"/>
        </w:rPr>
        <w:t>(the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94"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21"/>
          <w:szCs w:val="21"/>
          <w:color w:val="auto"/>
        </w:rPr>
        <w:t>A. WHEREAS, Executive was employed as the Chief Financial Officer of the Company on February 24, 2020 pursuant to the terms of a February 7, 2020 offer letter;</w:t>
      </w:r>
    </w:p>
    <w:p>
      <w:pPr>
        <w:spacing w:after="0" w:line="151"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21"/>
          <w:szCs w:val="21"/>
          <w:color w:val="auto"/>
        </w:rPr>
        <w:t>B. WHEREAS, the Company and the Executive have entered into that certain Executive Employment Agreement effective April 13, 2020 (the “</w:t>
      </w:r>
      <w:r>
        <w:rPr>
          <w:rFonts w:ascii="Arial" w:cs="Arial" w:eastAsia="Arial" w:hAnsi="Arial"/>
          <w:sz w:val="21"/>
          <w:szCs w:val="21"/>
          <w:b w:val="1"/>
          <w:bCs w:val="1"/>
          <w:i w:val="1"/>
          <w:iCs w:val="1"/>
          <w:color w:val="auto"/>
        </w:rPr>
        <w:t>Executive Employment Agreement</w:t>
      </w:r>
      <w:r>
        <w:rPr>
          <w:rFonts w:ascii="Arial" w:cs="Arial" w:eastAsia="Arial" w:hAnsi="Arial"/>
          <w:sz w:val="21"/>
          <w:szCs w:val="21"/>
          <w:color w:val="auto"/>
        </w:rPr>
        <w:t>”); and</w:t>
      </w:r>
    </w:p>
    <w:p>
      <w:pPr>
        <w:spacing w:after="0" w:line="151"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21"/>
          <w:szCs w:val="21"/>
          <w:color w:val="auto"/>
        </w:rPr>
        <w:t>C. WHEREAS, in consideration of the mutual agreements contained herein, the Executive and the Company wish to amend the Executive Employment Agreement as provided in this Amendment.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parties agree to the following:</w:t>
      </w:r>
    </w:p>
    <w:p>
      <w:pPr>
        <w:spacing w:after="0" w:line="316" w:lineRule="exact"/>
        <w:rPr>
          <w:sz w:val="20"/>
          <w:szCs w:val="20"/>
          <w:color w:val="auto"/>
        </w:rPr>
      </w:pPr>
    </w:p>
    <w:p>
      <w:pPr>
        <w:ind w:left="440" w:hanging="433"/>
        <w:spacing w:after="0"/>
        <w:tabs>
          <w:tab w:leader="none" w:pos="440" w:val="left"/>
        </w:tabs>
        <w:numPr>
          <w:ilvl w:val="0"/>
          <w:numId w:val="142"/>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to Section 5</w:t>
      </w:r>
      <w:r>
        <w:rPr>
          <w:rFonts w:ascii="Arial" w:cs="Arial" w:eastAsia="Arial" w:hAnsi="Arial"/>
          <w:sz w:val="19"/>
          <w:szCs w:val="19"/>
          <w:color w:val="auto"/>
        </w:rPr>
        <w:t>. Section 5 of the Executive Employment Agreement is hereby replaced in its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entirety</w:t>
      </w:r>
      <w:r>
        <w:rPr>
          <w:rFonts w:ascii="Arial" w:cs="Arial" w:eastAsia="Arial" w:hAnsi="Arial"/>
          <w:sz w:val="19"/>
          <w:szCs w:val="19"/>
          <w:b w:val="1"/>
          <w:bCs w:val="1"/>
          <w:color w:val="auto"/>
        </w:rPr>
        <w:t xml:space="preserve"> </w:t>
      </w:r>
      <w:r>
        <w:rPr>
          <w:rFonts w:ascii="Arial" w:cs="Arial" w:eastAsia="Arial" w:hAnsi="Arial"/>
          <w:sz w:val="19"/>
          <w:szCs w:val="19"/>
          <w:color w:val="auto"/>
        </w:rPr>
        <w:t>as follows:</w:t>
      </w:r>
    </w:p>
    <w:p>
      <w:pPr>
        <w:spacing w:after="0" w:line="216" w:lineRule="exact"/>
        <w:rPr>
          <w:rFonts w:ascii="Arial" w:cs="Arial" w:eastAsia="Arial" w:hAnsi="Arial"/>
          <w:sz w:val="19"/>
          <w:szCs w:val="19"/>
          <w:color w:val="auto"/>
        </w:rPr>
      </w:pPr>
    </w:p>
    <w:p>
      <w:pPr>
        <w:jc w:val="both"/>
        <w:ind w:firstLine="652"/>
        <w:spacing w:after="0" w:line="247" w:lineRule="auto"/>
        <w:tabs>
          <w:tab w:leader="none" w:pos="1087"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Executive will be eligible to accrue a maximum of three (3) weeks paid vacation per year, in accordance with the Company’s vacation policy. On the fifth-year anniversary of Executive’s start date, Executive shall be eligible to accrue a maximum of four (4) weeks paid vacation per year, in accordance with the Company’s vacation policy. Vacation must be used in the calendar year it is accrued or it will be forfeited, subject to one week of such accrued and unused vacation which may carried over to the subsequent year, in accordance with the Company’s vacation policy. Vacation shall be taken subject to the demands of the Company’s business and Executive’s obligations as an employee of the Company with a substantial degree of responsibility.</w:t>
      </w:r>
    </w:p>
    <w:p>
      <w:pPr>
        <w:spacing w:after="0" w:line="174" w:lineRule="exact"/>
        <w:rPr>
          <w:rFonts w:ascii="Arial" w:cs="Arial" w:eastAsia="Arial" w:hAnsi="Arial"/>
          <w:sz w:val="19"/>
          <w:szCs w:val="19"/>
          <w:color w:val="auto"/>
        </w:rPr>
      </w:pPr>
    </w:p>
    <w:p>
      <w:pPr>
        <w:jc w:val="both"/>
        <w:ind w:firstLine="7"/>
        <w:spacing w:after="0" w:line="229" w:lineRule="auto"/>
        <w:tabs>
          <w:tab w:leader="none" w:pos="456" w:val="left"/>
        </w:tabs>
        <w:numPr>
          <w:ilvl w:val="0"/>
          <w:numId w:val="142"/>
        </w:numPr>
        <w:rPr>
          <w:rFonts w:ascii="Arial" w:cs="Arial" w:eastAsia="Arial" w:hAnsi="Arial"/>
          <w:sz w:val="21"/>
          <w:szCs w:val="21"/>
          <w:color w:val="auto"/>
        </w:rPr>
      </w:pPr>
      <w:r>
        <w:rPr>
          <w:rFonts w:ascii="Arial" w:cs="Arial" w:eastAsia="Arial" w:hAnsi="Arial"/>
          <w:sz w:val="21"/>
          <w:szCs w:val="21"/>
          <w:b w:val="1"/>
          <w:bCs w:val="1"/>
          <w:u w:val="single" w:color="auto"/>
          <w:color w:val="auto"/>
        </w:rPr>
        <w:t>Not Grounds for Good Reason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the Executive further agree that this Amendment does not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grounds for “Good Reason” pursuant to Sections 9 and 11(d) of the Executive Employment Agreement, or otherwise constitute any trigger for the Company’s payment of any severance benefits to Executive pursuant to Section 9 of the Executive Employment Agreement.</w:t>
      </w:r>
    </w:p>
    <w:p>
      <w:pPr>
        <w:spacing w:after="0" w:line="178" w:lineRule="exact"/>
        <w:rPr>
          <w:rFonts w:ascii="Arial" w:cs="Arial" w:eastAsia="Arial" w:hAnsi="Arial"/>
          <w:sz w:val="21"/>
          <w:szCs w:val="21"/>
          <w:color w:val="auto"/>
        </w:rPr>
      </w:pPr>
    </w:p>
    <w:p>
      <w:pPr>
        <w:jc w:val="both"/>
        <w:ind w:firstLine="7"/>
        <w:spacing w:after="0" w:line="229" w:lineRule="auto"/>
        <w:tabs>
          <w:tab w:leader="none" w:pos="376" w:val="left"/>
        </w:tabs>
        <w:numPr>
          <w:ilvl w:val="0"/>
          <w:numId w:val="142"/>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will continue to abide by Company rules and policies. Executive acknowledges and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to comply with the Employee Confidential Information and Invention Assignment Agreement, which Executive signed on March 31, 2020 and which prohibits unauthorized use or disclosure of the Company’s proprietary information, among other obligations.</w:t>
      </w:r>
    </w:p>
    <w:p>
      <w:pPr>
        <w:spacing w:after="0" w:line="178" w:lineRule="exact"/>
        <w:rPr>
          <w:rFonts w:ascii="Arial" w:cs="Arial" w:eastAsia="Arial" w:hAnsi="Arial"/>
          <w:sz w:val="21"/>
          <w:szCs w:val="21"/>
          <w:color w:val="auto"/>
        </w:rPr>
      </w:pPr>
    </w:p>
    <w:p>
      <w:pPr>
        <w:jc w:val="both"/>
        <w:ind w:right="20" w:firstLine="7"/>
        <w:spacing w:after="0" w:line="229" w:lineRule="auto"/>
        <w:tabs>
          <w:tab w:leader="none" w:pos="443" w:val="left"/>
        </w:tabs>
        <w:numPr>
          <w:ilvl w:val="0"/>
          <w:numId w:val="1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Other Amendments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modified or amended in this Amendment, no other term or provision of the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Agreement is amended or modified in any respect. The Executive Employment Agreement, and its exhibits, along with this Amendment, set forth the entire understanding between the parties with regard to the subject matter hereof and supersedes any prior oral discussions or written communications and agreements. This</w:t>
      </w:r>
    </w:p>
    <w:p>
      <w:pPr>
        <w:sectPr>
          <w:pgSz w:w="11900" w:h="16838" w:orient="portrait"/>
          <w:cols w:equalWidth="0" w:num="1">
            <w:col w:w="11240"/>
          </w:cols>
          <w:pgMar w:left="320" w:top="100" w:right="339" w:bottom="1440" w:gutter="0" w:footer="0" w:header="0"/>
        </w:sectPr>
      </w:pPr>
    </w:p>
    <w:bookmarkStart w:id="204" w:name="page205"/>
    <w:bookmarkEnd w:id="204"/>
    <w:p>
      <w:pPr>
        <w:spacing w:after="0"/>
        <w:rPr>
          <w:sz w:val="20"/>
          <w:szCs w:val="20"/>
          <w:color w:val="auto"/>
        </w:rPr>
      </w:pPr>
      <w:r>
        <w:rPr>
          <w:rFonts w:ascii="Arial" w:cs="Arial" w:eastAsia="Arial" w:hAnsi="Arial"/>
          <w:sz w:val="19"/>
          <w:szCs w:val="19"/>
          <w:color w:val="auto"/>
        </w:rPr>
        <w:t>Amendment cannot be modified or amended except in writing signed by the Executive and an authorized officer of the Company.</w:t>
      </w:r>
    </w:p>
    <w:p>
      <w:pPr>
        <w:spacing w:after="0" w:line="232" w:lineRule="exact"/>
        <w:rPr>
          <w:sz w:val="20"/>
          <w:szCs w:val="20"/>
          <w:color w:val="auto"/>
        </w:rPr>
      </w:pPr>
    </w:p>
    <w:p>
      <w:pPr>
        <w:ind w:firstLine="7"/>
        <w:spacing w:after="0" w:line="251" w:lineRule="auto"/>
        <w:tabs>
          <w:tab w:leader="none" w:pos="389"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Amendment shall be governed by the laws of the Commonwealth of Massachusetts, without regard to</w:t>
      </w:r>
      <w:r>
        <w:rPr>
          <w:rFonts w:ascii="Arial" w:cs="Arial" w:eastAsia="Arial" w:hAnsi="Arial"/>
          <w:sz w:val="21"/>
          <w:szCs w:val="21"/>
          <w:b w:val="1"/>
          <w:bCs w:val="1"/>
          <w:color w:val="auto"/>
        </w:rPr>
        <w:t xml:space="preserve"> </w:t>
      </w:r>
      <w:r>
        <w:rPr>
          <w:rFonts w:ascii="Arial" w:cs="Arial" w:eastAsia="Arial" w:hAnsi="Arial"/>
          <w:sz w:val="21"/>
          <w:szCs w:val="21"/>
          <w:color w:val="auto"/>
        </w:rPr>
        <w:t>any conflicts of law principals thereof that would call for the application of the laws of any other jurisdiction.</w:t>
      </w:r>
    </w:p>
    <w:p>
      <w:pPr>
        <w:spacing w:after="0" w:line="165" w:lineRule="exact"/>
        <w:rPr>
          <w:rFonts w:ascii="Arial" w:cs="Arial" w:eastAsia="Arial" w:hAnsi="Arial"/>
          <w:sz w:val="21"/>
          <w:szCs w:val="21"/>
          <w:color w:val="auto"/>
        </w:rPr>
      </w:pPr>
    </w:p>
    <w:p>
      <w:pPr>
        <w:ind w:firstLine="7"/>
        <w:spacing w:after="0" w:line="251" w:lineRule="auto"/>
        <w:tabs>
          <w:tab w:leader="none" w:pos="376" w:val="left"/>
        </w:tabs>
        <w:numPr>
          <w:ilvl w:val="0"/>
          <w:numId w:val="143"/>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Amendment may be executed via facsimile or electronic transmission and in any number of 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which shall be deemed an original, but all of which together shall constitute one instrument.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1240"/>
          </w:cols>
          <w:pgMar w:left="320" w:top="1393" w:right="339" w:bottom="1440" w:gutter="0" w:footer="0" w:header="0"/>
        </w:sectPr>
      </w:pPr>
    </w:p>
    <w:bookmarkStart w:id="205" w:name="page206"/>
    <w:bookmarkEnd w:id="205"/>
    <w:p>
      <w:pPr>
        <w:spacing w:after="0" w:line="245" w:lineRule="auto"/>
        <w:rPr>
          <w:sz w:val="20"/>
          <w:szCs w:val="20"/>
          <w:color w:val="auto"/>
        </w:rPr>
      </w:pPr>
      <w:r>
        <w:rPr>
          <w:rFonts w:ascii="Arial" w:cs="Arial" w:eastAsia="Arial" w:hAnsi="Arial"/>
          <w:sz w:val="21"/>
          <w:szCs w:val="21"/>
          <w:color w:val="auto"/>
        </w:rPr>
        <w:t>The parties have executed this First Amendment To The Executive Employment Agreement Of Keith Regnante on the day and year first written above.</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“COMPANY”</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KEROS THERAPEUTICS, INC.</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By: /s/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-5715</wp:posOffset>
            </wp:positionV>
            <wp:extent cx="10223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ind w:left="4520"/>
        <w:spacing w:after="0" w:line="213" w:lineRule="auto"/>
        <w:rPr>
          <w:sz w:val="20"/>
          <w:szCs w:val="20"/>
          <w:color w:val="auto"/>
        </w:rPr>
      </w:pPr>
      <w:r>
        <w:rPr>
          <w:rFonts w:ascii="Arial" w:cs="Arial" w:eastAsia="Arial" w:hAnsi="Arial"/>
          <w:sz w:val="21"/>
          <w:szCs w:val="21"/>
          <w:color w:val="auto"/>
        </w:rPr>
        <w:t>Name: Jasbir Seehra</w:t>
      </w:r>
    </w:p>
    <w:p>
      <w:pPr>
        <w:ind w:left="4520"/>
        <w:spacing w:after="0"/>
        <w:rPr>
          <w:sz w:val="20"/>
          <w:szCs w:val="20"/>
          <w:color w:val="auto"/>
        </w:rPr>
      </w:pPr>
      <w:r>
        <w:rPr>
          <w:rFonts w:ascii="Arial" w:cs="Arial" w:eastAsia="Arial" w:hAnsi="Arial"/>
          <w:sz w:val="21"/>
          <w:szCs w:val="21"/>
          <w:color w:val="auto"/>
        </w:rPr>
        <w:t>Title: President and CEO</w:t>
      </w:r>
    </w:p>
    <w:p>
      <w:pPr>
        <w:spacing w:after="0" w:line="200" w:lineRule="exact"/>
        <w:rPr>
          <w:sz w:val="20"/>
          <w:szCs w:val="20"/>
          <w:color w:val="auto"/>
        </w:rPr>
      </w:pPr>
    </w:p>
    <w:p>
      <w:pPr>
        <w:spacing w:after="0" w:line="232"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“EXECUTIVE”</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KEITH REGNANTE</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/s/ Keith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2877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1"/>
          <w:szCs w:val="21"/>
          <w:color w:val="auto"/>
        </w:rPr>
        <w:t>Executive Name</w:t>
      </w:r>
    </w:p>
    <w:p>
      <w:pPr>
        <w:sectPr>
          <w:pgSz w:w="11900" w:h="16838" w:orient="portrait"/>
          <w:cols w:equalWidth="0" w:num="1">
            <w:col w:w="11240"/>
          </w:cols>
          <w:pgMar w:left="320" w:top="1393"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1"/>
          <w:szCs w:val="21"/>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THE</w:t>
      </w:r>
    </w:p>
    <w:p>
      <w:pPr>
        <w:jc w:val="center"/>
        <w:spacing w:after="0"/>
        <w:rPr>
          <w:sz w:val="20"/>
          <w:szCs w:val="20"/>
          <w:color w:val="auto"/>
        </w:rPr>
      </w:pPr>
      <w:r>
        <w:rPr>
          <w:rFonts w:ascii="Arial" w:cs="Arial" w:eastAsia="Arial" w:hAnsi="Arial"/>
          <w:sz w:val="21"/>
          <w:szCs w:val="21"/>
          <w:b w:val="1"/>
          <w:bCs w:val="1"/>
          <w:color w:val="auto"/>
        </w:rPr>
        <w:t>EXECUTIVE EMPLOYMENT AGREEMENT OF SIMON COOPER</w:t>
      </w:r>
    </w:p>
    <w:p>
      <w:pPr>
        <w:spacing w:after="0" w:line="191" w:lineRule="exact"/>
        <w:rPr>
          <w:sz w:val="20"/>
          <w:szCs w:val="20"/>
          <w:color w:val="auto"/>
        </w:rPr>
      </w:pPr>
    </w:p>
    <w:p>
      <w:pPr>
        <w:jc w:val="both"/>
        <w:ind w:firstLine="644"/>
        <w:spacing w:after="0" w:line="21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First Amendment to the Executive Employment Agreement of Simon Cooper</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is entered into this 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January, 2022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xml:space="preserve">”), by and between </w:t>
      </w:r>
      <w:r>
        <w:rPr>
          <w:rFonts w:ascii="Arial" w:cs="Arial" w:eastAsia="Arial" w:hAnsi="Arial"/>
          <w:sz w:val="21"/>
          <w:szCs w:val="21"/>
          <w:b w:val="1"/>
          <w:bCs w:val="1"/>
          <w:color w:val="auto"/>
        </w:rPr>
        <w:t>Simon Cooper</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xml:space="preserve">”) and </w:t>
      </w:r>
      <w:r>
        <w:rPr>
          <w:rFonts w:ascii="Arial" w:cs="Arial" w:eastAsia="Arial" w:hAnsi="Arial"/>
          <w:sz w:val="21"/>
          <w:szCs w:val="21"/>
          <w:b w:val="1"/>
          <w:bCs w:val="1"/>
          <w:color w:val="auto"/>
        </w:rPr>
        <w:t>Keros Therapeutics,</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Inc. </w:t>
      </w:r>
      <w:r>
        <w:rPr>
          <w:rFonts w:ascii="Arial" w:cs="Arial" w:eastAsia="Arial" w:hAnsi="Arial"/>
          <w:sz w:val="21"/>
          <w:szCs w:val="21"/>
          <w:color w:val="auto"/>
        </w:rPr>
        <w:t>(the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194" w:lineRule="exact"/>
        <w:rPr>
          <w:sz w:val="20"/>
          <w:szCs w:val="20"/>
          <w:color w:val="auto"/>
        </w:rPr>
      </w:pPr>
    </w:p>
    <w:p>
      <w:pPr>
        <w:jc w:val="both"/>
        <w:ind w:firstLine="644"/>
        <w:spacing w:after="0" w:line="245" w:lineRule="auto"/>
        <w:rPr>
          <w:sz w:val="20"/>
          <w:szCs w:val="20"/>
          <w:color w:val="auto"/>
        </w:rPr>
      </w:pPr>
      <w:r>
        <w:rPr>
          <w:rFonts w:ascii="Arial" w:cs="Arial" w:eastAsia="Arial" w:hAnsi="Arial"/>
          <w:sz w:val="21"/>
          <w:szCs w:val="21"/>
          <w:color w:val="auto"/>
        </w:rPr>
        <w:t>A. WHEREAS, the Company and the Executive have entered into that certain Executive Employment Agreement effective August 2, 2021 (the “</w:t>
      </w:r>
      <w:r>
        <w:rPr>
          <w:rFonts w:ascii="Arial" w:cs="Arial" w:eastAsia="Arial" w:hAnsi="Arial"/>
          <w:sz w:val="21"/>
          <w:szCs w:val="21"/>
          <w:b w:val="1"/>
          <w:bCs w:val="1"/>
          <w:i w:val="1"/>
          <w:iCs w:val="1"/>
          <w:color w:val="auto"/>
        </w:rPr>
        <w:t>Executive Employment Agreement</w:t>
      </w:r>
      <w:r>
        <w:rPr>
          <w:rFonts w:ascii="Arial" w:cs="Arial" w:eastAsia="Arial" w:hAnsi="Arial"/>
          <w:sz w:val="21"/>
          <w:szCs w:val="21"/>
          <w:color w:val="auto"/>
        </w:rPr>
        <w:t>”); and</w:t>
      </w:r>
    </w:p>
    <w:p>
      <w:pPr>
        <w:spacing w:after="0" w:line="151" w:lineRule="exact"/>
        <w:rPr>
          <w:sz w:val="20"/>
          <w:szCs w:val="20"/>
          <w:color w:val="auto"/>
        </w:rPr>
      </w:pPr>
    </w:p>
    <w:p>
      <w:pPr>
        <w:jc w:val="both"/>
        <w:ind w:right="20" w:firstLine="644"/>
        <w:spacing w:after="0" w:line="245" w:lineRule="auto"/>
        <w:rPr>
          <w:sz w:val="20"/>
          <w:szCs w:val="20"/>
          <w:color w:val="auto"/>
        </w:rPr>
      </w:pPr>
      <w:r>
        <w:rPr>
          <w:rFonts w:ascii="Arial" w:cs="Arial" w:eastAsia="Arial" w:hAnsi="Arial"/>
          <w:sz w:val="21"/>
          <w:szCs w:val="21"/>
          <w:color w:val="auto"/>
        </w:rPr>
        <w:t>B. WHEREAS, in consideration of the mutual agreements contained herein, the Executive and the Company wish to amend the Executive Employment Agreement as provided in this Amendment.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parties agree to the following:</w:t>
      </w:r>
    </w:p>
    <w:p>
      <w:pPr>
        <w:spacing w:after="0" w:line="316" w:lineRule="exact"/>
        <w:rPr>
          <w:sz w:val="20"/>
          <w:szCs w:val="20"/>
          <w:color w:val="auto"/>
        </w:rPr>
      </w:pPr>
    </w:p>
    <w:p>
      <w:pPr>
        <w:ind w:left="440" w:hanging="433"/>
        <w:spacing w:after="0"/>
        <w:tabs>
          <w:tab w:leader="none" w:pos="440" w:val="left"/>
        </w:tabs>
        <w:numPr>
          <w:ilvl w:val="0"/>
          <w:numId w:val="144"/>
        </w:numPr>
        <w:rPr>
          <w:rFonts w:ascii="Arial" w:cs="Arial" w:eastAsia="Arial" w:hAnsi="Arial"/>
          <w:sz w:val="19"/>
          <w:szCs w:val="19"/>
          <w:color w:val="auto"/>
        </w:rPr>
      </w:pPr>
      <w:r>
        <w:rPr>
          <w:rFonts w:ascii="Arial" w:cs="Arial" w:eastAsia="Arial" w:hAnsi="Arial"/>
          <w:sz w:val="19"/>
          <w:szCs w:val="19"/>
          <w:b w:val="1"/>
          <w:bCs w:val="1"/>
          <w:u w:val="single" w:color="auto"/>
          <w:color w:val="auto"/>
        </w:rPr>
        <w:t>Amendment to Section 5</w:t>
      </w:r>
      <w:r>
        <w:rPr>
          <w:rFonts w:ascii="Arial" w:cs="Arial" w:eastAsia="Arial" w:hAnsi="Arial"/>
          <w:sz w:val="19"/>
          <w:szCs w:val="19"/>
          <w:color w:val="auto"/>
        </w:rPr>
        <w:t>. Section 5 of the Executive Employment Agreement is hereby replaced in its</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entirety</w:t>
      </w:r>
      <w:r>
        <w:rPr>
          <w:rFonts w:ascii="Arial" w:cs="Arial" w:eastAsia="Arial" w:hAnsi="Arial"/>
          <w:sz w:val="19"/>
          <w:szCs w:val="19"/>
          <w:b w:val="1"/>
          <w:bCs w:val="1"/>
          <w:color w:val="auto"/>
        </w:rPr>
        <w:t xml:space="preserve"> </w:t>
      </w:r>
      <w:r>
        <w:rPr>
          <w:rFonts w:ascii="Arial" w:cs="Arial" w:eastAsia="Arial" w:hAnsi="Arial"/>
          <w:sz w:val="19"/>
          <w:szCs w:val="19"/>
          <w:color w:val="auto"/>
        </w:rPr>
        <w:t>as follows:</w:t>
      </w:r>
    </w:p>
    <w:p>
      <w:pPr>
        <w:spacing w:after="0" w:line="216" w:lineRule="exact"/>
        <w:rPr>
          <w:rFonts w:ascii="Arial" w:cs="Arial" w:eastAsia="Arial" w:hAnsi="Arial"/>
          <w:sz w:val="19"/>
          <w:szCs w:val="19"/>
          <w:color w:val="auto"/>
        </w:rPr>
      </w:pPr>
    </w:p>
    <w:p>
      <w:pPr>
        <w:jc w:val="both"/>
        <w:ind w:firstLine="652"/>
        <w:spacing w:after="0" w:line="247" w:lineRule="auto"/>
        <w:tabs>
          <w:tab w:leader="none" w:pos="1087"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Executive will be eligible to accrue a maximum of three (3) weeks paid vacation per year, in accordance with the Company’s vacation policy. On the fifth-year anniversary of Executive’s start date, Executive shall be eligible to accrue a maximum of four (4) weeks paid vacation per year, in accordance with the Company’s vacation policy. Vacation must be used in the calendar year it is accrued or it will be forfeited, subject to one week of such accrued and unused vacation which may carried over to the subsequent year, in accordance with the Company’s vacation policy. Vacation shall be taken subject to the demands of the Company’s business and Executive’s obligations as an employee of the Company with a substantial degree of responsibility.</w:t>
      </w:r>
    </w:p>
    <w:p>
      <w:pPr>
        <w:spacing w:after="0" w:line="174" w:lineRule="exact"/>
        <w:rPr>
          <w:rFonts w:ascii="Arial" w:cs="Arial" w:eastAsia="Arial" w:hAnsi="Arial"/>
          <w:sz w:val="19"/>
          <w:szCs w:val="19"/>
          <w:color w:val="auto"/>
        </w:rPr>
      </w:pPr>
    </w:p>
    <w:p>
      <w:pPr>
        <w:jc w:val="both"/>
        <w:ind w:firstLine="7"/>
        <w:spacing w:after="0" w:line="229" w:lineRule="auto"/>
        <w:tabs>
          <w:tab w:leader="none" w:pos="456" w:val="left"/>
        </w:tabs>
        <w:numPr>
          <w:ilvl w:val="0"/>
          <w:numId w:val="144"/>
        </w:numPr>
        <w:rPr>
          <w:rFonts w:ascii="Arial" w:cs="Arial" w:eastAsia="Arial" w:hAnsi="Arial"/>
          <w:sz w:val="21"/>
          <w:szCs w:val="21"/>
          <w:color w:val="auto"/>
        </w:rPr>
      </w:pPr>
      <w:r>
        <w:rPr>
          <w:rFonts w:ascii="Arial" w:cs="Arial" w:eastAsia="Arial" w:hAnsi="Arial"/>
          <w:sz w:val="21"/>
          <w:szCs w:val="21"/>
          <w:b w:val="1"/>
          <w:bCs w:val="1"/>
          <w:u w:val="single" w:color="auto"/>
          <w:color w:val="auto"/>
        </w:rPr>
        <w:t>Not Grounds for Good Reason</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the Executive further agree that this Amendment does not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grounds for “Good Reason” pursuant to Sections 9 and 11(d) of the Executive Employment Agreement, or otherwise constitute any trigger for the Company’s payment of any severance benefits to Executive pursuant to Section 9 of the Executive Employment Agreement.</w:t>
      </w:r>
    </w:p>
    <w:p>
      <w:pPr>
        <w:spacing w:after="0" w:line="178" w:lineRule="exact"/>
        <w:rPr>
          <w:rFonts w:ascii="Arial" w:cs="Arial" w:eastAsia="Arial" w:hAnsi="Arial"/>
          <w:sz w:val="21"/>
          <w:szCs w:val="21"/>
          <w:color w:val="auto"/>
        </w:rPr>
      </w:pPr>
    </w:p>
    <w:p>
      <w:pPr>
        <w:jc w:val="both"/>
        <w:ind w:firstLine="7"/>
        <w:spacing w:after="0" w:line="229" w:lineRule="auto"/>
        <w:tabs>
          <w:tab w:leader="none" w:pos="376" w:val="left"/>
        </w:tabs>
        <w:numPr>
          <w:ilvl w:val="0"/>
          <w:numId w:val="144"/>
        </w:numPr>
        <w:rPr>
          <w:rFonts w:ascii="Arial" w:cs="Arial" w:eastAsia="Arial" w:hAnsi="Arial"/>
          <w:sz w:val="21"/>
          <w:szCs w:val="2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will continue to abide by Company rules and policies. Executive acknowledges and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continue to comply with the Employee Confidential Information and Invention Assignment Agreement, which Executive signed on August 2, 2021 and which prohibits unauthorized use or disclosure of the Company’s proprietary information, among other obligations.</w:t>
      </w:r>
    </w:p>
    <w:p>
      <w:pPr>
        <w:spacing w:after="0" w:line="178" w:lineRule="exact"/>
        <w:rPr>
          <w:rFonts w:ascii="Arial" w:cs="Arial" w:eastAsia="Arial" w:hAnsi="Arial"/>
          <w:sz w:val="21"/>
          <w:szCs w:val="21"/>
          <w:color w:val="auto"/>
        </w:rPr>
      </w:pPr>
    </w:p>
    <w:p>
      <w:pPr>
        <w:jc w:val="both"/>
        <w:ind w:right="20" w:firstLine="7"/>
        <w:spacing w:after="0" w:line="226" w:lineRule="auto"/>
        <w:tabs>
          <w:tab w:leader="none" w:pos="443" w:val="left"/>
        </w:tabs>
        <w:numPr>
          <w:ilvl w:val="0"/>
          <w:numId w:val="144"/>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Amendments</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modified or amended in this Amendment, no other term or provision of the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Agreement is amended or modified in any respect. The Executive Employment Agreement, and its exhibits, along with this Amendment, set forth the entire understanding between the parties with regard to the subject matter hereof and supersedes any prior oral discussions or written communications and agreements. This Amendment cannot be modified or amended except in writing signed by the Executive and an authorized officer of the Company.</w:t>
      </w:r>
    </w:p>
    <w:p>
      <w:pPr>
        <w:sectPr>
          <w:pgSz w:w="11900" w:h="16838" w:orient="portrait"/>
          <w:cols w:equalWidth="0" w:num="1">
            <w:col w:w="11240"/>
          </w:cols>
          <w:pgMar w:left="320" w:top="340" w:right="339" w:bottom="1440" w:gutter="0" w:footer="0" w:header="0"/>
        </w:sectPr>
      </w:pPr>
    </w:p>
    <w:bookmarkStart w:id="207" w:name="page208"/>
    <w:bookmarkEnd w:id="207"/>
    <w:p>
      <w:pPr>
        <w:ind w:firstLine="7"/>
        <w:spacing w:after="0" w:line="251" w:lineRule="auto"/>
        <w:tabs>
          <w:tab w:leader="none" w:pos="389" w:val="left"/>
        </w:tabs>
        <w:numPr>
          <w:ilvl w:val="0"/>
          <w:numId w:val="145"/>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Amendment shall be governed by the laws of the Commonwealth of Massachusetts, without regard to</w:t>
      </w:r>
      <w:r>
        <w:rPr>
          <w:rFonts w:ascii="Arial" w:cs="Arial" w:eastAsia="Arial" w:hAnsi="Arial"/>
          <w:sz w:val="21"/>
          <w:szCs w:val="21"/>
          <w:b w:val="1"/>
          <w:bCs w:val="1"/>
          <w:color w:val="auto"/>
        </w:rPr>
        <w:t xml:space="preserve"> </w:t>
      </w:r>
      <w:r>
        <w:rPr>
          <w:rFonts w:ascii="Arial" w:cs="Arial" w:eastAsia="Arial" w:hAnsi="Arial"/>
          <w:sz w:val="21"/>
          <w:szCs w:val="21"/>
          <w:color w:val="auto"/>
        </w:rPr>
        <w:t>any conflicts of law principals thereof that would call for the application of the laws of any other jurisdiction.</w:t>
      </w:r>
    </w:p>
    <w:p>
      <w:pPr>
        <w:spacing w:after="0" w:line="165" w:lineRule="exact"/>
        <w:rPr>
          <w:rFonts w:ascii="Arial" w:cs="Arial" w:eastAsia="Arial" w:hAnsi="Arial"/>
          <w:sz w:val="21"/>
          <w:szCs w:val="21"/>
          <w:color w:val="auto"/>
        </w:rPr>
      </w:pPr>
    </w:p>
    <w:p>
      <w:pPr>
        <w:ind w:firstLine="7"/>
        <w:spacing w:after="0" w:line="251" w:lineRule="auto"/>
        <w:tabs>
          <w:tab w:leader="none" w:pos="376" w:val="left"/>
        </w:tabs>
        <w:numPr>
          <w:ilvl w:val="0"/>
          <w:numId w:val="145"/>
        </w:numPr>
        <w:rPr>
          <w:rFonts w:ascii="Arial" w:cs="Arial" w:eastAsia="Arial" w:hAnsi="Arial"/>
          <w:sz w:val="21"/>
          <w:szCs w:val="2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Amendment may be executed via facsimile or electronic transmission and in any number of 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each of which shall be deemed an original, but all of which together shall constitute one instrument.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ectPr>
          <w:pgSz w:w="11900" w:h="16838" w:orient="portrait"/>
          <w:cols w:equalWidth="0" w:num="1">
            <w:col w:w="11240"/>
          </w:cols>
          <w:pgMar w:left="320" w:top="1387" w:right="339" w:bottom="1440" w:gutter="0" w:footer="0" w:header="0"/>
        </w:sectPr>
      </w:pPr>
    </w:p>
    <w:bookmarkStart w:id="208" w:name="page209"/>
    <w:bookmarkEnd w:id="208"/>
    <w:p>
      <w:pPr>
        <w:spacing w:after="0" w:line="195"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The parties have executed this First Amendment To The Executive Employment Agreement Of Simon Cooper on the day and year first written above.</w:t>
      </w:r>
    </w:p>
    <w:p>
      <w:pPr>
        <w:spacing w:after="0" w:line="387"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“COMPANY”</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KEROS THERAPEUTICS, INC.</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By: /s/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-5715</wp:posOffset>
            </wp:positionV>
            <wp:extent cx="11588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1158875" cy="8255"/>
                    </a:xfrm>
                    <a:prstGeom prst="rect">
                      <a:avLst/>
                    </a:prstGeom>
                    <a:noFill/>
                  </pic:spPr>
                </pic:pic>
              </a:graphicData>
            </a:graphic>
          </wp:anchor>
        </w:drawing>
      </w:r>
    </w:p>
    <w:p>
      <w:pPr>
        <w:ind w:left="4520"/>
        <w:spacing w:after="0" w:line="213" w:lineRule="auto"/>
        <w:rPr>
          <w:sz w:val="20"/>
          <w:szCs w:val="20"/>
          <w:color w:val="auto"/>
        </w:rPr>
      </w:pPr>
      <w:r>
        <w:rPr>
          <w:rFonts w:ascii="Arial" w:cs="Arial" w:eastAsia="Arial" w:hAnsi="Arial"/>
          <w:sz w:val="21"/>
          <w:szCs w:val="21"/>
          <w:color w:val="auto"/>
        </w:rPr>
        <w:t>Name: Jasbir Seehra</w:t>
      </w:r>
    </w:p>
    <w:p>
      <w:pPr>
        <w:ind w:left="4520"/>
        <w:spacing w:after="0"/>
        <w:rPr>
          <w:sz w:val="20"/>
          <w:szCs w:val="20"/>
          <w:color w:val="auto"/>
        </w:rPr>
      </w:pPr>
      <w:r>
        <w:rPr>
          <w:rFonts w:ascii="Arial" w:cs="Arial" w:eastAsia="Arial" w:hAnsi="Arial"/>
          <w:sz w:val="21"/>
          <w:szCs w:val="21"/>
          <w:color w:val="auto"/>
        </w:rPr>
        <w:t>Title: President and CEO</w:t>
      </w:r>
    </w:p>
    <w:p>
      <w:pPr>
        <w:spacing w:after="0" w:line="200" w:lineRule="exact"/>
        <w:rPr>
          <w:sz w:val="20"/>
          <w:szCs w:val="20"/>
          <w:color w:val="auto"/>
        </w:rPr>
      </w:pPr>
    </w:p>
    <w:p>
      <w:pPr>
        <w:spacing w:after="0" w:line="380"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“EXECUTIVE”</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1"/>
          <w:szCs w:val="21"/>
          <w:b w:val="1"/>
          <w:bCs w:val="1"/>
          <w:color w:val="auto"/>
        </w:rPr>
        <w:t>SIMON COOPER</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/s/ Simon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12274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1"/>
          <w:szCs w:val="21"/>
          <w:color w:val="auto"/>
        </w:rPr>
        <w:t>Executive Name</w:t>
      </w:r>
    </w:p>
    <w:p>
      <w:pPr>
        <w:sectPr>
          <w:pgSz w:w="11900" w:h="16838" w:orient="portrait"/>
          <w:cols w:equalWidth="0" w:num="1">
            <w:col w:w="11240"/>
          </w:cols>
          <w:pgMar w:left="320" w:top="1440"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6"/>
          <w:szCs w:val="16"/>
          <w:b w:val="1"/>
          <w:bCs w:val="1"/>
          <w:color w:val="auto"/>
        </w:rPr>
        <w:t>Exhibit 21.1</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640" w:type="dxa"/>
            <w:vAlign w:val="bottom"/>
            <w:gridSpan w:val="3"/>
          </w:tcPr>
          <w:p>
            <w:pPr>
              <w:ind w:left="880"/>
              <w:spacing w:after="0"/>
              <w:rPr>
                <w:sz w:val="20"/>
                <w:szCs w:val="20"/>
                <w:color w:val="auto"/>
              </w:rPr>
            </w:pPr>
            <w:r>
              <w:rPr>
                <w:rFonts w:ascii="Arial" w:cs="Arial" w:eastAsia="Arial" w:hAnsi="Arial"/>
                <w:sz w:val="16"/>
                <w:szCs w:val="16"/>
                <w:b w:val="1"/>
                <w:bCs w:val="1"/>
                <w:color w:val="auto"/>
                <w:w w:val="89"/>
              </w:rPr>
              <w:t>Subsidiaries of Keros Therapeutics, Inc.</w:t>
            </w:r>
          </w:p>
        </w:tc>
      </w:tr>
      <w:tr>
        <w:trPr>
          <w:trHeight w:val="422"/>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Name of Subsidiary</w:t>
            </w:r>
          </w:p>
        </w:tc>
        <w:tc>
          <w:tcPr>
            <w:tcW w:w="166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w w:val="92"/>
              </w:rPr>
              <w:t>Jurisdiction of Organization</w:t>
            </w:r>
          </w:p>
        </w:tc>
      </w:tr>
      <w:tr>
        <w:trPr>
          <w:trHeight w:val="20"/>
        </w:trPr>
        <w:tc>
          <w:tcPr>
            <w:tcW w:w="1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3340" w:type="dxa"/>
            <w:vAlign w:val="bottom"/>
            <w:gridSpan w:val="2"/>
          </w:tcPr>
          <w:p>
            <w:pPr>
              <w:spacing w:after="0"/>
              <w:rPr>
                <w:sz w:val="20"/>
                <w:szCs w:val="20"/>
                <w:color w:val="auto"/>
              </w:rPr>
            </w:pPr>
            <w:r>
              <w:rPr>
                <w:rFonts w:ascii="Arial" w:cs="Arial" w:eastAsia="Arial" w:hAnsi="Arial"/>
                <w:sz w:val="16"/>
                <w:szCs w:val="16"/>
                <w:color w:val="auto"/>
              </w:rPr>
              <w:t>Keros Therapeutics Australia, Pty Ltd</w:t>
            </w:r>
          </w:p>
        </w:tc>
        <w:tc>
          <w:tcPr>
            <w:tcW w:w="1660" w:type="dxa"/>
            <w:vAlign w:val="bottom"/>
          </w:tcPr>
          <w:p>
            <w:pPr>
              <w:spacing w:after="0"/>
              <w:rPr>
                <w:sz w:val="23"/>
                <w:szCs w:val="23"/>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Australia</w:t>
            </w:r>
          </w:p>
        </w:tc>
      </w:tr>
      <w:tr>
        <w:trPr>
          <w:trHeight w:val="255"/>
        </w:trPr>
        <w:tc>
          <w:tcPr>
            <w:tcW w:w="3340" w:type="dxa"/>
            <w:vAlign w:val="bottom"/>
            <w:gridSpan w:val="2"/>
          </w:tcPr>
          <w:p>
            <w:pPr>
              <w:spacing w:after="0"/>
              <w:rPr>
                <w:sz w:val="20"/>
                <w:szCs w:val="20"/>
                <w:color w:val="auto"/>
              </w:rPr>
            </w:pPr>
            <w:r>
              <w:rPr>
                <w:rFonts w:ascii="Arial" w:cs="Arial" w:eastAsia="Arial" w:hAnsi="Arial"/>
                <w:sz w:val="16"/>
                <w:szCs w:val="16"/>
                <w:color w:val="auto"/>
              </w:rPr>
              <w:t>Keros Security Corporation</w:t>
            </w:r>
          </w:p>
        </w:tc>
        <w:tc>
          <w:tcPr>
            <w:tcW w:w="1660" w:type="dxa"/>
            <w:vAlign w:val="bottom"/>
          </w:tcPr>
          <w:p>
            <w:pPr>
              <w:spacing w:after="0"/>
              <w:rPr>
                <w:sz w:val="22"/>
                <w:szCs w:val="22"/>
                <w:color w:val="auto"/>
              </w:rPr>
            </w:pPr>
          </w:p>
        </w:tc>
        <w:tc>
          <w:tcPr>
            <w:tcW w:w="1980" w:type="dxa"/>
            <w:vAlign w:val="bottom"/>
            <w:gridSpan w:val="2"/>
          </w:tcPr>
          <w:p>
            <w:pPr>
              <w:spacing w:after="0"/>
              <w:rPr>
                <w:sz w:val="20"/>
                <w:szCs w:val="20"/>
                <w:color w:val="auto"/>
              </w:rPr>
            </w:pPr>
            <w:r>
              <w:rPr>
                <w:rFonts w:ascii="Arial" w:cs="Arial" w:eastAsia="Arial" w:hAnsi="Arial"/>
                <w:sz w:val="16"/>
                <w:szCs w:val="16"/>
                <w:color w:val="auto"/>
              </w:rPr>
              <w:t>Massachusetts</w:t>
            </w:r>
          </w:p>
        </w:tc>
      </w:tr>
    </w:tbl>
    <w:p>
      <w:pPr>
        <w:sectPr>
          <w:pgSz w:w="11900" w:h="16838" w:orient="portrait"/>
          <w:cols w:equalWidth="0" w:num="1">
            <w:col w:w="11220"/>
          </w:cols>
          <w:pgMar w:left="340" w:top="904" w:right="3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6"/>
          <w:szCs w:val="16"/>
          <w:b w:val="1"/>
          <w:bCs w:val="1"/>
          <w:color w:val="auto"/>
        </w:rPr>
        <w:t>Exhibit 23.1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3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We consent to the incorporation by reference in Registration Statement No. 333-255724 on Form S-3 and Registration Statement Nos. 333-252151 and 333-237732 on Form S-8 of our report dated March 9, 2022, relating to the financial statements of Keros Therapeutics, Inc. appearing in this Annual Report on Form 10-K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March 9, 2022</w:t>
      </w:r>
    </w:p>
    <w:p>
      <w:pPr>
        <w:sectPr>
          <w:pgSz w:w="11900" w:h="16838" w:orient="portrait"/>
          <w:cols w:equalWidth="0" w:num="1">
            <w:col w:w="11240"/>
          </w:cols>
          <w:pgMar w:left="320" w:top="904"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6"/>
          <w:szCs w:val="16"/>
          <w:b w:val="1"/>
          <w:bCs w:val="1"/>
          <w:color w:val="auto"/>
        </w:rPr>
        <w:t>Exhibit 31.1</w:t>
      </w:r>
    </w:p>
    <w:p>
      <w:pPr>
        <w:spacing w:after="0" w:line="326" w:lineRule="exact"/>
        <w:rPr>
          <w:sz w:val="20"/>
          <w:szCs w:val="20"/>
          <w:color w:val="auto"/>
        </w:rPr>
      </w:pPr>
    </w:p>
    <w:p>
      <w:pPr>
        <w:jc w:val="center"/>
        <w:spacing w:after="0" w:line="264"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Jasbir Seehra, Ph.D., certify that:</w:t>
      </w:r>
    </w:p>
    <w:p>
      <w:pPr>
        <w:spacing w:after="0" w:line="58" w:lineRule="exact"/>
        <w:rPr>
          <w:sz w:val="20"/>
          <w:szCs w:val="20"/>
          <w:color w:val="auto"/>
        </w:rPr>
      </w:pPr>
    </w:p>
    <w:p>
      <w:pPr>
        <w:ind w:left="580" w:hanging="555"/>
        <w:spacing w:after="0"/>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Keros Therapeutics, Inc.;</w:t>
      </w:r>
    </w:p>
    <w:p>
      <w:pPr>
        <w:spacing w:after="0" w:line="205" w:lineRule="exact"/>
        <w:rPr>
          <w:rFonts w:ascii="Arial" w:cs="Arial" w:eastAsia="Arial" w:hAnsi="Arial"/>
          <w:sz w:val="16"/>
          <w:szCs w:val="16"/>
          <w:color w:val="auto"/>
        </w:rPr>
      </w:pPr>
    </w:p>
    <w:p>
      <w:pPr>
        <w:jc w:val="both"/>
        <w:ind w:left="580" w:right="260" w:hanging="555"/>
        <w:spacing w:after="0" w:line="268" w:lineRule="auto"/>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580" w:right="380" w:hanging="555"/>
        <w:spacing w:after="0" w:line="275" w:lineRule="auto"/>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jc w:val="both"/>
        <w:ind w:left="580" w:right="380" w:hanging="555"/>
        <w:spacing w:after="0" w:line="268" w:lineRule="auto"/>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6"/>
          <w:szCs w:val="16"/>
          <w:color w:val="auto"/>
        </w:rPr>
      </w:pPr>
    </w:p>
    <w:p>
      <w:pPr>
        <w:ind w:left="1140" w:right="460" w:hanging="565"/>
        <w:spacing w:after="0" w:line="268" w:lineRule="auto"/>
        <w:tabs>
          <w:tab w:leader="none" w:pos="11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140" w:right="380" w:hanging="565"/>
        <w:spacing w:after="0" w:line="268" w:lineRule="auto"/>
        <w:tabs>
          <w:tab w:leader="none" w:pos="11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6"/>
          <w:szCs w:val="16"/>
          <w:color w:val="auto"/>
        </w:rPr>
      </w:pPr>
    </w:p>
    <w:p>
      <w:pPr>
        <w:jc w:val="both"/>
        <w:ind w:left="1140" w:right="400" w:hanging="565"/>
        <w:spacing w:after="0" w:line="275" w:lineRule="auto"/>
        <w:tabs>
          <w:tab w:leader="none" w:pos="11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1140" w:right="100" w:hanging="565"/>
        <w:spacing w:after="0" w:line="268" w:lineRule="auto"/>
        <w:tabs>
          <w:tab w:leader="none" w:pos="11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580" w:right="140" w:hanging="555"/>
        <w:spacing w:after="0" w:line="275" w:lineRule="auto"/>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left="1140" w:right="860" w:hanging="565"/>
        <w:spacing w:after="0" w:line="275" w:lineRule="auto"/>
        <w:tabs>
          <w:tab w:leader="none" w:pos="11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1140" w:right="500" w:hanging="565"/>
        <w:spacing w:after="0" w:line="275" w:lineRule="auto"/>
        <w:tabs>
          <w:tab w:leader="none" w:pos="11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20"/>
        <w:spacing w:after="0"/>
        <w:tabs>
          <w:tab w:leader="none" w:pos="5260" w:val="left"/>
          <w:tab w:leader="none" w:pos="7660" w:val="left"/>
        </w:tabs>
        <w:rPr>
          <w:sz w:val="20"/>
          <w:szCs w:val="20"/>
          <w:color w:val="auto"/>
        </w:rPr>
      </w:pPr>
      <w:r>
        <w:rPr>
          <w:rFonts w:ascii="Arial" w:cs="Arial" w:eastAsia="Arial" w:hAnsi="Arial"/>
          <w:sz w:val="16"/>
          <w:szCs w:val="16"/>
          <w:color w:val="auto"/>
        </w:rPr>
        <w:t>Date: March 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Jasbir Seehra,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26670</wp:posOffset>
            </wp:positionV>
            <wp:extent cx="34258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3425825" cy="8255"/>
                    </a:xfrm>
                    <a:prstGeom prst="rect">
                      <a:avLst/>
                    </a:prstGeom>
                    <a:noFill/>
                  </pic:spPr>
                </pic:pic>
              </a:graphicData>
            </a:graphic>
          </wp:anchor>
        </w:drawing>
      </w:r>
    </w:p>
    <w:p>
      <w:pPr>
        <w:spacing w:after="0" w:line="64"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Jasbir Seehra, Ph.D.</w:t>
      </w:r>
    </w:p>
    <w:p>
      <w:pPr>
        <w:spacing w:after="0" w:line="71"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Chief Executive Officer</w:t>
      </w:r>
    </w:p>
    <w:p>
      <w:pPr>
        <w:spacing w:after="0" w:line="4" w:lineRule="exact"/>
        <w:rPr>
          <w:sz w:val="20"/>
          <w:szCs w:val="20"/>
          <w:color w:val="auto"/>
        </w:rPr>
      </w:pPr>
    </w:p>
    <w:p>
      <w:pPr>
        <w:ind w:left="75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6"/>
          <w:szCs w:val="16"/>
          <w:b w:val="1"/>
          <w:bCs w:val="1"/>
          <w:color w:val="auto"/>
        </w:rPr>
        <w:t>Exhibit 31.2</w:t>
      </w:r>
    </w:p>
    <w:p>
      <w:pPr>
        <w:spacing w:after="0" w:line="326" w:lineRule="exact"/>
        <w:rPr>
          <w:sz w:val="20"/>
          <w:szCs w:val="20"/>
          <w:color w:val="auto"/>
        </w:rPr>
      </w:pPr>
    </w:p>
    <w:p>
      <w:pPr>
        <w:jc w:val="center"/>
        <w:spacing w:after="0" w:line="264"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Keith Regnante, certify that:</w:t>
      </w:r>
    </w:p>
    <w:p>
      <w:pPr>
        <w:spacing w:after="0" w:line="58" w:lineRule="exact"/>
        <w:rPr>
          <w:sz w:val="20"/>
          <w:szCs w:val="20"/>
          <w:color w:val="auto"/>
        </w:rPr>
      </w:pPr>
    </w:p>
    <w:p>
      <w:pPr>
        <w:ind w:left="580" w:hanging="555"/>
        <w:spacing w:after="0"/>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Keros Therapeutics, Inc.;</w:t>
      </w:r>
    </w:p>
    <w:p>
      <w:pPr>
        <w:spacing w:after="0" w:line="205" w:lineRule="exact"/>
        <w:rPr>
          <w:rFonts w:ascii="Arial" w:cs="Arial" w:eastAsia="Arial" w:hAnsi="Arial"/>
          <w:sz w:val="16"/>
          <w:szCs w:val="16"/>
          <w:color w:val="auto"/>
        </w:rPr>
      </w:pPr>
    </w:p>
    <w:p>
      <w:pPr>
        <w:jc w:val="both"/>
        <w:ind w:left="580" w:right="260" w:hanging="555"/>
        <w:spacing w:after="0" w:line="268" w:lineRule="auto"/>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580" w:right="380" w:hanging="555"/>
        <w:spacing w:after="0" w:line="275" w:lineRule="auto"/>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jc w:val="both"/>
        <w:ind w:left="580" w:right="380" w:hanging="555"/>
        <w:spacing w:after="0" w:line="268" w:lineRule="auto"/>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6"/>
          <w:szCs w:val="16"/>
          <w:color w:val="auto"/>
        </w:rPr>
      </w:pPr>
    </w:p>
    <w:p>
      <w:pPr>
        <w:ind w:left="1140" w:right="460" w:hanging="565"/>
        <w:spacing w:after="0" w:line="268" w:lineRule="auto"/>
        <w:tabs>
          <w:tab w:leader="none" w:pos="11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140" w:right="380" w:hanging="565"/>
        <w:spacing w:after="0" w:line="268" w:lineRule="auto"/>
        <w:tabs>
          <w:tab w:leader="none" w:pos="11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6"/>
          <w:szCs w:val="16"/>
          <w:color w:val="auto"/>
        </w:rPr>
      </w:pPr>
    </w:p>
    <w:p>
      <w:pPr>
        <w:jc w:val="both"/>
        <w:ind w:left="1140" w:right="400" w:hanging="565"/>
        <w:spacing w:after="0" w:line="275" w:lineRule="auto"/>
        <w:tabs>
          <w:tab w:leader="none" w:pos="11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1140" w:right="100" w:hanging="565"/>
        <w:spacing w:after="0" w:line="268" w:lineRule="auto"/>
        <w:tabs>
          <w:tab w:leader="none" w:pos="11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580" w:right="140" w:hanging="555"/>
        <w:spacing w:after="0" w:line="275" w:lineRule="auto"/>
        <w:tabs>
          <w:tab w:leader="none" w:pos="5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left="1140" w:right="860" w:hanging="565"/>
        <w:spacing w:after="0" w:line="275" w:lineRule="auto"/>
        <w:tabs>
          <w:tab w:leader="none" w:pos="11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1140" w:right="500" w:hanging="565"/>
        <w:spacing w:after="0" w:line="275" w:lineRule="auto"/>
        <w:tabs>
          <w:tab w:leader="none" w:pos="114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6"/>
          <w:szCs w:val="16"/>
          <w:color w:val="auto"/>
        </w:rPr>
        <w:t>Date: March 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Keith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26670</wp:posOffset>
            </wp:positionV>
            <wp:extent cx="31959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3195955" cy="8255"/>
                    </a:xfrm>
                    <a:prstGeom prst="rect">
                      <a:avLst/>
                    </a:prstGeom>
                    <a:noFill/>
                  </pic:spPr>
                </pic:pic>
              </a:graphicData>
            </a:graphic>
          </wp:anchor>
        </w:drawing>
      </w:r>
    </w:p>
    <w:p>
      <w:pPr>
        <w:spacing w:after="0" w:line="64"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Keith Regnante</w:t>
      </w:r>
    </w:p>
    <w:p>
      <w:pPr>
        <w:spacing w:after="0" w:line="71"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Chief Financial Officer</w:t>
      </w:r>
    </w:p>
    <w:p>
      <w:pPr>
        <w:spacing w:after="0" w:line="4" w:lineRule="exact"/>
        <w:rPr>
          <w:sz w:val="20"/>
          <w:szCs w:val="20"/>
          <w:color w:val="auto"/>
        </w:rPr>
      </w:pPr>
    </w:p>
    <w:p>
      <w:pPr>
        <w:ind w:left="658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ectPr>
          <w:pgSz w:w="11900" w:h="16838" w:orient="portrait"/>
          <w:cols w:equalWidth="0" w:num="1">
            <w:col w:w="11240"/>
          </w:cols>
          <w:pgMar w:left="320" w:top="887"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6"/>
          <w:szCs w:val="16"/>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66"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Jasbir Seehra, Ph.D., Chief Executive Officer of Keros Therapeutics, Inc. (the “Company”) and Keith Regnante, Chief Financial Officer of the Company, each hereby certifies that, to the best of his knowledge:</w:t>
      </w:r>
    </w:p>
    <w:p>
      <w:pPr>
        <w:spacing w:after="0" w:line="41" w:lineRule="exact"/>
        <w:rPr>
          <w:sz w:val="20"/>
          <w:szCs w:val="20"/>
          <w:color w:val="auto"/>
        </w:rPr>
      </w:pPr>
    </w:p>
    <w:p>
      <w:pPr>
        <w:ind w:left="720" w:right="220" w:hanging="695"/>
        <w:spacing w:after="0" w:line="275" w:lineRule="auto"/>
        <w:tabs>
          <w:tab w:leader="none" w:pos="7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Company’s Annual Report on Form 10-K for the period ended December 31, 2021, to which this Certification is attached as Exhibit 32.1 (the “Annual Report”), fully complies with the requirements of Section 13(a) or Section 15(d) of the Exchange Act, and</w:t>
      </w:r>
    </w:p>
    <w:p>
      <w:pPr>
        <w:spacing w:after="0" w:line="155" w:lineRule="exact"/>
        <w:rPr>
          <w:rFonts w:ascii="Arial" w:cs="Arial" w:eastAsia="Arial" w:hAnsi="Arial"/>
          <w:sz w:val="16"/>
          <w:szCs w:val="16"/>
          <w:color w:val="auto"/>
        </w:rPr>
      </w:pPr>
    </w:p>
    <w:p>
      <w:pPr>
        <w:ind w:left="720" w:right="500" w:hanging="695"/>
        <w:spacing w:after="0" w:line="275" w:lineRule="auto"/>
        <w:tabs>
          <w:tab w:leader="none" w:pos="7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information contained in the Annual Report fairly presents, in all material respects, the financial condition and results of operations of the Company.</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undersigned have set their hands hereto as of the 9th day of March, 2022.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 Jasbir Seehra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18415</wp:posOffset>
            </wp:positionV>
            <wp:extent cx="2769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51"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Jasbir Seehra, Ph.D.</w:t>
      </w:r>
    </w:p>
    <w:p>
      <w:pPr>
        <w:spacing w:after="0" w:line="71"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Chief Executive Officer</w:t>
      </w:r>
    </w:p>
    <w:p>
      <w:pPr>
        <w:spacing w:after="0" w:line="55" w:lineRule="exact"/>
        <w:rPr>
          <w:sz w:val="20"/>
          <w:szCs w:val="20"/>
          <w:color w:val="auto"/>
        </w:rPr>
      </w:pPr>
    </w:p>
    <w:p>
      <w:pPr>
        <w:ind w:left="6880"/>
        <w:spacing w:after="0"/>
        <w:rPr>
          <w:sz w:val="20"/>
          <w:szCs w:val="20"/>
          <w:color w:val="auto"/>
        </w:rPr>
      </w:pPr>
      <w:r>
        <w:rPr>
          <w:rFonts w:ascii="Arial" w:cs="Arial" w:eastAsia="Arial" w:hAnsi="Arial"/>
          <w:sz w:val="16"/>
          <w:szCs w:val="16"/>
          <w:i w:val="1"/>
          <w:iCs w:val="1"/>
          <w:color w:val="auto"/>
        </w:rPr>
        <w:t>(Principal Executive Officer)</w:t>
      </w:r>
    </w:p>
    <w:p>
      <w:pPr>
        <w:spacing w:after="0" w:line="342"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 Keith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26670</wp:posOffset>
            </wp:positionV>
            <wp:extent cx="2769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2769870" cy="8255"/>
                    </a:xfrm>
                    <a:prstGeom prst="rect">
                      <a:avLst/>
                    </a:prstGeom>
                    <a:noFill/>
                  </pic:spPr>
                </pic:pic>
              </a:graphicData>
            </a:graphic>
          </wp:anchor>
        </w:drawing>
      </w:r>
    </w:p>
    <w:p>
      <w:pPr>
        <w:spacing w:after="0" w:line="64"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Keith Regnante</w:t>
      </w:r>
    </w:p>
    <w:p>
      <w:pPr>
        <w:spacing w:after="0" w:line="71"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Chief Financial Officer</w:t>
      </w:r>
    </w:p>
    <w:p>
      <w:pPr>
        <w:spacing w:after="0" w:line="55" w:lineRule="exact"/>
        <w:rPr>
          <w:sz w:val="20"/>
          <w:szCs w:val="20"/>
          <w:color w:val="auto"/>
        </w:rPr>
      </w:pPr>
    </w:p>
    <w:p>
      <w:pPr>
        <w:ind w:left="6880"/>
        <w:spacing w:after="0"/>
        <w:rPr>
          <w:sz w:val="20"/>
          <w:szCs w:val="20"/>
          <w:color w:val="auto"/>
        </w:rPr>
      </w:pPr>
      <w:r>
        <w:rPr>
          <w:rFonts w:ascii="Arial" w:cs="Arial" w:eastAsia="Arial" w:hAnsi="Arial"/>
          <w:sz w:val="16"/>
          <w:szCs w:val="16"/>
          <w:i w:val="1"/>
          <w:iCs w:val="1"/>
          <w:color w:val="auto"/>
        </w:rPr>
        <w:t>(Principal Financial Officer and Principal Accounting Officer)</w:t>
      </w:r>
    </w:p>
    <w:p>
      <w:pPr>
        <w:spacing w:after="0" w:line="275"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Keros Therapeutics,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ß"/>
      <w:numFmt w:val="bullet"/>
      <w:start w:val="1"/>
    </w:lvl>
    <w:lvl w:ilvl="1">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lvl w:ilvl="1">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ß"/>
      <w:numFmt w:val="bullet"/>
      <w:start w:val="1"/>
    </w:lvl>
  </w:abstractNum>
  <w:abstractNum w:abstractNumId="12">
    <w:nsid w:val="4962813B"/>
    <w:multiLevelType w:val="hybridMultilevel"/>
    <w:lvl w:ilvl="0">
      <w:lvlJc w:val="left"/>
      <w:lvlText w:val="•"/>
      <w:numFmt w:val="bullet"/>
      <w:start w:val="1"/>
    </w:lvl>
    <w:lvl w:ilvl="1">
      <w:lvlJc w:val="left"/>
      <w:lvlText w:val="◦"/>
      <w:numFmt w:val="bullet"/>
      <w:start w:val="1"/>
    </w:lvl>
  </w:abstractNum>
  <w:abstractNum w:abstractNumId="13">
    <w:nsid w:val="60B6DF70"/>
    <w:multiLevelType w:val="hybridMultilevel"/>
    <w:lvl w:ilvl="0">
      <w:lvlJc w:val="left"/>
      <w:lvlText w:val="%1."/>
      <w:numFmt w:val="decimal"/>
      <w:start w:val="1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amp;"/>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amp;"/>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
      <w:numFmt w:val="bullet"/>
      <w:start w:val="1"/>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
      <w:numFmt w:val="bullet"/>
      <w:start w:val="1"/>
    </w:lvl>
  </w:abstractNum>
  <w:abstractNum w:abstractNumId="47">
    <w:nsid w:val="5FB8011C"/>
    <w:multiLevelType w:val="hybridMultilevel"/>
    <w:lvl w:ilvl="0">
      <w:lvlJc w:val="left"/>
      <w:lvlText w:val="▪"/>
      <w:numFmt w:val="bullet"/>
      <w:start w:val="1"/>
    </w:lvl>
  </w:abstractNum>
  <w:abstractNum w:abstractNumId="48">
    <w:nsid w:val="6AA78F7F"/>
    <w:multiLevelType w:val="hybridMultilevel"/>
    <w:lvl w:ilvl="0">
      <w:lvlJc w:val="left"/>
      <w:lvlText w:val="▪"/>
      <w:numFmt w:val="bullet"/>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
      <w:numFmt w:val="bullet"/>
      <w:start w:val="1"/>
    </w:lvl>
  </w:abstractNum>
  <w:abstractNum w:abstractNumId="51">
    <w:nsid w:val="6A5F7029"/>
    <w:multiLevelType w:val="hybridMultilevel"/>
    <w:lvl w:ilvl="0">
      <w:lvlJc w:val="left"/>
      <w:lvlText w:val="▪"/>
      <w:numFmt w:val="bullet"/>
      <w:start w:val="1"/>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
      <w:numFmt w:val="bullet"/>
      <w:start w:val="1"/>
    </w:lvl>
  </w:abstractNum>
  <w:abstractNum w:abstractNumId="55">
    <w:nsid w:val="7DE67713"/>
    <w:multiLevelType w:val="hybridMultilevel"/>
    <w:lvl w:ilvl="0">
      <w:lvlJc w:val="left"/>
      <w:lvlText w:val="▪"/>
      <w:numFmt w:val="bullet"/>
      <w:start w:val="1"/>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
      <w:numFmt w:val="bullet"/>
      <w:start w:val="1"/>
    </w:lvl>
  </w:abstractNum>
  <w:abstractNum w:abstractNumId="58">
    <w:nsid w:val="14FCE74E"/>
    <w:multiLevelType w:val="hybridMultilevel"/>
    <w:lvl w:ilvl="0">
      <w:lvlJc w:val="left"/>
      <w:lvlText w:val="▪"/>
      <w:numFmt w:val="bullet"/>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
      <w:numFmt w:val="bullet"/>
      <w:start w:val="1"/>
    </w:lvl>
  </w:abstractNum>
  <w:abstractNum w:abstractNumId="61">
    <w:nsid w:val="9DAF632"/>
    <w:multiLevelType w:val="hybridMultilevel"/>
    <w:lvl w:ilvl="0">
      <w:lvlJc w:val="left"/>
      <w:lvlText w:val="(%1)"/>
      <w:numFmt w:val="lowerLetter"/>
      <w:start w:val="2"/>
    </w:lvl>
  </w:abstractNum>
  <w:abstractNum w:abstractNumId="62">
    <w:nsid w:val="53299938"/>
    <w:multiLevelType w:val="hybridMultilevel"/>
    <w:lvl w:ilvl="0">
      <w:lvlJc w:val="left"/>
      <w:lvlText w:val="▪"/>
      <w:numFmt w:val="bullet"/>
      <w:start w:val="1"/>
    </w:lvl>
  </w:abstractNum>
  <w:abstractNum w:abstractNumId="63">
    <w:nsid w:val="1FBFE8E0"/>
    <w:multiLevelType w:val="hybridMultilevel"/>
    <w:lvl w:ilvl="0">
      <w:lvlJc w:val="left"/>
      <w:lvlText w:val="▪"/>
      <w:numFmt w:val="bullet"/>
      <w:start w:val="1"/>
    </w:lvl>
  </w:abstractNum>
  <w:abstractNum w:abstractNumId="64">
    <w:nsid w:val="5092CA79"/>
    <w:multiLevelType w:val="hybridMultilevel"/>
    <w:lvl w:ilvl="0">
      <w:lvlJc w:val="left"/>
      <w:lvlText w:val="▪"/>
      <w:numFmt w:val="bullet"/>
      <w:start w:val="1"/>
    </w:lvl>
  </w:abstractNum>
  <w:abstractNum w:abstractNumId="65">
    <w:nsid w:val="1D545C4D"/>
    <w:multiLevelType w:val="hybridMultilevel"/>
    <w:lvl w:ilvl="0">
      <w:lvlJc w:val="left"/>
      <w:lvlText w:val="▪"/>
      <w:numFmt w:val="bullet"/>
      <w:start w:val="1"/>
    </w:lvl>
  </w:abstractNum>
  <w:abstractNum w:abstractNumId="66">
    <w:nsid w:val="59ADEA3D"/>
    <w:multiLevelType w:val="hybridMultilevel"/>
    <w:lvl w:ilvl="0">
      <w:lvlJc w:val="left"/>
      <w:lvlText w:val="•"/>
      <w:numFmt w:val="bullet"/>
      <w:start w:val="1"/>
    </w:lvl>
  </w:abstractNum>
  <w:abstractNum w:abstractNumId="67">
    <w:nsid w:val="288F1A34"/>
    <w:multiLevelType w:val="hybridMultilevel"/>
    <w:lvl w:ilvl="0">
      <w:lvlJc w:val="left"/>
      <w:lvlText w:val="(%1)"/>
      <w:numFmt w:val="lowerLetter"/>
      <w:start w:val="1"/>
    </w:lvl>
    <w:lvl w:ilvl="1">
      <w:lvlJc w:val="left"/>
      <w:lvlText w:val="(%2)"/>
      <w:numFmt w:val="decimal"/>
      <w:start w:val="1"/>
    </w:lvl>
  </w:abstractNum>
  <w:abstractNum w:abstractNumId="68">
    <w:nsid w:val="2A155DBC"/>
    <w:multiLevelType w:val="hybridMultilevel"/>
    <w:lvl w:ilvl="0">
      <w:lvlJc w:val="left"/>
      <w:lvlText w:val="%1"/>
      <w:numFmt w:val="lowerLetter"/>
      <w:start w:val="1"/>
    </w:lvl>
    <w:lvl w:ilvl="1">
      <w:lvlJc w:val="left"/>
      <w:lvlText w:val="(%2)"/>
      <w:numFmt w:val="decimal"/>
      <w:start w:val="2"/>
    </w:lvl>
  </w:abstractNum>
  <w:abstractNum w:abstractNumId="69">
    <w:nsid w:val="1D9F6E5F"/>
    <w:multiLevelType w:val="hybridMultilevel"/>
    <w:lvl w:ilvl="0">
      <w:lvlJc w:val="left"/>
      <w:lvlText w:val="(%1)"/>
      <w:numFmt w:val="lowerLetter"/>
      <w:start w:val="2"/>
    </w:lvl>
    <w:lvl w:ilvl="1">
      <w:lvlJc w:val="left"/>
      <w:lvlText w:val="%2"/>
      <w:numFmt w:val="decimal"/>
      <w:start w:val="1"/>
    </w:lvl>
  </w:abstractNum>
  <w:abstractNum w:abstractNumId="70">
    <w:nsid w:val="97E1B4E"/>
    <w:multiLevelType w:val="hybridMultilevel"/>
    <w:lvl w:ilvl="0">
      <w:lvlJc w:val="left"/>
      <w:lvlText w:val="*"/>
      <w:numFmt w:val="bullet"/>
      <w:start w:val="1"/>
    </w:lvl>
  </w:abstractNum>
  <w:abstractNum w:abstractNumId="71">
    <w:nsid w:val="51088277"/>
    <w:multiLevelType w:val="hybridMultilevel"/>
    <w:lvl w:ilvl="0">
      <w:lvlJc w:val="left"/>
      <w:lvlText w:val="**"/>
      <w:numFmt w:val="bullet"/>
      <w:start w:val="1"/>
    </w:lvl>
  </w:abstractNum>
  <w:abstractNum w:abstractNumId="72">
    <w:nsid w:val="1CA0C5FA"/>
    <w:multiLevelType w:val="hybridMultilevel"/>
    <w:lvl w:ilvl="0">
      <w:lvlJc w:val="left"/>
      <w:lvlText w:val="+"/>
      <w:numFmt w:val="bullet"/>
      <w:start w:val="1"/>
    </w:lvl>
  </w:abstractNum>
  <w:abstractNum w:abstractNumId="73">
    <w:nsid w:val="53584BCB"/>
    <w:multiLevelType w:val="hybridMultilevel"/>
    <w:lvl w:ilvl="0">
      <w:lvlJc w:val="left"/>
      <w:lvlText w:val="#"/>
      <w:numFmt w:val="bullet"/>
      <w:start w:val="1"/>
    </w:lvl>
  </w:abstractNum>
  <w:abstractNum w:abstractNumId="74">
    <w:nsid w:val="415E286C"/>
    <w:multiLevelType w:val="hybridMultilevel"/>
    <w:lvl w:ilvl="0">
      <w:lvlJc w:val="left"/>
      <w:lvlText w:val="▪"/>
      <w:numFmt w:val="bullet"/>
      <w:start w:val="1"/>
    </w:lvl>
  </w:abstractNum>
  <w:abstractNum w:abstractNumId="75">
    <w:nsid w:val="7C58FD05"/>
    <w:multiLevelType w:val="hybridMultilevel"/>
    <w:lvl w:ilvl="0">
      <w:lvlJc w:val="left"/>
      <w:lvlText w:val="$"/>
      <w:numFmt w:val="bullet"/>
      <w:start w:val="1"/>
    </w:lvl>
  </w:abstractNum>
  <w:abstractNum w:abstractNumId="76">
    <w:nsid w:val="23D86AAC"/>
    <w:multiLevelType w:val="hybridMultilevel"/>
    <w:lvl w:ilvl="0">
      <w:lvlJc w:val="left"/>
      <w:lvlText w:val="$"/>
      <w:numFmt w:val="bullet"/>
      <w:start w:val="1"/>
    </w:lvl>
  </w:abstractNum>
  <w:abstractNum w:abstractNumId="77">
    <w:nsid w:val="45E6D486"/>
    <w:multiLevelType w:val="hybridMultilevel"/>
    <w:lvl w:ilvl="0">
      <w:lvlJc w:val="left"/>
      <w:lvlText w:val="%1."/>
      <w:numFmt w:val="decimal"/>
      <w:start w:val="10"/>
    </w:lvl>
  </w:abstractNum>
  <w:abstractNum w:abstractNumId="78">
    <w:nsid w:val="5C10FE21"/>
    <w:multiLevelType w:val="hybridMultilevel"/>
    <w:lvl w:ilvl="0">
      <w:lvlJc w:val="left"/>
      <w:lvlText w:val="•"/>
      <w:numFmt w:val="bullet"/>
      <w:start w:val="1"/>
    </w:lvl>
  </w:abstractNum>
  <w:abstractNum w:abstractNumId="79">
    <w:nsid w:val="E7FFA2B"/>
    <w:multiLevelType w:val="hybridMultilevel"/>
    <w:lvl w:ilvl="0">
      <w:lvlJc w:val="left"/>
      <w:lvlText w:val="•"/>
      <w:numFmt w:val="bullet"/>
      <w:start w:val="1"/>
    </w:lvl>
  </w:abstractNum>
  <w:abstractNum w:abstractNumId="80">
    <w:nsid w:val="3C5991AA"/>
    <w:multiLevelType w:val="hybridMultilevel"/>
    <w:lvl w:ilvl="0">
      <w:lvlJc w:val="left"/>
      <w:lvlText w:val="(%1)"/>
      <w:numFmt w:val="lowerLetter"/>
      <w:start w:val="1"/>
    </w:lvl>
  </w:abstractNum>
  <w:abstractNum w:abstractNumId="81">
    <w:nsid w:val="4BD8591A"/>
    <w:multiLevelType w:val="hybridMultilevel"/>
    <w:lvl w:ilvl="0">
      <w:lvlJc w:val="left"/>
      <w:lvlText w:val="(%1)"/>
      <w:numFmt w:val="lowerLetter"/>
      <w:start w:val="1"/>
    </w:lvl>
  </w:abstractNum>
  <w:abstractNum w:abstractNumId="82">
    <w:nsid w:val="78DF6A55"/>
    <w:multiLevelType w:val="hybridMultilevel"/>
    <w:lvl w:ilvl="0">
      <w:lvlJc w:val="left"/>
      <w:lvlText w:val="(%1)"/>
      <w:numFmt w:val="lowerLetter"/>
      <w:start w:val="1"/>
    </w:lvl>
    <w:lvl w:ilvl="1">
      <w:lvlJc w:val="left"/>
      <w:lvlText w:val="(%2)"/>
      <w:numFmt w:val="lowerRoman"/>
      <w:start w:val="1"/>
    </w:lvl>
  </w:abstractNum>
  <w:abstractNum w:abstractNumId="83">
    <w:nsid w:val="39B7AAA2"/>
    <w:multiLevelType w:val="hybridMultilevel"/>
    <w:lvl w:ilvl="0">
      <w:lvlJc w:val="left"/>
      <w:lvlText w:val="(%1)"/>
      <w:numFmt w:val="lowerRoman"/>
      <w:start w:val="5"/>
    </w:lvl>
  </w:abstractNum>
  <w:abstractNum w:abstractNumId="84">
    <w:nsid w:val="2B0D8DBE"/>
    <w:multiLevelType w:val="hybridMultilevel"/>
    <w:lvl w:ilvl="0">
      <w:lvlJc w:val="left"/>
      <w:lvlText w:val="(%1)"/>
      <w:numFmt w:val="lowerLetter"/>
      <w:start w:val="3"/>
    </w:lvl>
  </w:abstractNum>
  <w:abstractNum w:abstractNumId="85">
    <w:nsid w:val="6C80EC70"/>
    <w:multiLevelType w:val="hybridMultilevel"/>
    <w:lvl w:ilvl="0">
      <w:lvlJc w:val="left"/>
      <w:lvlText w:val="(%1)"/>
      <w:numFmt w:val="lowerLetter"/>
      <w:start w:val="1"/>
    </w:lvl>
    <w:lvl w:ilvl="1">
      <w:lvlJc w:val="left"/>
      <w:lvlText w:val="(%2)"/>
      <w:numFmt w:val="lowerRoman"/>
      <w:start w:val="1"/>
    </w:lvl>
  </w:abstractNum>
  <w:abstractNum w:abstractNumId="86">
    <w:nsid w:val="379E21B5"/>
    <w:multiLevelType w:val="hybridMultilevel"/>
    <w:lvl w:ilvl="0">
      <w:lvlJc w:val="left"/>
      <w:lvlText w:val="%1"/>
      <w:numFmt w:val="lowerLetter"/>
      <w:start w:val="1"/>
    </w:lvl>
    <w:lvl w:ilvl="1">
      <w:lvlJc w:val="left"/>
      <w:lvlText w:val="(%2)"/>
      <w:numFmt w:val="lowerRoman"/>
      <w:start w:val="3"/>
    </w:lvl>
  </w:abstractNum>
  <w:abstractNum w:abstractNumId="87">
    <w:nsid w:val="69E373"/>
    <w:multiLevelType w:val="hybridMultilevel"/>
    <w:lvl w:ilvl="0">
      <w:lvlJc w:val="left"/>
      <w:lvlText w:val="(%1)"/>
      <w:numFmt w:val="lowerLetter"/>
      <w:start w:val="2"/>
    </w:lvl>
    <w:lvl w:ilvl="1">
      <w:lvlJc w:val="left"/>
      <w:lvlText w:val="%2"/>
      <w:numFmt w:val="lowerRoman"/>
      <w:start w:val="1"/>
    </w:lvl>
  </w:abstractNum>
  <w:abstractNum w:abstractNumId="88">
    <w:nsid w:val="2C27173B"/>
    <w:multiLevelType w:val="hybridMultilevel"/>
    <w:lvl w:ilvl="0">
      <w:lvlJc w:val="left"/>
      <w:lvlText w:val="(%1)"/>
      <w:numFmt w:val="lowerLetter"/>
      <w:start w:val="1"/>
    </w:lvl>
  </w:abstractNum>
  <w:abstractNum w:abstractNumId="89">
    <w:nsid w:val="4C9B0904"/>
    <w:multiLevelType w:val="hybridMultilevel"/>
    <w:lvl w:ilvl="0">
      <w:lvlJc w:val="left"/>
      <w:lvlText w:val="(%1)"/>
      <w:numFmt w:val="lowerLetter"/>
      <w:start w:val="2"/>
    </w:lvl>
  </w:abstractNum>
  <w:abstractNum w:abstractNumId="90">
    <w:nsid w:val="6AA7B75C"/>
    <w:multiLevelType w:val="hybridMultilevel"/>
    <w:lvl w:ilvl="0">
      <w:lvlJc w:val="left"/>
      <w:lvlText w:val="(%1)"/>
      <w:numFmt w:val="lowerLetter"/>
      <w:start w:val="1"/>
    </w:lvl>
    <w:lvl w:ilvl="1">
      <w:lvlJc w:val="left"/>
      <w:lvlText w:val="(%2)"/>
      <w:numFmt w:val="lowerLetter"/>
      <w:start w:val="9"/>
    </w:lvl>
  </w:abstractNum>
  <w:abstractNum w:abstractNumId="91">
    <w:nsid w:val="1DF029D3"/>
    <w:multiLevelType w:val="hybridMultilevel"/>
    <w:lvl w:ilvl="0">
      <w:lvlJc w:val="left"/>
      <w:lvlText w:val="%1"/>
      <w:numFmt w:val="lowerLetter"/>
      <w:start w:val="1"/>
    </w:lvl>
    <w:lvl w:ilvl="1">
      <w:lvlJc w:val="left"/>
      <w:lvlText w:val="(%2)"/>
      <w:numFmt w:val="lowerLetter"/>
      <w:start w:val="35"/>
    </w:lvl>
  </w:abstractNum>
  <w:abstractNum w:abstractNumId="92">
    <w:nsid w:val="5675FF36"/>
    <w:multiLevelType w:val="hybridMultilevel"/>
    <w:lvl w:ilvl="0">
      <w:lvlJc w:val="left"/>
      <w:lvlText w:val="(%1)"/>
      <w:numFmt w:val="lowerLetter"/>
      <w:start w:val="4"/>
    </w:lvl>
    <w:lvl w:ilvl="1">
      <w:lvlJc w:val="left"/>
      <w:lvlText w:val="%2"/>
      <w:numFmt w:val="lowerLetter"/>
      <w:start w:val="1"/>
    </w:lvl>
  </w:abstractNum>
  <w:abstractNum w:abstractNumId="93">
    <w:nsid w:val="3DD15094"/>
    <w:multiLevelType w:val="hybridMultilevel"/>
    <w:lvl w:ilvl="0">
      <w:lvlJc w:val="left"/>
      <w:lvlText w:val="(%1)"/>
      <w:numFmt w:val="lowerLetter"/>
      <w:start w:val="1"/>
    </w:lvl>
  </w:abstractNum>
  <w:abstractNum w:abstractNumId="94">
    <w:nsid w:val="3DB012B3"/>
    <w:multiLevelType w:val="hybridMultilevel"/>
    <w:lvl w:ilvl="0">
      <w:lvlJc w:val="left"/>
      <w:lvlText w:val="[***]"/>
      <w:numFmt w:val="bullet"/>
      <w:start w:val="1"/>
    </w:lvl>
    <w:lvl w:ilvl="1">
      <w:lvlJc w:val="left"/>
      <w:lvlText w:val="(%2)"/>
      <w:numFmt w:val="lowerLetter"/>
      <w:start w:val="1"/>
    </w:lvl>
  </w:abstractNum>
  <w:abstractNum w:abstractNumId="95">
    <w:nsid w:val="2708C9AF"/>
    <w:multiLevelType w:val="hybridMultilevel"/>
    <w:lvl w:ilvl="0">
      <w:lvlJc w:val="left"/>
      <w:lvlText w:val="(%1)"/>
      <w:numFmt w:val="lowerLetter"/>
      <w:start w:val="1"/>
    </w:lvl>
  </w:abstractNum>
  <w:abstractNum w:abstractNumId="96">
    <w:nsid w:val="5B25ACE2"/>
    <w:multiLevelType w:val="hybridMultilevel"/>
    <w:lvl w:ilvl="0">
      <w:lvlJc w:val="left"/>
      <w:lvlText w:val="(%1)"/>
      <w:numFmt w:val="lowerLetter"/>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1)"/>
      <w:numFmt w:val="lowerLetter"/>
      <w:start w:val="1"/>
    </w:lvl>
  </w:abstractNum>
  <w:abstractNum w:abstractNumId="99">
    <w:nsid w:val="53B0A9E"/>
    <w:multiLevelType w:val="hybridMultilevel"/>
    <w:lvl w:ilvl="0">
      <w:lvlJc w:val="left"/>
      <w:lvlText w:val="(%1)"/>
      <w:numFmt w:val="lowerLetter"/>
      <w:start w:val="2"/>
    </w:lvl>
  </w:abstractNum>
  <w:abstractNum w:abstractNumId="100">
    <w:nsid w:val="34FD6B4F"/>
    <w:multiLevelType w:val="hybridMultilevel"/>
    <w:lvl w:ilvl="0">
      <w:lvlJc w:val="left"/>
      <w:lvlText w:val="(%1)"/>
      <w:numFmt w:val="lowerLetter"/>
      <w:start w:val="1"/>
    </w:lvl>
  </w:abstractNum>
  <w:abstractNum w:abstractNumId="101">
    <w:nsid w:val="5915FF32"/>
    <w:multiLevelType w:val="hybridMultilevel"/>
    <w:lvl w:ilvl="0">
      <w:lvlJc w:val="left"/>
      <w:lvlText w:val="(%1)"/>
      <w:numFmt w:val="lowerLetter"/>
      <w:start w:val="2"/>
    </w:lvl>
  </w:abstractNum>
  <w:abstractNum w:abstractNumId="102">
    <w:nsid w:val="56438D15"/>
    <w:multiLevelType w:val="hybridMultilevel"/>
    <w:lvl w:ilvl="0">
      <w:lvlJc w:val="left"/>
      <w:lvlText w:val="(%1)"/>
      <w:numFmt w:val="lowerLetter"/>
      <w:start w:val="1"/>
    </w:lvl>
  </w:abstractNum>
  <w:abstractNum w:abstractNumId="103">
    <w:nsid w:val="519E3149"/>
    <w:multiLevelType w:val="hybridMultilevel"/>
    <w:lvl w:ilvl="0">
      <w:lvlJc w:val="left"/>
      <w:lvlText w:val="(%1)"/>
      <w:numFmt w:val="lowerLetter"/>
      <w:start w:val="2"/>
    </w:lvl>
    <w:lvl w:ilvl="1">
      <w:lvlJc w:val="left"/>
      <w:lvlText w:val="(%2)"/>
      <w:numFmt w:val="lowerLetter"/>
      <w:start w:val="9"/>
    </w:lvl>
  </w:abstractNum>
  <w:abstractNum w:abstractNumId="104">
    <w:nsid w:val="2C6E4AFD"/>
    <w:multiLevelType w:val="hybridMultilevel"/>
    <w:lvl w:ilvl="0">
      <w:lvlJc w:val="left"/>
      <w:lvlText w:val="%1"/>
      <w:numFmt w:val="lowerLetter"/>
      <w:start w:val="1"/>
    </w:lvl>
    <w:lvl w:ilvl="1">
      <w:lvlJc w:val="left"/>
      <w:lvlText w:val="(%2)"/>
      <w:numFmt w:val="lowerLetter"/>
      <w:start w:val="35"/>
    </w:lvl>
  </w:abstractNum>
  <w:abstractNum w:abstractNumId="105">
    <w:nsid w:val="17A1B582"/>
    <w:multiLevelType w:val="hybridMultilevel"/>
    <w:lvl w:ilvl="0">
      <w:lvlJc w:val="left"/>
      <w:lvlText w:val="(%1)"/>
      <w:numFmt w:val="lowerLetter"/>
      <w:start w:val="4"/>
    </w:lvl>
    <w:lvl w:ilvl="1">
      <w:lvlJc w:val="left"/>
      <w:lvlText w:val="%2"/>
      <w:numFmt w:val="lowerLetter"/>
      <w:start w:val="1"/>
    </w:lvl>
  </w:abstractNum>
  <w:abstractNum w:abstractNumId="106">
    <w:nsid w:val="4DF72E4E"/>
    <w:multiLevelType w:val="hybridMultilevel"/>
    <w:lvl w:ilvl="0">
      <w:lvlJc w:val="left"/>
      <w:lvlText w:val="(%1)"/>
      <w:numFmt w:val="lowerLetter"/>
      <w:start w:val="1"/>
    </w:lvl>
  </w:abstractNum>
  <w:abstractNum w:abstractNumId="107">
    <w:nsid w:val="5046B5A9"/>
    <w:multiLevelType w:val="hybridMultilevel"/>
    <w:lvl w:ilvl="0">
      <w:lvlJc w:val="left"/>
      <w:lvlText w:val="(%1)"/>
      <w:numFmt w:val="lowerLetter"/>
      <w:start w:val="1"/>
    </w:lvl>
  </w:abstractNum>
  <w:abstractNum w:abstractNumId="108">
    <w:nsid w:val="5D888A08"/>
    <w:multiLevelType w:val="hybridMultilevel"/>
    <w:lvl w:ilvl="0">
      <w:lvlJc w:val="left"/>
      <w:lvlText w:val="(%1)"/>
      <w:numFmt w:val="lowerLetter"/>
      <w:start w:val="3"/>
    </w:lvl>
  </w:abstractNum>
  <w:abstractNum w:abstractNumId="109">
    <w:nsid w:val="2A082C70"/>
    <w:multiLevelType w:val="hybridMultilevel"/>
    <w:lvl w:ilvl="0">
      <w:lvlJc w:val="left"/>
      <w:lvlText w:val="(%1)"/>
      <w:numFmt w:val="lowerLetter"/>
      <w:start w:val="1"/>
    </w:lvl>
    <w:lvl w:ilvl="1">
      <w:lvlJc w:val="left"/>
      <w:lvlText w:val="(%2)"/>
      <w:numFmt w:val="lowerRoman"/>
      <w:start w:val="1"/>
    </w:lvl>
  </w:abstractNum>
  <w:abstractNum w:abstractNumId="110">
    <w:nsid w:val="5EC6AFD4"/>
    <w:multiLevelType w:val="hybridMultilevel"/>
    <w:lvl w:ilvl="0">
      <w:lvlJc w:val="left"/>
      <w:lvlText w:val="%1"/>
      <w:numFmt w:val="lowerLetter"/>
      <w:start w:val="1"/>
    </w:lvl>
    <w:lvl w:ilvl="1">
      <w:lvlJc w:val="left"/>
      <w:lvlText w:val="(%2)"/>
      <w:numFmt w:val="lowerLetter"/>
      <w:start w:val="61"/>
    </w:lvl>
  </w:abstractNum>
  <w:abstractNum w:abstractNumId="111">
    <w:nsid w:val="19E21BB2"/>
    <w:multiLevelType w:val="hybridMultilevel"/>
    <w:lvl w:ilvl="0">
      <w:lvlJc w:val="left"/>
      <w:lvlText w:val="(%1)"/>
      <w:numFmt w:val="lowerLetter"/>
      <w:start w:val="3"/>
    </w:lvl>
    <w:lvl w:ilvl="1">
      <w:lvlJc w:val="left"/>
      <w:lvlText w:val="%2"/>
      <w:numFmt w:val="lowerLetter"/>
      <w:start w:val="1"/>
    </w:lvl>
  </w:abstractNum>
  <w:abstractNum w:abstractNumId="112">
    <w:nsid w:val="75E0858A"/>
    <w:multiLevelType w:val="hybridMultilevel"/>
    <w:lvl w:ilvl="0">
      <w:lvlJc w:val="left"/>
      <w:lvlText w:val="(%1)"/>
      <w:numFmt w:val="lowerLetter"/>
      <w:start w:val="1"/>
    </w:lvl>
  </w:abstractNum>
  <w:abstractNum w:abstractNumId="113">
    <w:nsid w:val="57A61A29"/>
    <w:multiLevelType w:val="hybridMultilevel"/>
    <w:lvl w:ilvl="0">
      <w:lvlJc w:val="left"/>
      <w:lvlText w:val="(%1)"/>
      <w:numFmt w:val="lowerLetter"/>
      <w:start w:val="5"/>
    </w:lvl>
  </w:abstractNum>
  <w:abstractNum w:abstractNumId="114">
    <w:nsid w:val="5399C654"/>
    <w:multiLevelType w:val="hybridMultilevel"/>
    <w:lvl w:ilvl="0">
      <w:lvlJc w:val="left"/>
      <w:lvlText w:val="(%1)"/>
      <w:numFmt w:val="lowerLetter"/>
      <w:start w:val="1"/>
    </w:lvl>
    <w:lvl w:ilvl="1">
      <w:lvlJc w:val="left"/>
      <w:lvlText w:val="(%2)"/>
      <w:numFmt w:val="lowerLetter"/>
      <w:start w:val="9"/>
    </w:lvl>
  </w:abstractNum>
  <w:abstractNum w:abstractNumId="115">
    <w:nsid w:val="20EE1348"/>
    <w:multiLevelType w:val="hybridMultilevel"/>
    <w:lvl w:ilvl="0">
      <w:lvlJc w:val="left"/>
      <w:lvlText w:val="%1"/>
      <w:numFmt w:val="lowerLetter"/>
      <w:start w:val="1"/>
    </w:lvl>
    <w:lvl w:ilvl="1">
      <w:lvlJc w:val="left"/>
      <w:lvlText w:val="(%2)"/>
      <w:numFmt w:val="lowerLetter"/>
      <w:start w:val="35"/>
    </w:lvl>
  </w:abstractNum>
  <w:abstractNum w:abstractNumId="116">
    <w:nsid w:val="4427069A"/>
    <w:multiLevelType w:val="hybridMultilevel"/>
    <w:lvl w:ilvl="0">
      <w:lvlJc w:val="left"/>
      <w:lvlText w:val="(%1)"/>
      <w:numFmt w:val="lowerLetter"/>
      <w:start w:val="4"/>
    </w:lvl>
    <w:lvl w:ilvl="1">
      <w:lvlJc w:val="left"/>
      <w:lvlText w:val="(%2)"/>
      <w:numFmt w:val="lowerLetter"/>
      <w:start w:val="9"/>
    </w:lvl>
  </w:abstractNum>
  <w:abstractNum w:abstractNumId="117">
    <w:nsid w:val="B37E80A"/>
    <w:multiLevelType w:val="hybridMultilevel"/>
    <w:lvl w:ilvl="0">
      <w:lvlJc w:val="left"/>
      <w:lvlText w:val="(%1)"/>
      <w:numFmt w:val="lowerRoman"/>
      <w:start w:val="2"/>
    </w:lvl>
  </w:abstractNum>
  <w:abstractNum w:abstractNumId="118">
    <w:nsid w:val="2157F6BC"/>
    <w:multiLevelType w:val="hybridMultilevel"/>
    <w:lvl w:ilvl="0">
      <w:lvlJc w:val="left"/>
      <w:lvlText w:val="(%1)"/>
      <w:numFmt w:val="lowerLetter"/>
      <w:start w:val="1"/>
    </w:lvl>
  </w:abstractNum>
  <w:abstractNum w:abstractNumId="119">
    <w:nsid w:val="704E1DD5"/>
    <w:multiLevelType w:val="hybridMultilevel"/>
    <w:lvl w:ilvl="0">
      <w:lvlJc w:val="left"/>
      <w:lvlText w:val="(%1)"/>
      <w:numFmt w:val="lowerLetter"/>
      <w:start w:val="4"/>
    </w:lvl>
  </w:abstractNum>
  <w:abstractNum w:abstractNumId="120">
    <w:nsid w:val="57D2F10E"/>
    <w:multiLevelType w:val="hybridMultilevel"/>
    <w:lvl w:ilvl="0">
      <w:lvlJc w:val="left"/>
      <w:lvlText w:val="(%1)"/>
      <w:numFmt w:val="lowerLetter"/>
      <w:start w:val="1"/>
    </w:lvl>
  </w:abstractNum>
  <w:abstractNum w:abstractNumId="121">
    <w:nsid w:val="BFFAE18"/>
    <w:multiLevelType w:val="hybridMultilevel"/>
    <w:lvl w:ilvl="0">
      <w:lvlJc w:val="left"/>
      <w:lvlText w:val="(%1)"/>
      <w:numFmt w:val="lowerLetter"/>
      <w:start w:val="6"/>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lowerLetter"/>
      <w:start w:val="8"/>
    </w:lvl>
  </w:abstractNum>
  <w:abstractNum w:abstractNumId="124">
    <w:nsid w:val="49D0FEAC"/>
    <w:multiLevelType w:val="hybridMultilevel"/>
    <w:lvl w:ilvl="0">
      <w:lvlJc w:val="left"/>
      <w:lvlText w:val="(%1)"/>
      <w:numFmt w:val="lowerLetter"/>
      <w:start w:val="1"/>
    </w:lvl>
  </w:abstractNum>
  <w:abstractNum w:abstractNumId="125">
    <w:nsid w:val="4BEE5A5B"/>
    <w:multiLevelType w:val="hybridMultilevel"/>
    <w:lvl w:ilvl="0">
      <w:lvlJc w:val="left"/>
      <w:lvlText w:val="(%1)"/>
      <w:numFmt w:val="lowerLetter"/>
      <w:start w:val="1"/>
    </w:lvl>
  </w:abstractNum>
  <w:abstractNum w:abstractNumId="126">
    <w:nsid w:val="5551B9F3"/>
    <w:multiLevelType w:val="hybridMultilevel"/>
    <w:lvl w:ilvl="0">
      <w:lvlJc w:val="left"/>
      <w:lvlText w:val="(%1)"/>
      <w:numFmt w:val="lowerLetter"/>
      <w:start w:val="1"/>
    </w:lvl>
  </w:abstractNum>
  <w:abstractNum w:abstractNumId="127">
    <w:nsid w:val="24F6AB8E"/>
    <w:multiLevelType w:val="hybridMultilevel"/>
    <w:lvl w:ilvl="0">
      <w:lvlJc w:val="left"/>
      <w:lvlText w:val="(%1)"/>
      <w:numFmt w:val="lowerLetter"/>
      <w:start w:val="1"/>
    </w:lvl>
  </w:abstractNum>
  <w:abstractNum w:abstractNumId="128">
    <w:nsid w:val="634C574C"/>
    <w:multiLevelType w:val="hybridMultilevel"/>
    <w:lvl w:ilvl="0">
      <w:lvlJc w:val="left"/>
      <w:lvlText w:val="(%1)"/>
      <w:numFmt w:val="lowerLetter"/>
      <w:start w:val="1"/>
    </w:lvl>
  </w:abstractNum>
  <w:abstractNum w:abstractNumId="129">
    <w:nsid w:val="24E99DD7"/>
    <w:multiLevelType w:val="hybridMultilevel"/>
    <w:lvl w:ilvl="0">
      <w:lvlJc w:val="left"/>
      <w:lvlText w:val="(%1)"/>
      <w:numFmt w:val="lowerLetter"/>
      <w:start w:val="3"/>
    </w:lvl>
  </w:abstractNum>
  <w:abstractNum w:abstractNumId="130">
    <w:nsid w:val="2A31B62D"/>
    <w:multiLevelType w:val="hybridMultilevel"/>
    <w:lvl w:ilvl="0">
      <w:lvlJc w:val="left"/>
      <w:lvlText w:val="(%1)"/>
      <w:numFmt w:val="lowerLetter"/>
      <w:start w:val="1"/>
    </w:lvl>
  </w:abstractNum>
  <w:abstractNum w:abstractNumId="131">
    <w:nsid w:val="1849C29B"/>
    <w:multiLevelType w:val="hybridMultilevel"/>
    <w:lvl w:ilvl="0">
      <w:lvlJc w:val="left"/>
      <w:lvlText w:val="(%1)"/>
      <w:numFmt w:val="lowerLetter"/>
      <w:start w:val="1"/>
    </w:lvl>
  </w:abstractNum>
  <w:abstractNum w:abstractNumId="132">
    <w:nsid w:val="7DFF9D09"/>
    <w:multiLevelType w:val="hybridMultilevel"/>
    <w:lvl w:ilvl="0">
      <w:lvlJc w:val="left"/>
      <w:lvlText w:val="(%1)"/>
      <w:numFmt w:val="lowerLetter"/>
      <w:start w:val="3"/>
    </w:lvl>
    <w:lvl w:ilvl="1">
      <w:lvlJc w:val="left"/>
      <w:lvlText w:val="(%2)"/>
      <w:numFmt w:val="lowerRoman"/>
      <w:start w:val="1"/>
    </w:lvl>
  </w:abstractNum>
  <w:abstractNum w:abstractNumId="133">
    <w:nsid w:val="754342"/>
    <w:multiLevelType w:val="hybridMultilevel"/>
    <w:lvl w:ilvl="0">
      <w:lvlJc w:val="left"/>
      <w:lvlText w:val="[***]"/>
      <w:numFmt w:val="bullet"/>
      <w:start w:val="1"/>
    </w:lvl>
    <w:lvl w:ilvl="1">
      <w:lvlJc w:val="left"/>
      <w:lvlText w:val="(%2)"/>
      <w:numFmt w:val="lowerLetter"/>
      <w:start w:val="1"/>
    </w:lvl>
  </w:abstractNum>
  <w:abstractNum w:abstractNumId="134">
    <w:nsid w:val="69E7F3E5"/>
    <w:multiLevelType w:val="hybridMultilevel"/>
    <w:lvl w:ilvl="0">
      <w:lvlJc w:val="left"/>
      <w:lvlText w:val="[***]"/>
      <w:numFmt w:val="bullet"/>
      <w:start w:val="1"/>
    </w:lvl>
  </w:abstractNum>
  <w:abstractNum w:abstractNumId="135">
    <w:nsid w:val="2A6DE806"/>
    <w:multiLevelType w:val="hybridMultilevel"/>
    <w:lvl w:ilvl="0">
      <w:lvlJc w:val="left"/>
      <w:lvlText w:val="(%1)"/>
      <w:numFmt w:val="lowerLetter"/>
      <w:start w:val="2"/>
    </w:lvl>
  </w:abstractNum>
  <w:abstractNum w:abstractNumId="136">
    <w:nsid w:val="1816F8C4"/>
    <w:multiLevelType w:val="hybridMultilevel"/>
    <w:lvl w:ilvl="0">
      <w:lvlJc w:val="left"/>
      <w:lvlText w:val="%1."/>
      <w:numFmt w:val="decimal"/>
      <w:start w:val="1"/>
    </w:lvl>
  </w:abstractNum>
  <w:abstractNum w:abstractNumId="137">
    <w:nsid w:val="37DF2233"/>
    <w:multiLevelType w:val="hybridMultilevel"/>
    <w:lvl w:ilvl="0">
      <w:lvlJc w:val="left"/>
      <w:lvlText w:val="(%1)"/>
      <w:numFmt w:val="lowerRoman"/>
      <w:start w:val="3"/>
    </w:lvl>
  </w:abstractNum>
  <w:abstractNum w:abstractNumId="138">
    <w:nsid w:val="7AB49DAF"/>
    <w:multiLevelType w:val="hybridMultilevel"/>
    <w:lvl w:ilvl="0">
      <w:lvlJc w:val="left"/>
      <w:lvlText w:val="%1."/>
      <w:numFmt w:val="decimal"/>
      <w:start w:val="3"/>
    </w:lvl>
  </w:abstractNum>
  <w:abstractNum w:abstractNumId="139">
    <w:nsid w:val="759F82CD"/>
    <w:multiLevelType w:val="hybridMultilevel"/>
    <w:lvl w:ilvl="0">
      <w:lvlJc w:val="left"/>
      <w:lvlText w:val="%1."/>
      <w:numFmt w:val="decimal"/>
      <w:start w:val="1"/>
    </w:lvl>
    <w:lvl w:ilvl="1">
      <w:lvlJc w:val="left"/>
      <w:lvlText w:val="%2."/>
      <w:numFmt w:val="decimal"/>
      <w:start w:val="5"/>
    </w:lvl>
  </w:abstractNum>
  <w:abstractNum w:abstractNumId="140">
    <w:nsid w:val="61E74EA3"/>
    <w:multiLevelType w:val="hybridMultilevel"/>
    <w:lvl w:ilvl="0">
      <w:lvlJc w:val="left"/>
      <w:lvlText w:val="%1."/>
      <w:numFmt w:val="decimal"/>
      <w:start w:val="5"/>
    </w:lvl>
  </w:abstractNum>
  <w:abstractNum w:abstractNumId="141">
    <w:nsid w:val="597B4D84"/>
    <w:multiLevelType w:val="hybridMultilevel"/>
    <w:lvl w:ilvl="0">
      <w:lvlJc w:val="left"/>
      <w:lvlText w:val="%1."/>
      <w:numFmt w:val="decimal"/>
      <w:start w:val="1"/>
    </w:lvl>
    <w:lvl w:ilvl="1">
      <w:lvlJc w:val="left"/>
      <w:lvlText w:val="%2."/>
      <w:numFmt w:val="decimal"/>
      <w:start w:val="5"/>
    </w:lvl>
  </w:abstractNum>
  <w:abstractNum w:abstractNumId="142">
    <w:nsid w:val="F819E7F"/>
    <w:multiLevelType w:val="hybridMultilevel"/>
    <w:lvl w:ilvl="0">
      <w:lvlJc w:val="left"/>
      <w:lvlText w:val="%1."/>
      <w:numFmt w:val="decimal"/>
      <w:start w:val="5"/>
    </w:lvl>
  </w:abstractNum>
  <w:abstractNum w:abstractNumId="143">
    <w:nsid w:val="57C7D42D"/>
    <w:multiLevelType w:val="hybridMultilevel"/>
    <w:lvl w:ilvl="0">
      <w:lvlJc w:val="left"/>
      <w:lvlText w:val="%1."/>
      <w:numFmt w:val="decimal"/>
      <w:start w:val="1"/>
    </w:lvl>
    <w:lvl w:ilvl="1">
      <w:lvlJc w:val="left"/>
      <w:lvlText w:val="%2."/>
      <w:numFmt w:val="decimal"/>
      <w:start w:val="5"/>
    </w:lvl>
  </w:abstractNum>
  <w:abstractNum w:abstractNumId="144">
    <w:nsid w:val="312167AD"/>
    <w:multiLevelType w:val="hybridMultilevel"/>
    <w:lvl w:ilvl="0">
      <w:lvlJc w:val="left"/>
      <w:lvlText w:val="%1."/>
      <w:numFmt w:val="decimal"/>
      <w:start w:val="5"/>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lvl w:ilvl="1">
      <w:lvlJc w:val="left"/>
      <w:lvlText w:val="(%2)"/>
      <w:numFmt w:val="lowerLetter"/>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161" Type="http://schemas.openxmlformats.org/officeDocument/2006/relationships/hyperlink" Target="http://www.sec.gov/Archives/edgar/data/1664710/000119312520105266/d891585dex31.htm" TargetMode="External"/><Relationship Id="rId162" Type="http://schemas.openxmlformats.org/officeDocument/2006/relationships/hyperlink" Target="http://www.sec.gov/Archives/edgar/data/1664710/000119312520105266/d891585dex32.htm" TargetMode="External"/><Relationship Id="rId163" Type="http://schemas.openxmlformats.org/officeDocument/2006/relationships/hyperlink" Target="http://www.sec.gov/Archives/edgar/data/1664710/000119312520074978/d855212dex41.htm" TargetMode="External"/><Relationship Id="rId164" Type="http://schemas.openxmlformats.org/officeDocument/2006/relationships/hyperlink" Target="http://www.sec.gov/Archives/edgar/data/1664710/000119312520093365/d855212dex42.htm" TargetMode="External"/><Relationship Id="rId165" Type="http://schemas.openxmlformats.org/officeDocument/2006/relationships/hyperlink" Target="http://www.sec.gov/Archives/edgar/data/1664710/000119312520093365/d855212dex101.htm" TargetMode="External"/><Relationship Id="rId166" Type="http://schemas.openxmlformats.org/officeDocument/2006/relationships/hyperlink" Target="http://www.sec.gov/Archives/edgar/data/1664710/000119312520074978/d855212dex102.htm" TargetMode="External"/><Relationship Id="rId167" Type="http://schemas.openxmlformats.org/officeDocument/2006/relationships/hyperlink" Target="http://www.sec.gov/Archives/edgar/data/1664710/000119312520074978/d855212dex103.htm" TargetMode="External"/><Relationship Id="rId168" Type="http://schemas.openxmlformats.org/officeDocument/2006/relationships/hyperlink" Target="http://www.sec.gov/Archives/edgar/data/1664710/000119312520093365/d855212dex104.htm" TargetMode="External"/><Relationship Id="rId169" Type="http://schemas.openxmlformats.org/officeDocument/2006/relationships/hyperlink" Target="http://www.sec.gov/Archives/edgar/data/1664710/000119312520093365/d855212dex105.htm" TargetMode="External"/><Relationship Id="rId170" Type="http://schemas.openxmlformats.org/officeDocument/2006/relationships/hyperlink" Target="http://www.sec.gov/Archives/edgar/data/1664710/000119312520093365/d855212dex106.htm" TargetMode="External"/><Relationship Id="rId171" Type="http://schemas.openxmlformats.org/officeDocument/2006/relationships/hyperlink" Target="http://www.sec.gov/Archives/edgar/data/1664710/000119312520074978/d855212dex107.htm" TargetMode="External"/><Relationship Id="rId172" Type="http://schemas.openxmlformats.org/officeDocument/2006/relationships/hyperlink" Target="http://www.sec.gov/Archives/edgar/data/1664710/000119312520074978/d855212dex108.htm" TargetMode="External"/><Relationship Id="rId175" Type="http://schemas.openxmlformats.org/officeDocument/2006/relationships/hyperlink" Target="http://www.sec.gov/Archives/edgar/data/1664710/000119312520074978/d855212dex1010.htm" TargetMode="External"/><Relationship Id="rId176" Type="http://schemas.openxmlformats.org/officeDocument/2006/relationships/hyperlink" Target="http://www.sec.gov/Archives/edgar/data/1664710/000119312520074978/d855212dex1012.htm" TargetMode="External"/><Relationship Id="rId177" Type="http://schemas.openxmlformats.org/officeDocument/2006/relationships/hyperlink" Target="https://www.sec.gov/Archives/edgar/data/1664710/000166471021000053/exhibit103.htm" TargetMode="External"/><Relationship Id="rId178" Type="http://schemas.openxmlformats.org/officeDocument/2006/relationships/hyperlink" Target="http://www.sec.gov/Archives/edgar/data/1664710/000119312520074978/d855212dex1013.htm" TargetMode="External"/><Relationship Id="rId179" Type="http://schemas.openxmlformats.org/officeDocument/2006/relationships/hyperlink" Target="http://www.sec.gov/Archives/edgar/data/1664710/000119312520093365/d855212dex1014.htm" TargetMode="External"/><Relationship Id="rId180" Type="http://schemas.openxmlformats.org/officeDocument/2006/relationships/hyperlink" Target="http://www.sec.gov/Archives/edgar/data/1664710/000119312520093365/d855212dex1015.htm" TargetMode="External"/><Relationship Id="rId181" Type="http://schemas.openxmlformats.org/officeDocument/2006/relationships/hyperlink" Target="http://www.sec.gov/Archives/edgar/data/1664710/000119312520093365/d855212dex1017.htm" TargetMode="External"/><Relationship Id="rId182" Type="http://schemas.openxmlformats.org/officeDocument/2006/relationships/hyperlink" Target="https://www.sec.gov/Archives/edgar/data/1664710/000166471021000048/exhibit101.htm" TargetMode="External"/><Relationship Id="rId183" Type="http://schemas.openxmlformats.org/officeDocument/2006/relationships/hyperlink" Target="https://www.sec.gov/Archives/edgar/data/1664710/000166471021000048/exhibit102.htm" TargetMode="External"/><Relationship Id="rId184" Type="http://schemas.openxmlformats.org/officeDocument/2006/relationships/hyperlink" Target="https://www.sec.gov/Archives/edgar/data/1664710/000166471022000002/exhibit101coo.htm" TargetMode="External"/><Relationship Id="rId185" Type="http://schemas.openxmlformats.org/officeDocument/2006/relationships/hyperlink" Target="https://www.sec.gov/Archives/edgar/data/1664710/000166471021000065/exhibit101q3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2022-03-09T15:17:17Z</dcterms:created>
  <dcterms:modified xsi:type="dcterms:W3CDTF">2022-03-09T15:17:17Z</dcterms:modified>
</cp:coreProperties>
</file>