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683260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Keros Therapeutics, Inc.</w:t>
      </w:r>
    </w:p>
    <w:p>
      <w:pPr>
        <w:spacing w:after="0" w:line="3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2"/>
                <w:szCs w:val="12"/>
                <w:b w:val="1"/>
                <w:bCs w:val="1"/>
                <w:color w:val="auto"/>
                <w:w w:val="99"/>
              </w:rPr>
              <w:t>001-39264</w:t>
            </w:r>
          </w:p>
        </w:tc>
        <w:tc>
          <w:tcPr>
            <w:tcW w:w="162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81-1173868</w:t>
            </w:r>
          </w:p>
        </w:tc>
        <w:tc>
          <w:tcPr>
            <w:tcW w:w="0" w:type="dxa"/>
            <w:vAlign w:val="bottom"/>
          </w:tcPr>
          <w:p>
            <w:pPr>
              <w:spacing w:after="0"/>
              <w:rPr>
                <w:sz w:val="1"/>
                <w:szCs w:val="1"/>
                <w:color w:val="auto"/>
              </w:rPr>
            </w:pPr>
          </w:p>
        </w:tc>
      </w:tr>
      <w:tr>
        <w:trPr>
          <w:trHeight w:val="137"/>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500" w:type="dxa"/>
            <w:vAlign w:val="bottom"/>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62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500" w:type="dxa"/>
            <w:vAlign w:val="bottom"/>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1620" w:type="dxa"/>
            <w:vAlign w:val="bottom"/>
          </w:tcPr>
          <w:p>
            <w:pPr>
              <w:jc w:val="center"/>
              <w:ind w:left="80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c>
          <w:tcPr>
            <w:tcW w:w="0" w:type="dxa"/>
            <w:vAlign w:val="bottom"/>
          </w:tcPr>
          <w:p>
            <w:pPr>
              <w:spacing w:after="0"/>
              <w:rPr>
                <w:sz w:val="1"/>
                <w:szCs w:val="1"/>
                <w:color w:val="auto"/>
              </w:rPr>
            </w:pP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1050 Waltham Street</w:t>
            </w:r>
            <w:r>
              <w:rPr>
                <w:rFonts w:ascii="Arial" w:cs="Arial" w:eastAsia="Arial" w:hAnsi="Arial"/>
                <w:sz w:val="14"/>
                <w:szCs w:val="14"/>
                <w:color w:val="auto"/>
              </w:rPr>
              <w:t>,</w:t>
            </w:r>
            <w:r>
              <w:rPr>
                <w:rFonts w:ascii="Times New Roman" w:cs="Times New Roman" w:eastAsia="Times New Roman" w:hAnsi="Times New Roman"/>
                <w:sz w:val="12"/>
                <w:szCs w:val="12"/>
                <w:b w:val="1"/>
                <w:bCs w:val="1"/>
                <w:color w:val="auto"/>
              </w:rPr>
              <w:t xml:space="preserve"> Suite 302</w:t>
            </w:r>
          </w:p>
        </w:tc>
        <w:tc>
          <w:tcPr>
            <w:tcW w:w="5500" w:type="dxa"/>
            <w:vAlign w:val="bottom"/>
            <w:vMerge w:val="restart"/>
          </w:tcPr>
          <w:p>
            <w:pPr>
              <w:jc w:val="center"/>
              <w:ind w:right="3428"/>
              <w:spacing w:after="0"/>
              <w:rPr>
                <w:sz w:val="20"/>
                <w:szCs w:val="20"/>
                <w:color w:val="auto"/>
              </w:rPr>
            </w:pPr>
            <w:r>
              <w:rPr>
                <w:rFonts w:ascii="Times New Roman" w:cs="Times New Roman" w:eastAsia="Times New Roman" w:hAnsi="Times New Roman"/>
                <w:sz w:val="12"/>
                <w:szCs w:val="12"/>
                <w:b w:val="1"/>
                <w:bCs w:val="1"/>
                <w:color w:val="auto"/>
              </w:rPr>
              <w:t>Lexington</w:t>
            </w:r>
            <w:r>
              <w:rPr>
                <w:rFonts w:ascii="Arial" w:cs="Arial" w:eastAsia="Arial" w:hAnsi="Arial"/>
                <w:sz w:val="14"/>
                <w:szCs w:val="14"/>
                <w:color w:val="auto"/>
              </w:rPr>
              <w:t>,</w:t>
            </w:r>
            <w:r>
              <w:rPr>
                <w:rFonts w:ascii="Times New Roman" w:cs="Times New Roman" w:eastAsia="Times New Roman" w:hAnsi="Times New Roman"/>
                <w:sz w:val="12"/>
                <w:szCs w:val="12"/>
                <w:b w:val="1"/>
                <w:bCs w:val="1"/>
                <w:color w:val="auto"/>
              </w:rPr>
              <w:t xml:space="preserve"> Massachusetts</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rPr>
                <w:sz w:val="15"/>
                <w:szCs w:val="15"/>
                <w:color w:val="auto"/>
              </w:rPr>
            </w:pPr>
          </w:p>
        </w:tc>
        <w:tc>
          <w:tcPr>
            <w:tcW w:w="5500" w:type="dxa"/>
            <w:vAlign w:val="bottom"/>
            <w:vMerge w:val="continue"/>
          </w:tcPr>
          <w:p>
            <w:pPr>
              <w:spacing w:after="0"/>
              <w:rPr>
                <w:sz w:val="15"/>
                <w:szCs w:val="15"/>
                <w:color w:val="auto"/>
              </w:rPr>
            </w:pPr>
          </w:p>
        </w:tc>
        <w:tc>
          <w:tcPr>
            <w:tcW w:w="162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02421</w:t>
            </w: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5500" w:type="dxa"/>
            <w:vAlign w:val="bottom"/>
          </w:tcPr>
          <w:p>
            <w:pPr>
              <w:jc w:val="center"/>
              <w:ind w:right="3448"/>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620" w:type="dxa"/>
            <w:vAlign w:val="bottom"/>
          </w:tcPr>
          <w:p>
            <w:pPr>
              <w:jc w:val="center"/>
              <w:ind w:left="807"/>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314"/>
        </w:trPr>
        <w:tc>
          <w:tcPr>
            <w:tcW w:w="1860" w:type="dxa"/>
            <w:vAlign w:val="bottom"/>
          </w:tcPr>
          <w:p>
            <w:pPr>
              <w:spacing w:after="0"/>
              <w:rPr>
                <w:sz w:val="24"/>
                <w:szCs w:val="24"/>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314-6297</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860" w:type="dxa"/>
            <w:vAlign w:val="bottom"/>
          </w:tcPr>
          <w:p>
            <w:pPr>
              <w:spacing w:after="0"/>
              <w:rPr>
                <w:sz w:val="24"/>
                <w:szCs w:val="24"/>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6"/>
              </w:rPr>
              <w:t>Not applicable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5500" w:type="dxa"/>
            <w:vAlign w:val="bottom"/>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13" w:lineRule="exact"/>
        <w:rPr>
          <w:rFonts w:ascii="MS PGothic" w:cs="MS PGothic" w:eastAsia="MS PGothic" w:hAnsi="MS PGothic"/>
          <w:sz w:val="12"/>
          <w:szCs w:val="12"/>
          <w:color w:val="auto"/>
        </w:rPr>
      </w:pPr>
    </w:p>
    <w:p>
      <w:pPr>
        <w:ind w:left="380" w:hanging="376"/>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22"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512445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25" w:right="1440" w:bottom="1440" w:gutter="0" w:footer="0" w:header="0"/>
        </w:sectPr>
      </w:pPr>
    </w:p>
    <w:bookmarkStart w:id="1" w:name="page2"/>
    <w:bookmarkEnd w:id="1"/>
    <w:p>
      <w:pPr>
        <w:ind w:left="360" w:hanging="356"/>
        <w:spacing w:after="0"/>
        <w:tabs>
          <w:tab w:leader="none" w:pos="3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2"/>
          </w:tcPr>
          <w:p>
            <w:pPr>
              <w:ind w:left="170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3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820" w:type="dxa"/>
            <w:vAlign w:val="bottom"/>
            <w:gridSpan w:val="2"/>
          </w:tcPr>
          <w:p>
            <w:pPr>
              <w:ind w:left="170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51"/>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$0.0001 par value per share</w:t>
            </w:r>
          </w:p>
        </w:tc>
        <w:tc>
          <w:tcPr>
            <w:tcW w:w="382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KROS</w:t>
            </w:r>
          </w:p>
        </w:tc>
        <w:tc>
          <w:tcPr>
            <w:tcW w:w="3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5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7" w:lineRule="exact"/>
        <w:rPr>
          <w:sz w:val="20"/>
          <w:szCs w:val="20"/>
          <w:color w:val="auto"/>
        </w:rPr>
      </w:pPr>
    </w:p>
    <w:p>
      <w:pPr>
        <w:ind w:right="10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708025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03" w:right="299" w:bottom="1440" w:gutter="0" w:footer="0" w:header="0"/>
        </w:sectPr>
      </w:pPr>
    </w:p>
    <w:bookmarkStart w:id="2" w:name="page3"/>
    <w:bookmarkEnd w:id="2"/>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On January 3, 2024, Keros Therapeutics, Inc. (the “Company”) updated its corporate presentation for use in meetings with investors, analysts and others. The presentation is available through the Company’s website and a copy is attached as Exhibit 99.1 to this Current Report on Form 8-K.</w:t>
      </w:r>
    </w:p>
    <w:p>
      <w:pPr>
        <w:spacing w:after="0" w:line="12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under Item 7.01 in this Current Report on Form 8-K, including Exhibit 99.1 attached hereto, is being furnished and shall not be deemed “filed” for purposes of Section 18 of the Securities Exchange Act of 1934, as amended (the “Exchange Act”) or otherwise subject to the liabilities of that section. Such information and the accompanying Exhibit 99.1 are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On January 3, 2024, the Company issued a press release announcing that it plans to develop KER-065, a novel ligand trap designed to bind to and inhibit TGF-ß ligands, including myostatin (GDF8) and activin A, for the treatment of obesity. The Company also announced that it commenced its randomized, double-blind, placebo-controlled, two-part Phase 1 clinical trial to evaluate single and multiple ascending doses of KER-065 in healthy volunteers. A copy of the press release is attached as Exhibit 99.2 to this Current Report on Form 8-K and is incorporated herein by reference.</w:t>
      </w:r>
    </w:p>
    <w:p>
      <w:pPr>
        <w:spacing w:after="0" w:line="1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60" w:type="dxa"/>
            <w:vAlign w:val="bottom"/>
          </w:tcPr>
          <w:p>
            <w:pPr>
              <w:spacing w:after="0"/>
              <w:rPr>
                <w:sz w:val="14"/>
                <w:szCs w:val="14"/>
                <w:color w:val="auto"/>
              </w:rPr>
            </w:pPr>
          </w:p>
        </w:tc>
        <w:tc>
          <w:tcPr>
            <w:tcW w:w="8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 w:type="dxa"/>
            <w:vAlign w:val="bottom"/>
          </w:tcPr>
          <w:p>
            <w:pPr>
              <w:spacing w:after="0"/>
              <w:rPr>
                <w:sz w:val="14"/>
                <w:szCs w:val="14"/>
                <w:color w:val="auto"/>
              </w:rPr>
            </w:pPr>
          </w:p>
        </w:tc>
      </w:tr>
      <w:tr>
        <w:trPr>
          <w:trHeight w:val="133"/>
        </w:trPr>
        <w:tc>
          <w:tcPr>
            <w:tcW w:w="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90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Corporate Presentation dated January 2024.</w:t>
            </w:r>
          </w:p>
        </w:tc>
      </w:tr>
      <w:tr>
        <w:trPr>
          <w:trHeight w:val="160"/>
        </w:trPr>
        <w:tc>
          <w:tcPr>
            <w:tcW w:w="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dated January 3, 2024.</w:t>
            </w:r>
          </w:p>
        </w:tc>
        <w:tc>
          <w:tcPr>
            <w:tcW w:w="360" w:type="dxa"/>
            <w:vAlign w:val="bottom"/>
            <w:tcBorders>
              <w:top w:val="single" w:sz="8" w:color="0000FF"/>
            </w:tcBorders>
          </w:tcPr>
          <w:p>
            <w:pPr>
              <w:spacing w:after="0"/>
              <w:rPr>
                <w:sz w:val="13"/>
                <w:szCs w:val="13"/>
                <w:color w:val="auto"/>
              </w:rPr>
            </w:pPr>
          </w:p>
        </w:tc>
        <w:tc>
          <w:tcPr>
            <w:tcW w:w="6800" w:type="dxa"/>
            <w:vAlign w:val="bottom"/>
            <w:gridSpan w:val="2"/>
          </w:tcPr>
          <w:p>
            <w:pPr>
              <w:spacing w:after="0"/>
              <w:rPr>
                <w:sz w:val="13"/>
                <w:szCs w:val="13"/>
                <w:color w:val="auto"/>
              </w:rPr>
            </w:pP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801"/>
        </w:trPr>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b w:val="1"/>
          <w:bCs w:val="1"/>
          <w:color w:val="auto"/>
        </w:rPr>
        <w:t>KEROS THERAPEUTICS, INC.</w:t>
      </w:r>
    </w:p>
    <w:p>
      <w:pPr>
        <w:spacing w:after="0" w:line="226" w:lineRule="exact"/>
        <w:rPr>
          <w:sz w:val="20"/>
          <w:szCs w:val="20"/>
          <w:color w:val="auto"/>
        </w:rPr>
      </w:pPr>
    </w:p>
    <w:p>
      <w:pPr>
        <w:ind w:left="6460"/>
        <w:spacing w:after="0"/>
        <w:tabs>
          <w:tab w:leader="none" w:pos="70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22225</wp:posOffset>
            </wp:positionV>
            <wp:extent cx="26689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8905" cy="5715"/>
                    </a:xfrm>
                    <a:prstGeom prst="rect">
                      <a:avLst/>
                    </a:prstGeom>
                    <a:noFill/>
                  </pic:spPr>
                </pic:pic>
              </a:graphicData>
            </a:graphic>
          </wp:anchor>
        </w:drawing>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2"/>
          <w:szCs w:val="12"/>
          <w:color w:val="auto"/>
        </w:rPr>
        <w:t>Jasbir Seehra, Ph.D.</w:t>
      </w:r>
    </w:p>
    <w:p>
      <w:pPr>
        <w:spacing w:after="0" w:line="2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January 3, 2024</w:t>
      </w:r>
    </w:p>
    <w:p>
      <w:pPr>
        <w:sectPr>
          <w:pgSz w:w="11900" w:h="16838" w:orient="portrait"/>
          <w:cols w:equalWidth="0" w:num="1">
            <w:col w:w="10159"/>
          </w:cols>
          <w:pgMar w:left="300" w:top="77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left="10640"/>
        <w:spacing w:after="0"/>
        <w:rPr>
          <w:sz w:val="20"/>
          <w:szCs w:val="20"/>
          <w:color w:val="auto"/>
        </w:rPr>
      </w:pPr>
      <w:r>
        <w:rPr>
          <w:rFonts w:ascii="Calibri" w:cs="Calibri" w:eastAsia="Calibri" w:hAnsi="Calibri"/>
          <w:sz w:val="13"/>
          <w:szCs w:val="13"/>
          <w:b w:val="1"/>
          <w:bCs w:val="1"/>
          <w:color w:val="auto"/>
        </w:rPr>
        <w:t>Exhibit 99.2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23"/>
          <w:szCs w:val="23"/>
          <w:color w:val="555555"/>
        </w:rPr>
        <w:t>Keros Therapeutcs to Develop KER-065 for the Treatment of Obesity</w:t>
      </w:r>
    </w:p>
    <w:p>
      <w:pPr>
        <w:spacing w:after="0" w:line="150" w:lineRule="exact"/>
        <w:rPr>
          <w:sz w:val="20"/>
          <w:szCs w:val="20"/>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i w:val="1"/>
          <w:iCs w:val="1"/>
          <w:color w:val="auto"/>
        </w:rPr>
        <w:t>Keros commenced a randomized, double-blind, placebo-controlled, two-part Phase 1 clinical trial to evaluate single and multple ascending doses of KER-065 in healthy volunteers</w:t>
      </w:r>
    </w:p>
    <w:p>
      <w:pPr>
        <w:ind w:left="420" w:hanging="212"/>
        <w:spacing w:after="0" w:line="231"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i w:val="1"/>
          <w:iCs w:val="1"/>
          <w:color w:val="auto"/>
        </w:rPr>
        <w:t>Keros expects to report inital data from this Phase 1 clinical trial in the frst quarter of 2025</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i w:val="1"/>
          <w:iCs w:val="1"/>
          <w:color w:val="auto"/>
        </w:rPr>
        <w:t>Preclinical data showed potental proof-of-mechanism of KER-065 for the treatment of obesity</w:t>
      </w:r>
    </w:p>
    <w:p>
      <w:pPr>
        <w:ind w:left="420" w:right="140" w:hanging="212"/>
        <w:spacing w:after="0" w:line="224" w:lineRule="auto"/>
        <w:tabs>
          <w:tab w:leader="none" w:pos="415" w:val="left"/>
        </w:tabs>
        <w:numPr>
          <w:ilvl w:val="0"/>
          <w:numId w:val="3"/>
        </w:numPr>
        <w:rPr>
          <w:rFonts w:ascii="Calibri" w:cs="Calibri" w:eastAsia="Calibri" w:hAnsi="Calibri"/>
          <w:sz w:val="13"/>
          <w:szCs w:val="13"/>
          <w:color w:val="auto"/>
        </w:rPr>
      </w:pPr>
      <w:r>
        <w:rPr>
          <w:rFonts w:ascii="Calibri" w:cs="Calibri" w:eastAsia="Calibri" w:hAnsi="Calibri"/>
          <w:sz w:val="13"/>
          <w:szCs w:val="13"/>
          <w:i w:val="1"/>
          <w:iCs w:val="1"/>
          <w:color w:val="auto"/>
        </w:rPr>
        <w:t>Keros believes these preclinical data support developing KER-065 for the treatment of obesity, and Keros plans to initate a proof-of-concept trial of KER-065 in obese patents following completon of this Phase 1 clinical trial</w:t>
      </w:r>
    </w:p>
    <w:p>
      <w:pPr>
        <w:spacing w:after="0" w:line="150" w:lineRule="exact"/>
        <w:rPr>
          <w:sz w:val="20"/>
          <w:szCs w:val="20"/>
          <w:color w:val="auto"/>
        </w:rPr>
      </w:pPr>
    </w:p>
    <w:p>
      <w:pPr>
        <w:ind w:right="40"/>
        <w:spacing w:after="0" w:line="228" w:lineRule="auto"/>
        <w:rPr>
          <w:sz w:val="20"/>
          <w:szCs w:val="20"/>
          <w:color w:val="auto"/>
        </w:rPr>
      </w:pPr>
      <w:r>
        <w:rPr>
          <w:rFonts w:ascii="Calibri" w:cs="Calibri" w:eastAsia="Calibri" w:hAnsi="Calibri"/>
          <w:sz w:val="13"/>
          <w:szCs w:val="13"/>
          <w:color w:val="auto"/>
        </w:rPr>
        <w:t>LEXINGTON, Mass., Jan. 3, 2024 (GLOBE NEWSWIRE) -- Keros Therapeutcs, Inc. (“Keros” or “we”) (Nasdaq: KROS), a clinical-stage biopharmaceutcal company focused on developing and commercializing novel therapeutcs to treat a wide range of patents with disorders that are linked to dysfunctonal signaling of the transforming growth factor-beta (“TGF-ß”) family of proteins, today announced that it plans to develop KER-065, a novel ligand trap designed to bind to and inhibit TGF-ß ligands, including myostatn (GDF8) and actvin A, for the treatment of obesity.</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color w:val="auto"/>
        </w:rPr>
        <w:t>“Obesity is a complex and chronic disease associated with numerous comorbidites and a growing prevalence in patents. We believe there is a need for additonal treatment optons, including one that leads to weight loss without an associated loss of muscle and a potental for frailty. Based on our preclinical data, we believe that KER-065 has the potental to treat obesity without those limitatons, by increasing skeletal muscle, reducing fat mass through an increase in energy expenditure, improving insulin sensitvity and improving cardiac functon,” said Jasbir S. Seehra, Ph.D., President and Chief Executve Ofcer of Keros. “To that end, we recently commenced our Phase 1 clinical trial evaluatng KER-065 in healthy volunteers and, following its successful completon, plan to initate a proof-of-concept trial of KER-065 in obese patents.”</w:t>
      </w:r>
    </w:p>
    <w:p>
      <w:pPr>
        <w:spacing w:after="0" w:line="265" w:lineRule="exact"/>
        <w:rPr>
          <w:sz w:val="20"/>
          <w:szCs w:val="20"/>
          <w:color w:val="auto"/>
        </w:rPr>
      </w:pPr>
    </w:p>
    <w:p>
      <w:pPr>
        <w:ind w:right="80"/>
        <w:spacing w:after="0" w:line="227" w:lineRule="auto"/>
        <w:rPr>
          <w:sz w:val="20"/>
          <w:szCs w:val="20"/>
          <w:color w:val="auto"/>
        </w:rPr>
      </w:pPr>
      <w:r>
        <w:rPr>
          <w:rFonts w:ascii="Calibri" w:cs="Calibri" w:eastAsia="Calibri" w:hAnsi="Calibri"/>
          <w:sz w:val="13"/>
          <w:szCs w:val="13"/>
          <w:color w:val="auto"/>
        </w:rPr>
        <w:t>Preclinical data showed potental proof-of-mechanism of KER-065 for the treatment of obesity with a research form of KER-065 (“RKER-065”) and a research form of another ActRII ligand trap closely related to KER-065 (“RKER-034”). Specifcally, in preclinical studies:</w:t>
      </w:r>
    </w:p>
    <w:p>
      <w:pPr>
        <w:spacing w:after="0" w:line="157" w:lineRule="exact"/>
        <w:rPr>
          <w:sz w:val="20"/>
          <w:szCs w:val="20"/>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KER-065 and KER-034 each showed high afnity for and potent inhibiton of ligands, including actvin A and myostatn (GDF8), which are key negatve regulators of muscle and bone growth.</w:t>
      </w:r>
    </w:p>
    <w:p>
      <w:pPr>
        <w:ind w:left="420" w:hanging="212"/>
        <w:spacing w:after="0" w:line="217" w:lineRule="auto"/>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RKER-065 and RKER-034 had equivalent increases in skeletal muscle in the diet-induced obesity (“DIO”) mouse model.</w:t>
      </w:r>
    </w:p>
    <w:p>
      <w:pPr>
        <w:ind w:left="420" w:right="260" w:hanging="212"/>
        <w:spacing w:after="0" w:line="217"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 combinaton treatment of RKER-034 and a glucagon-like peptde-1 receptor agonist (“GLP-1 RA”) increased lean mass in the DIO mouse model, as compared to the loss of lean mass observed in obese mice treated with the GLP-1 RA alone.</w:t>
      </w:r>
    </w:p>
    <w:p>
      <w:pPr>
        <w:spacing w:after="0" w:line="1" w:lineRule="exact"/>
        <w:rPr>
          <w:rFonts w:ascii="Calibri" w:cs="Calibri" w:eastAsia="Calibri" w:hAnsi="Calibri"/>
          <w:sz w:val="13"/>
          <w:szCs w:val="13"/>
          <w:color w:val="auto"/>
        </w:rPr>
      </w:pPr>
    </w:p>
    <w:p>
      <w:pPr>
        <w:ind w:left="860" w:right="480" w:hanging="220"/>
        <w:spacing w:after="0" w:line="217" w:lineRule="auto"/>
        <w:tabs>
          <w:tab w:leader="none" w:pos="862" w:val="left"/>
        </w:tabs>
        <w:numPr>
          <w:ilvl w:val="1"/>
          <w:numId w:val="4"/>
        </w:numPr>
        <w:rPr>
          <w:rFonts w:ascii="Arial" w:cs="Arial" w:eastAsia="Arial" w:hAnsi="Arial"/>
          <w:sz w:val="13"/>
          <w:szCs w:val="13"/>
          <w:color w:val="auto"/>
        </w:rPr>
      </w:pPr>
      <w:r>
        <w:rPr>
          <w:rFonts w:ascii="Calibri" w:cs="Calibri" w:eastAsia="Calibri" w:hAnsi="Calibri"/>
          <w:sz w:val="13"/>
          <w:szCs w:val="13"/>
          <w:color w:val="auto"/>
        </w:rPr>
        <w:t>While monotherapy dosing of the GLP-1 RA and RKER-034 led to reductons in fat gain compared to untreated obese mice, the combinaton treatment resulted in fat loss compared to untreated obese mice.</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color w:val="auto"/>
        </w:rPr>
        <w:t>Based on this preclinical data, Keros believes that KER-065 has the potental to treat obesity both as a monotherapy and in combinaton with GLP-1 RA by increasing muscle mass and decreasing fat mass.</w:t>
      </w:r>
    </w:p>
    <w:p>
      <w:pPr>
        <w:spacing w:after="0" w:line="14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the Ongoing Phase 1 Clinical Trial of KER-065 in Healthy Volunteers</w:t>
      </w:r>
    </w:p>
    <w:p>
      <w:pPr>
        <w:spacing w:after="0" w:line="156" w:lineRule="exact"/>
        <w:rPr>
          <w:sz w:val="20"/>
          <w:szCs w:val="20"/>
          <w:color w:val="auto"/>
        </w:rPr>
      </w:pPr>
    </w:p>
    <w:p>
      <w:pPr>
        <w:spacing w:after="0"/>
        <w:rPr>
          <w:sz w:val="20"/>
          <w:szCs w:val="20"/>
          <w:color w:val="auto"/>
        </w:rPr>
      </w:pPr>
      <w:r>
        <w:rPr>
          <w:rFonts w:ascii="Calibri" w:cs="Calibri" w:eastAsia="Calibri" w:hAnsi="Calibri"/>
          <w:sz w:val="13"/>
          <w:szCs w:val="13"/>
          <w:color w:val="auto"/>
        </w:rPr>
        <w:t>Keros is conductng a randomized, double-blind, placebo-controlled, two-part Phase 1 clinical trial to evaluate single and multple ascending doses of KER-065 in healthy volunteers.</w:t>
      </w:r>
    </w:p>
    <w:p>
      <w:pPr>
        <w:sectPr>
          <w:pgSz w:w="11900" w:h="16838" w:orient="portrait"/>
          <w:cols w:equalWidth="0" w:num="1">
            <w:col w:w="11300"/>
          </w:cols>
          <w:pgMar w:left="300" w:top="283" w:right="299" w:bottom="1440" w:gutter="0" w:footer="0" w:header="0"/>
        </w:sectPr>
      </w:pPr>
    </w:p>
    <w:bookmarkStart w:id="55" w:name="page56"/>
    <w:bookmarkEnd w:id="55"/>
    <w:p>
      <w:pPr>
        <w:ind w:right="220"/>
        <w:spacing w:after="0" w:line="223" w:lineRule="auto"/>
        <w:rPr>
          <w:sz w:val="20"/>
          <w:szCs w:val="20"/>
          <w:color w:val="auto"/>
        </w:rPr>
      </w:pPr>
      <w:r>
        <w:rPr>
          <w:rFonts w:ascii="Calibri" w:cs="Calibri" w:eastAsia="Calibri" w:hAnsi="Calibri"/>
          <w:sz w:val="13"/>
          <w:szCs w:val="13"/>
          <w:color w:val="auto"/>
        </w:rPr>
        <w:t>The primary objectves of this trial are to assess safety, tolerability and pharmacokinetcs of KER-065. Exploratory endpoints include assessments of the pharmacodynamic efect on bone, adipose, muscle, cardiac tssue and fbrosis. To aid in the assessment of adipose tssue, volunteers in Part 2 of this trial will be required to have a BMI between ≥ 27 and ≤ 33 kg/m</w:t>
      </w:r>
      <w:r>
        <w:rPr>
          <w:rFonts w:ascii="Calibri" w:cs="Calibri" w:eastAsia="Calibri" w:hAnsi="Calibri"/>
          <w:sz w:val="17"/>
          <w:szCs w:val="17"/>
          <w:color w:val="auto"/>
          <w:vertAlign w:val="superscript"/>
        </w:rPr>
        <w:t>2</w:t>
      </w:r>
      <w:r>
        <w:rPr>
          <w:rFonts w:ascii="Calibri" w:cs="Calibri" w:eastAsia="Calibri" w:hAnsi="Calibri"/>
          <w:sz w:val="13"/>
          <w:szCs w:val="13"/>
          <w:color w:val="auto"/>
        </w:rPr>
        <w:t xml:space="preserve"> to be enrolled.</w:t>
      </w:r>
    </w:p>
    <w:p>
      <w:pPr>
        <w:spacing w:after="0" w:line="11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Keros Therapeutcs, Inc.</w:t>
      </w:r>
    </w:p>
    <w:p>
      <w:pPr>
        <w:spacing w:after="0" w:line="149" w:lineRule="exact"/>
        <w:rPr>
          <w:sz w:val="20"/>
          <w:szCs w:val="20"/>
          <w:color w:val="auto"/>
        </w:rPr>
      </w:pPr>
    </w:p>
    <w:p>
      <w:pPr>
        <w:ind w:right="20"/>
        <w:spacing w:after="0"/>
        <w:rPr>
          <w:sz w:val="20"/>
          <w:szCs w:val="20"/>
          <w:color w:val="auto"/>
        </w:rPr>
      </w:pPr>
      <w:r>
        <w:rPr>
          <w:rFonts w:ascii="Calibri" w:cs="Calibri" w:eastAsia="Calibri" w:hAnsi="Calibri"/>
          <w:sz w:val="13"/>
          <w:szCs w:val="13"/>
          <w:color w:val="auto"/>
        </w:rPr>
        <w:t>Keros is a clinical-stage biopharmaceutcal company focused on developing and commercializing novel therapeutcs to treat a wide range of patents with disorders that are linked to dysfunctonal signaling of the TGF-ß family of proteins. We are a leader in understanding the role of the TGF-ß family of proteins, which are master regulators of the growth, repair and maintenance of blood cells and a number of tssues, including bone, skeletal muscle, adipose and heart tssue. By leveraging this understanding, we have discovered and are developing large and small molecules that have the potental to provide meaningful and potentally disease-modifying beneft to patents. Keros’ lead protein therapeutc product candidate, KER-050 (elritercept), is being developed for the treatment of low blood cell counts, or cytopenias, including anemia and thrombocytopenia, in patents with myelodysplastc syndromes and in patents with myelofbrosis. Keros’ second product candidate, KER-012, is being developed for the treatment of pulmonary arterial hypertension and for the treatment of cardiovascular disorders. Keros’ third product candidate, KER-065, is being developed for the treatment of obesity and for the treatment of neuromuscular diseases.</w:t>
      </w:r>
    </w:p>
    <w:p>
      <w:pPr>
        <w:spacing w:after="0" w:line="24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Cautonary Note Regarding Forward-Looking Statements</w:t>
      </w:r>
    </w:p>
    <w:p>
      <w:pPr>
        <w:spacing w:after="0" w:line="158" w:lineRule="exact"/>
        <w:rPr>
          <w:sz w:val="20"/>
          <w:szCs w:val="20"/>
          <w:color w:val="auto"/>
        </w:rPr>
      </w:pPr>
    </w:p>
    <w:p>
      <w:pPr>
        <w:spacing w:after="0" w:line="225" w:lineRule="auto"/>
        <w:rPr>
          <w:sz w:val="20"/>
          <w:szCs w:val="20"/>
          <w:color w:val="auto"/>
        </w:rPr>
      </w:pPr>
      <w:r>
        <w:rPr>
          <w:rFonts w:ascii="Calibri" w:cs="Calibri" w:eastAsia="Calibri" w:hAnsi="Calibri"/>
          <w:sz w:val="13"/>
          <w:szCs w:val="13"/>
          <w:color w:val="auto"/>
        </w:rPr>
        <w:t>Statements contained in this press release regarding maters that are not historical facts are “forward-looking statements” within the meaning of the Private Securites Litgaton Reform Act of 1995, as amended. Words such as “believes,” “expects,” “plans,” “potental,” “would” and “future” or similar expressions such as “look forward” are intended to identfy forward-looking statements. Examples of these forward-looking statements include statements concerning: Keros’ expectatons regarding its growth, strategy, progress and the design, objectves and tming of its clinical trials for KER-065; and the potental of KER-065 to treat obesity without an associated loss of muscle and potental for frailty, both as a monotherapy and in combinaton with GLP-1 RAs. Because such statements are subject to risks and uncertaintes, actual results may difer materially from those expressed or implied by such forward-looking statements. These risks and uncertaintes include, among others: Keros’ limited operatng history and historical losses; Keros’ ability to raise additonal funding to complete the development and any commercializaton of its product candidates; Keros’ dependence on the success of its product candidates, KER-050, KER-012 and KER-065; that Keros may be delayed in initatng, enrolling or completng any clinical trials; competton from third partes that are developing products for similar uses; Keros’ ability to obtain, maintain and protect its intellectual property; and Keros’ dependence on third partes in connecton with manufacturing, clinical trials and preclinical studies.</w:t>
      </w:r>
    </w:p>
    <w:p>
      <w:pPr>
        <w:spacing w:after="0" w:line="151" w:lineRule="exact"/>
        <w:rPr>
          <w:sz w:val="20"/>
          <w:szCs w:val="20"/>
          <w:color w:val="auto"/>
        </w:rPr>
      </w:pPr>
    </w:p>
    <w:p>
      <w:pPr>
        <w:ind w:right="140"/>
        <w:spacing w:after="0"/>
        <w:rPr>
          <w:sz w:val="20"/>
          <w:szCs w:val="20"/>
          <w:color w:val="auto"/>
        </w:rPr>
      </w:pPr>
      <w:r>
        <w:rPr>
          <w:rFonts w:ascii="Calibri" w:cs="Calibri" w:eastAsia="Calibri" w:hAnsi="Calibri"/>
          <w:sz w:val="13"/>
          <w:szCs w:val="13"/>
          <w:color w:val="auto"/>
        </w:rPr>
        <w:t>These and other risks are described more fully in Keros’ flings with the Securites and Exchange Commission (“SEC”), including the “Risk Factors” secton of the Company’s Quarterly Report on Form 10-Q, fled with the SEC on November 6, 2023, and its other documents subsequently fled with or furnished to the SEC. All forward-looking statements contained in this press release speak only as of the date on which they were made. Except to the extent required by law, Keros undertakes no obligaton to update such statements to refect events that occur or circumstances that exist afer the date on which they were made.</w:t>
      </w:r>
    </w:p>
    <w:p>
      <w:pPr>
        <w:spacing w:after="0" w:line="27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Contact:</w:t>
      </w:r>
    </w:p>
    <w:p>
      <w:pPr>
        <w:spacing w:after="0" w:line="217" w:lineRule="auto"/>
        <w:rPr>
          <w:sz w:val="20"/>
          <w:szCs w:val="20"/>
          <w:color w:val="auto"/>
        </w:rPr>
      </w:pPr>
      <w:r>
        <w:rPr>
          <w:rFonts w:ascii="Calibri" w:cs="Calibri" w:eastAsia="Calibri" w:hAnsi="Calibri"/>
          <w:sz w:val="13"/>
          <w:szCs w:val="13"/>
          <w:color w:val="auto"/>
        </w:rPr>
        <w:t>Justn Frantz</w:t>
      </w:r>
    </w:p>
    <w:p>
      <w:pPr>
        <w:spacing w:after="0" w:line="232" w:lineRule="auto"/>
        <w:rPr>
          <w:sz w:val="20"/>
          <w:szCs w:val="20"/>
          <w:color w:val="auto"/>
        </w:rPr>
      </w:pPr>
      <w:r>
        <w:rPr>
          <w:rFonts w:ascii="Calibri" w:cs="Calibri" w:eastAsia="Calibri" w:hAnsi="Calibri"/>
          <w:sz w:val="13"/>
          <w:szCs w:val="13"/>
          <w:color w:val="auto"/>
        </w:rPr>
        <w:t>jfrantz@kerostx.com</w:t>
      </w:r>
    </w:p>
    <w:p>
      <w:pPr>
        <w:spacing w:after="0" w:line="217" w:lineRule="auto"/>
        <w:rPr>
          <w:sz w:val="20"/>
          <w:szCs w:val="20"/>
          <w:color w:val="auto"/>
        </w:rPr>
      </w:pPr>
      <w:r>
        <w:rPr>
          <w:rFonts w:ascii="Calibri" w:cs="Calibri" w:eastAsia="Calibri" w:hAnsi="Calibri"/>
          <w:sz w:val="13"/>
          <w:szCs w:val="13"/>
          <w:color w:val="auto"/>
        </w:rPr>
        <w:t>617-221-6042</w:t>
      </w:r>
    </w:p>
    <w:sectPr>
      <w:pgSz w:w="11900" w:h="16838" w:orient="portrait"/>
      <w:cols w:equalWidth="0" w:num="1">
        <w:col w:w="11300"/>
      </w:cols>
      <w:pgMar w:left="300" w:top="97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2024-01-03T07:08:49Z</dcterms:created>
  <dcterms:modified xsi:type="dcterms:W3CDTF">2024-01-03T07:08:49Z</dcterms:modified>
</cp:coreProperties>
</file>