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90614.xml.htm"/>
      <w:bookmarkStart w:id="1" w:name="ksform406052026_0906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Seth Alpna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7,142</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12,392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The RSUs fully vest on the earlier of (A) June 3, 2027 and (B) the date of the Issuer's 2027 annual meeting of stockholders, subject to the Reporting Person continuing to provide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shall vest in equal quarterly installments over the 12 months following June 3, 2026, provided that the grant will in any case be fully vested on the date of Issuer's 2027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102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3611</Characters>
  <CharactersWithSpaces>4216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