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Keros Therapeutics,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404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001-39264</w:t>
            </w:r>
          </w:p>
        </w:tc>
        <w:tc>
          <w:tcPr>
            <w:tcW w:w="25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81-1173868</w:t>
            </w:r>
          </w:p>
        </w:tc>
      </w:tr>
      <w:tr>
        <w:trPr>
          <w:trHeight w:val="205"/>
        </w:trPr>
        <w:tc>
          <w:tcPr>
            <w:tcW w:w="404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40" w:type="dxa"/>
            <w:vAlign w:val="bottom"/>
          </w:tcPr>
          <w:p>
            <w:pPr>
              <w:jc w:val="center"/>
              <w:ind w:left="13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3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40" w:type="dxa"/>
            <w:vAlign w:val="bottom"/>
          </w:tcPr>
          <w:p>
            <w:pPr>
              <w:jc w:val="center"/>
              <w:ind w:left="13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3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1050 Waltham Street</w:t>
            </w:r>
            <w:r>
              <w:rPr>
                <w:rFonts w:ascii="Arial" w:cs="Arial" w:eastAsia="Arial" w:hAnsi="Arial"/>
                <w:sz w:val="21"/>
                <w:szCs w:val="21"/>
                <w:color w:val="auto"/>
              </w:rPr>
              <w:t>,</w:t>
            </w:r>
            <w:r>
              <w:rPr>
                <w:rFonts w:ascii="Times New Roman" w:cs="Times New Roman" w:eastAsia="Times New Roman" w:hAnsi="Times New Roman"/>
                <w:sz w:val="18"/>
                <w:szCs w:val="18"/>
                <w:b w:val="1"/>
                <w:bCs w:val="1"/>
                <w:color w:val="auto"/>
              </w:rPr>
              <w:t xml:space="preserve"> Suite 302</w:t>
            </w:r>
          </w:p>
        </w:tc>
        <w:tc>
          <w:tcPr>
            <w:tcW w:w="2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96"/>
        </w:trPr>
        <w:tc>
          <w:tcPr>
            <w:tcW w:w="404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rPr>
              <w:t>Lexington</w:t>
            </w:r>
            <w:r>
              <w:rPr>
                <w:rFonts w:ascii="Arial" w:cs="Arial" w:eastAsia="Arial" w:hAnsi="Arial"/>
                <w:sz w:val="21"/>
                <w:szCs w:val="21"/>
                <w:color w:val="auto"/>
              </w:rPr>
              <w:t>,</w:t>
            </w:r>
            <w:r>
              <w:rPr>
                <w:rFonts w:ascii="Times New Roman" w:cs="Times New Roman" w:eastAsia="Times New Roman" w:hAnsi="Times New Roman"/>
                <w:sz w:val="18"/>
                <w:szCs w:val="18"/>
                <w:b w:val="1"/>
                <w:bCs w:val="1"/>
                <w:color w:val="auto"/>
              </w:rPr>
              <w:t xml:space="preserve"> Massachusetts</w:t>
            </w:r>
          </w:p>
        </w:tc>
        <w:tc>
          <w:tcPr>
            <w:tcW w:w="2380" w:type="dxa"/>
            <w:vAlign w:val="bottom"/>
          </w:tcPr>
          <w:p>
            <w:pPr>
              <w:spacing w:after="0"/>
              <w:rPr>
                <w:sz w:val="24"/>
                <w:szCs w:val="24"/>
                <w:color w:val="auto"/>
              </w:rPr>
            </w:pPr>
          </w:p>
        </w:tc>
        <w:tc>
          <w:tcPr>
            <w:tcW w:w="25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02421</w:t>
            </w:r>
          </w:p>
        </w:tc>
      </w:tr>
      <w:tr>
        <w:trPr>
          <w:trHeight w:val="220"/>
        </w:trPr>
        <w:tc>
          <w:tcPr>
            <w:tcW w:w="404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9"/>
                <w:szCs w:val="19"/>
                <w:color w:val="auto"/>
              </w:rPr>
            </w:pPr>
          </w:p>
        </w:tc>
        <w:tc>
          <w:tcPr>
            <w:tcW w:w="254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314-6297</w:t>
      </w:r>
    </w:p>
    <w:p>
      <w:pPr>
        <w:spacing w:after="0" w:line="200" w:lineRule="exact"/>
        <w:rPr>
          <w:sz w:val="24"/>
          <w:szCs w:val="24"/>
          <w:color w:val="auto"/>
        </w:rPr>
      </w:pPr>
    </w:p>
    <w:p>
      <w:pPr>
        <w:spacing w:after="0" w:line="27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ind w:left="3560" w:right="2820" w:hanging="3534"/>
        <w:spacing w:after="0" w:line="532" w:lineRule="auto"/>
        <w:tabs>
          <w:tab w:leader="none" w:pos="3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KROS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June 23, 2026, the board of directors (the “Board”) of Keros Therapeutics, Inc. (the “Company”), based upon a recommendation from the Nominating and Corporate Governance Committee of the Board (the “Nominating Committee”), voted to appoint Anne Prener, M.D., Ph.D., as a director of the Company, effective on July 1, 2026. Dr. Prener was appointed as a Class III director with a term expiring at the Company’s 2029 annual meeting of stockholders. Dr. Prener has not been appointed to a committee of the Board at this time.</w:t>
      </w:r>
    </w:p>
    <w:p>
      <w:pPr>
        <w:spacing w:after="0" w:line="20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There are no arrangements or understandings between Dr. Prener and any other person pursuant to which Dr. Prener was appointed as a director. There are no transactions to which the Company is a party and in which Dr. Prener has a material interest that are required to be disclosed under Item 404(a) of Regulation S-K. Dr. Prener has not previously held any positions with the Company and has no family relations with any directors or executive officers of the Company.</w:t>
      </w:r>
    </w:p>
    <w:p>
      <w:pPr>
        <w:spacing w:after="0" w:line="21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Dr. Prener will participate in the Company’s standard compensation plan for non-employee directors, including (i) an initial stock option grant to purchase a number of shares of the Company’s common stock (“Common Stock”) having a grant date fair value, as determined in accordance with Financial Accounting Standards Board ASC Topic 718, equal to $150,000 (the “Initial Option Grant”); provided, that the number of shares of Common Stock subject to the Initial Option Grant will not exceed 0.075% of the number of shares of Common Stock outstanding as of the applicable grant date, subject to the maximum limit and terms in the Company’s 2020 Equity Incentive Plan (the “Plan”), and (ii) an initial restricted stock unit award covering a number of shares of Common Stock having a grant date fair value, as determined in accordance with Financial Accounting Standards Board ASC Topic 718, equal to $150,000 (the “Initial RSU Grant”); provided, that the number of shares of Common Stock subject to the Initial RSU Grant will not exceed 0.075% of the number of shares of Common Stock outstanding as of the applicable grant date.</w:t>
      </w:r>
    </w:p>
    <w:p>
      <w:pPr>
        <w:spacing w:after="0" w:line="2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shares subject to the Initial Option Grant will vest in equal quarterly installments over a three-year period such that the option is fully vested on the third anniversary of the date of grant, subject to Dr. Prener’s Continuous Service (as defined in the Plan) through each such vesting date. The Initial RSU Grant will vest over a three-year period, in twelve equal quarterly installments on each Quarterly Vesting Date (as defined below) that occurs on or following the effective date of Dr. Prener’s appointment, subject to Dr. Prener’s Continuous Service (as defined in the Plan) through each such vesting date. “Quarterly Vesting Date” means the 15th of each of February, May, August and November. Notwithstanding the foregoing, the Initial Option Grant and Initial RSU Grant will vest in full upon a Change in Control (as defined in the Plan).</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pursuant to the Company’s amended and restated non-employee director compensation policy, Dr. Prener will be eligible for (i) an annual option grant to purchase a number of shares of Common Stock having a grant date fair value, as determined in accordance with Financial Accounting Standards Board ASC Topic 718, equal to $75,000 (the “Annual Option Grant”); provided, that the number of shares of Common Stock subject to the Annual Option Grant will not exceed 0.0375% of the number of shares of Common Stock outstanding as of the applicable grant date, and (ii) an annual restricted stock unit award covering a number of shares of Common Stock having a grant date fair value, as determined in accordance with Financial Accounting Standards Board ASC Topic 718, equal to $75,000 (the “Annual RSU Grant”); provided, that the number of shares of Common Stock subject to the Annual RSU Grant will not exceed 0.0375% of the number of shares of Common Stock outstanding as of the applicable grant date. The Annual Option Grant and the Annual RSU Grant will each be granted in connection with the Company’s annual meeting of stockholders each year. Dr. Prener will also be entitled pursuant to the non-employee director compensation policy to receive a $41,500 annual cash retainer for her service on the Board.</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her appointment as a member of the Board, the Company will enter into its standard form of indemnification agreement with Dr. Prener. The indemnification agreement will provide, among other things, that the Company will indemnify Dr. Prener for certain expenses, including damages, judgments, fines, penalties and settlements she may be required to pay in actions or proceedings which she is made party to arising in her capacity as a director or in connection with service at the Company’s request for another corporation or entity.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Dr. Prener’s appointment to the Board. A copy of the press release is furnished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to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in this Item 7.01 and in Exhibit 99.1 to this Current Report on Form 8-K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3"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25, 2026.</w:t>
      </w:r>
    </w:p>
    <w:p>
      <w:pPr>
        <w:spacing w:after="0" w:line="63"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KEROS THERAPEUTICS, INC.</w:t>
      </w:r>
    </w:p>
    <w:p>
      <w:pPr>
        <w:spacing w:after="0" w:line="337" w:lineRule="exact"/>
        <w:rPr>
          <w:sz w:val="20"/>
          <w:szCs w:val="20"/>
          <w:color w:val="auto"/>
        </w:rPr>
      </w:pPr>
    </w:p>
    <w:p>
      <w:pPr>
        <w:ind w:left="646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34290</wp:posOffset>
            </wp:positionV>
            <wp:extent cx="2648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Jasbir Seehra, Ph.D.</w:t>
      </w:r>
    </w:p>
    <w:p>
      <w:pPr>
        <w:spacing w:after="0" w:line="3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2026</w:t>
      </w:r>
    </w:p>
    <w:p>
      <w:pPr>
        <w:sectPr>
          <w:pgSz w:w="11900" w:h="16838" w:orient="portrait"/>
          <w:cols w:equalWidth="0" w:num="1">
            <w:col w:w="11200"/>
          </w:cols>
          <w:pgMar w:left="320" w:top="1089"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Keros Therapeutics Appoints Anne Prener to its Board of Directors</w:t>
      </w:r>
    </w:p>
    <w:p>
      <w:pPr>
        <w:spacing w:after="0" w:line="243"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b w:val="1"/>
          <w:bCs w:val="1"/>
          <w:color w:val="auto"/>
        </w:rPr>
        <w:t xml:space="preserve">LEXINGTON, Mass., June 25, 2026 (GLOBE NEWSWIRE) </w:t>
      </w:r>
      <w:r>
        <w:rPr>
          <w:rFonts w:ascii="Arial" w:cs="Arial" w:eastAsia="Arial" w:hAnsi="Arial"/>
          <w:sz w:val="20"/>
          <w:szCs w:val="20"/>
          <w:color w:val="auto"/>
        </w:rPr>
        <w:t>-- Keros Therapeutics, Inc. (“Keros” or the “Company”) (Nasdaq:</w:t>
      </w:r>
      <w:r>
        <w:rPr>
          <w:rFonts w:ascii="Arial" w:cs="Arial" w:eastAsia="Arial" w:hAnsi="Arial"/>
          <w:sz w:val="20"/>
          <w:szCs w:val="20"/>
          <w:b w:val="1"/>
          <w:bCs w:val="1"/>
          <w:color w:val="auto"/>
        </w:rPr>
        <w:t xml:space="preserve"> </w:t>
      </w:r>
      <w:r>
        <w:rPr>
          <w:rFonts w:ascii="Arial" w:cs="Arial" w:eastAsia="Arial" w:hAnsi="Arial"/>
          <w:sz w:val="20"/>
          <w:szCs w:val="20"/>
          <w:color w:val="auto"/>
        </w:rPr>
        <w:t>KROS), a clinical-stage biopharmaceutical company focused on developing and commercializing novel therapeutics to treat a wide range of patients with disorders that are linked to dysfunctional signaling of the transforming growth factor-beta (“TGF-ß”) family of proteins, today announced the appointment of Anne Prener, M.D., Ph.D., to its Board of Directors, effective July 1, 2026.</w:t>
      </w:r>
    </w:p>
    <w:p>
      <w:pPr>
        <w:spacing w:after="0" w:line="210"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“We are delighted to welcome Dr. Prener to Keros’ Board of Directors,” said Jean-Jacques Bienaimé, Chair of the Board of Directors. “The combination of her clinical development expertise and executive leadership experience will be invaluable as we continue to advance our pipeline and execute on our corporate strategy. Her perspective will be instrumental in supporting the Company for long-term growth and value creation.”</w:t>
      </w:r>
    </w:p>
    <w:p>
      <w:pPr>
        <w:spacing w:after="0" w:line="214" w:lineRule="exact"/>
        <w:rPr>
          <w:sz w:val="20"/>
          <w:szCs w:val="20"/>
          <w:color w:val="auto"/>
        </w:rPr>
      </w:pPr>
    </w:p>
    <w:p>
      <w:pPr>
        <w:ind w:right="40"/>
        <w:spacing w:after="0"/>
        <w:rPr>
          <w:sz w:val="20"/>
          <w:szCs w:val="20"/>
          <w:color w:val="auto"/>
        </w:rPr>
      </w:pPr>
      <w:r>
        <w:rPr>
          <w:rFonts w:ascii="Arial" w:cs="Arial" w:eastAsia="Arial" w:hAnsi="Arial"/>
          <w:sz w:val="20"/>
          <w:szCs w:val="20"/>
          <w:color w:val="auto"/>
        </w:rPr>
        <w:t>“I am thrilled to join Keros’ Board at this exciting stage in its evolution,” said Dr. Prener. “Keros has built a compelling foundation, with a differentiated scientific approach, and a clear commitment to addressing significant unmet patient needs. I look forward to working closely with the Board and executive team to support the Company’s strategic priorities and continue advancing its mission of delivering meaningful and potentially disease-modifying benefits to patients.”</w:t>
      </w:r>
    </w:p>
    <w:p>
      <w:pPr>
        <w:spacing w:after="0" w:line="214"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Dr. Prener serves as a Senior Innovation Advisor at the University of Copenhagen and as non-executive director of the board of XSpray Pharma. Previously, Dr. Prener served as Chief Executive Officer of Imbria Pharmaceuticals Inc. from July 2020 until September 2024 and as venture partner at SV Health Investors from September 2020 until October 2024. From July 2017 to June 2019, Dr. Prener served as Chief Executive Officer of Freeline Therapeutics Ltd. Prior to joining Freeline, she served as Chief Executive Officer of Gyroscope Therapeutics Ltd., from August 2016 until July 2017. Before that, Dr. Prener was Global Therapeutic Area Head of Hematology and Vice President, Clinical Research Hematology at Baxalta. Earlier in her career, Dr. Prener held several positions of increasing responsibility at Novo Nordisk, most recently serving as Senior Vice President, Hemophilia R&amp;D Portfolio. Dr. Prener previously served on the boards of directors of Galecto, Inc., Rubius Therapeutics, Inc. and Kaleido Biosciences, Inc.</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Dr. Prener received a Ph.D. in epidemiology and an M.D., both from the University of Copenhagen.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Keros Therapeutics, Inc.</w:t>
      </w:r>
    </w:p>
    <w:p>
      <w:pPr>
        <w:spacing w:after="0" w:line="231"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Keros is a clinical-stage biopharmaceutical company focused on developing and commercializing novel therapeutics to treat a wide range of patients with disorders that are linked to dysfunctional signaling of the TGF-ß family of proteins. Keros is a leader in understanding the role of the TGF-ß family of proteins, which are master regulators of the growth, repair and maintenance of a number of tissues, including skeletal muscle, bone, adipose, heart tissue and blood. By leveraging this understanding, Keros has discovered and is developing protein therapeutics that have the potential to provide meaningful and potentially disease-modifying benefit to patients. Keros’ lead product candidate, rinvatercept, is being developed for the treatment of Duchenne muscular dystrophy and for the treatment of amyotrophic lateral sclerosis. Keros’ most advanced product candidate, elritercept, is being developed for the treatment of cytopenias, including anemia and thrombocytopenia, in patients with myelodysplastic syndrome and in patients with myelofibrosis.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A2B2F"/>
        </w:rPr>
        <w:t>Cautionary Note Regarding Forward-Looking Statements</w:t>
      </w:r>
    </w:p>
    <w:p>
      <w:pPr>
        <w:spacing w:after="0" w:line="231"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2A2B2F"/>
        </w:rPr>
        <w:t>Statements contained in this press release regarding matters that are not historical facts are “forward-looking statements” within the meaning of the Private Securities Litigation Reform Act of 1995, as</w:t>
      </w:r>
    </w:p>
    <w:p>
      <w:pPr>
        <w:sectPr>
          <w:pgSz w:w="11900" w:h="16838" w:orient="portrait"/>
          <w:cols w:equalWidth="0" w:num="1">
            <w:col w:w="11240"/>
          </w:cols>
          <w:pgMar w:left="320" w:top="359" w:right="339" w:bottom="1440" w:gutter="0" w:footer="0" w:header="0"/>
        </w:sectPr>
      </w:pPr>
    </w:p>
    <w:bookmarkStart w:id="6" w:name="page7"/>
    <w:bookmarkEnd w:id="6"/>
    <w:p>
      <w:pPr>
        <w:spacing w:after="0" w:line="249" w:lineRule="auto"/>
        <w:rPr>
          <w:sz w:val="20"/>
          <w:szCs w:val="20"/>
          <w:color w:val="auto"/>
        </w:rPr>
      </w:pPr>
      <w:r>
        <w:rPr>
          <w:rFonts w:ascii="Arial" w:cs="Arial" w:eastAsia="Arial" w:hAnsi="Arial"/>
          <w:sz w:val="19"/>
          <w:szCs w:val="19"/>
          <w:color w:val="2A2B2F"/>
        </w:rPr>
        <w:t>amended. Words such as “continue,” “potential” and “will” or similar expressions are intended to identify forward-looking statements. Examples of these forward-looking statements include statements concerning: Keros’ expectations regarding the further advancement of its pipeline; and the expected contributions of Dr. Prener; Keros’ ability to deliver meaningful and potentially disease-modifying benefits to patients. Because such statements are subject to risks and uncertainties, actual results may differ materially from those expressed or implied by such forward-looking statements. These risks and uncertainties include, among others: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2A2B2F"/>
        </w:rPr>
        <w:t>These and other risks are described more fully in Keros’ filings with the Securities and Exchange Commission (“SEC”), including the “Risk Factors” section of the Company’s Quarterly Report on Form 10-Q, filed with the SEC on May 14, 2026, and its other documents subsequently filed with or furnished to the SEC. All forward-looking statements contained in this press release speak only as of the date on which they were made. Except to the extent required by law, Keros undertakes no obligation to update such statements to reflect events that occur or circumstances that exist after the date on which they were made.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A2B2F"/>
        </w:rPr>
        <w:t>Contacts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A2B2F"/>
        </w:rPr>
        <w:t>Investor Contact: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2A2B2F"/>
        </w:rPr>
        <w:t>Justin Frantz</w:t>
      </w:r>
    </w:p>
    <w:p>
      <w:pPr>
        <w:spacing w:after="0" w:line="225" w:lineRule="auto"/>
        <w:rPr>
          <w:sz w:val="20"/>
          <w:szCs w:val="20"/>
          <w:color w:val="auto"/>
        </w:rPr>
      </w:pPr>
      <w:r>
        <w:rPr>
          <w:rFonts w:ascii="Arial" w:cs="Arial" w:eastAsia="Arial" w:hAnsi="Arial"/>
          <w:sz w:val="20"/>
          <w:szCs w:val="20"/>
          <w:u w:val="single" w:color="auto"/>
          <w:color w:val="467886"/>
        </w:rPr>
        <w:t>jfrantz@kerostx.com</w:t>
      </w:r>
    </w:p>
    <w:p>
      <w:pPr>
        <w:spacing w:after="0"/>
        <w:rPr>
          <w:sz w:val="20"/>
          <w:szCs w:val="20"/>
          <w:color w:val="auto"/>
        </w:rPr>
      </w:pPr>
      <w:r>
        <w:rPr>
          <w:rFonts w:ascii="Arial" w:cs="Arial" w:eastAsia="Arial" w:hAnsi="Arial"/>
          <w:sz w:val="20"/>
          <w:szCs w:val="20"/>
          <w:color w:val="2A2B2F"/>
        </w:rPr>
        <w:t>617-221-6042</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2026-06-25T15:46:05Z</dcterms:created>
  <dcterms:modified xsi:type="dcterms:W3CDTF">2026-06-25T15:46:05Z</dcterms:modified>
</cp:coreProperties>
</file>