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40803.xml.htm"/>
      <w:bookmarkStart w:id="1" w:name="ksform408202026_0408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Cho Esther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Keros Therapeutics, Inc.</w:t>
              </w:r>
            </w:hyperlink>
            <w:r>
              <w:rPr/>
              <w:t xml:space="preserve"> [ </w:t>
            </w:r>
            <w:r>
              <w:rPr>
                <w:rFonts w:ascii="Times;serif" w:hAnsi="Times;serif"/>
                <w:color w:val="0000FF"/>
                <w:sz w:val="24"/>
                <w:shd w:fill="FFFFFF" w:val="clear"/>
              </w:rPr>
              <w:t>KROS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4,485</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10.29</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35,770</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$10.14 to $10.50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an aggregate of 500 shares acquired under the Issuer's 2020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Esther Cho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1460" TargetMode="External"/><Relationship Id="rId5" Type="http://schemas.openxmlformats.org/officeDocument/2006/relationships/hyperlink" Target="http://www.sec.gov/cgi-bin/browse-edgar?action=getcompany&amp;CIK=0001664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720</Words>
  <Characters>3882</Characters>
  <CharactersWithSpaces>4532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