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As filed with the Securities and Exchange Commission on September 10, 2026</w:t>
      </w:r>
    </w:p>
    <w:p>
      <w:pPr>
        <w:pStyle w:val="TextBody"/>
        <w:bidi w:val="0"/>
        <w:spacing w:lineRule="auto" w:line="288" w:before="0" w:after="140"/>
        <w:jc w:val="right"/>
        <w:rPr>
          <w:rFonts w:ascii="Times New Roman;serif" w:hAnsi="Times New Roman;serif"/>
          <w:b/>
          <w:color w:val="000000"/>
          <w:sz w:val="16"/>
        </w:rPr>
      </w:pPr>
      <w:r>
        <w:rPr>
          <w:rFonts w:ascii="Times New Roman;serif" w:hAnsi="Times New Roman;serif"/>
          <w:b/>
          <w:color w:val="000000"/>
          <w:sz w:val="16"/>
        </w:rPr>
        <w:t>Registration No. 333-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88" w:before="0" w:after="140"/>
        <w:jc w:val="center"/>
        <w:rPr>
          <w:rFonts w:ascii="Times New Roman;serif" w:hAnsi="Times New Roman;serif"/>
          <w:b/>
          <w:color w:val="000000"/>
          <w:sz w:val="16"/>
        </w:rPr>
      </w:pPr>
      <w:r>
        <w:rPr>
          <w:rFonts w:ascii="Times New Roman;serif" w:hAnsi="Times New Roman;serif"/>
          <w:b/>
          <w:color w:val="000000"/>
          <w:sz w:val="16"/>
        </w:rPr>
        <w:t xml:space="preserve">Washington, D.C. 20549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S-3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REGISTRATION STATEMENT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UNDER </w:t>
      </w:r>
    </w:p>
    <w:p>
      <w:pPr>
        <w:pStyle w:val="TextBody"/>
        <w:bidi w:val="0"/>
        <w:spacing w:lineRule="auto" w:line="288" w:before="0" w:after="140"/>
        <w:jc w:val="center"/>
        <w:rPr>
          <w:rFonts w:ascii="Times New Roman;serif" w:hAnsi="Times New Roman;serif"/>
          <w:b/>
          <w:color w:val="000000"/>
          <w:sz w:val="18"/>
        </w:rPr>
      </w:pPr>
      <w:r>
        <w:rPr>
          <w:rFonts w:ascii="Times New Roman;serif" w:hAnsi="Times New Roman;serif"/>
          <w:b/>
          <w:color w:val="000000"/>
          <w:sz w:val="18"/>
        </w:rPr>
        <w:t xml:space="preserve">THE SECURITIES ACT OF 1933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Keros Therapeutics, Inc. </w:t>
      </w:r>
    </w:p>
    <w:p>
      <w:pPr>
        <w:pStyle w:val="TextBody"/>
        <w:bidi w:val="0"/>
        <w:spacing w:lineRule="auto" w:line="288" w:before="0" w:after="140"/>
        <w:jc w:val="center"/>
        <w:rPr>
          <w:rFonts w:ascii="Times New Roman;serif" w:hAnsi="Times New Roman;serif"/>
          <w:b w:val="false"/>
          <w:color w:val="000000"/>
          <w:sz w:val="14"/>
        </w:rPr>
      </w:pPr>
      <w:r>
        <w:rPr>
          <w:rFonts w:ascii="Times New Roman;serif" w:hAnsi="Times New Roman;serif"/>
          <w:b w:val="false"/>
          <w:color w:val="000000"/>
          <w:sz w:val="14"/>
        </w:rPr>
        <w:t xml:space="preserve">(Exact name of registrant as specified in its charter) </w:t>
      </w:r>
    </w:p>
    <w:tbl>
      <w:tblPr>
        <w:tblW w:w="7274" w:type="dxa"/>
        <w:jc w:val="left"/>
        <w:tblInd w:w="0" w:type="dxa"/>
        <w:tblLayout w:type="fixed"/>
        <w:tblCellMar>
          <w:top w:w="28" w:type="dxa"/>
          <w:left w:w="28" w:type="dxa"/>
          <w:bottom w:w="28" w:type="dxa"/>
          <w:right w:w="28" w:type="dxa"/>
        </w:tblCellMar>
      </w:tblPr>
      <w:tblGrid>
        <w:gridCol w:w="1553"/>
        <w:gridCol w:w="1364"/>
        <w:gridCol w:w="1372"/>
        <w:gridCol w:w="870"/>
        <w:gridCol w:w="870"/>
        <w:gridCol w:w="1245"/>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81-1173868</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1050 Waltham Street, Suite 302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Lexington, Massachusetts 02421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Tel: (617) 314-6297 </w:t>
      </w:r>
    </w:p>
    <w:p>
      <w:pPr>
        <w:pStyle w:val="TextBody"/>
        <w:bidi w:val="0"/>
        <w:spacing w:lineRule="auto" w:line="288" w:before="0" w:after="140"/>
        <w:jc w:val="center"/>
        <w:rPr>
          <w:rFonts w:ascii="Times New Roman;serif" w:hAnsi="Times New Roman;serif"/>
          <w:b w:val="false"/>
          <w:color w:val="000000"/>
          <w:sz w:val="16"/>
        </w:rPr>
      </w:pPr>
      <w:r>
        <w:rPr>
          <w:rFonts w:ascii="Times New Roman;serif" w:hAnsi="Times New Roman;serif"/>
          <w:b w:val="false"/>
          <w:color w:val="000000"/>
          <w:sz w:val="16"/>
        </w:rPr>
        <w:t xml:space="preserve">(Address, including zip code, and telephone number, including area code of registrant’s principal executive offices)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Jasbir Seehra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Chief Executive Officer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Keros Therapeutics,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1050 Waltham Street, Suite 302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Lexington, Massachusetts 02421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Tel: (617) 314-6297 </w:t>
      </w:r>
    </w:p>
    <w:p>
      <w:pPr>
        <w:pStyle w:val="TextBody"/>
        <w:bidi w:val="0"/>
        <w:spacing w:lineRule="auto" w:line="288" w:before="0" w:after="140"/>
        <w:jc w:val="center"/>
        <w:rPr>
          <w:rFonts w:ascii="Times New Roman;serif" w:hAnsi="Times New Roman;serif"/>
          <w:b w:val="false"/>
          <w:color w:val="000000"/>
          <w:sz w:val="16"/>
        </w:rPr>
      </w:pPr>
      <w:r>
        <w:rPr>
          <w:rFonts w:ascii="Times New Roman;serif" w:hAnsi="Times New Roman;serif"/>
          <w:b w:val="false"/>
          <w:color w:val="000000"/>
          <w:sz w:val="16"/>
        </w:rPr>
        <w:t xml:space="preserve">(Name, address, including zip code, and telephone number, including area code, of agent for service) </w:t>
      </w:r>
    </w:p>
    <w:p>
      <w:pPr>
        <w:pStyle w:val="TextBody"/>
        <w:bidi w:val="0"/>
        <w:spacing w:lineRule="auto" w:line="288" w:before="0" w:after="140"/>
        <w:jc w:val="center"/>
        <w:rPr>
          <w:rFonts w:ascii="Times New Roman;serif" w:hAnsi="Times New Roman;serif"/>
          <w:b/>
          <w:i/>
          <w:color w:val="000000"/>
          <w:sz w:val="16"/>
        </w:rPr>
      </w:pPr>
      <w:r>
        <w:rPr>
          <w:rFonts w:ascii="Times New Roman;serif" w:hAnsi="Times New Roman;serif"/>
          <w:b/>
          <w:i/>
          <w:color w:val="000000"/>
          <w:sz w:val="16"/>
        </w:rPr>
        <w:t xml:space="preserve">Copies to: </w:t>
      </w:r>
    </w:p>
    <w:tbl>
      <w:tblPr>
        <w:tblW w:w="4709" w:type="dxa"/>
        <w:jc w:val="left"/>
        <w:tblInd w:w="0" w:type="dxa"/>
        <w:tblLayout w:type="fixed"/>
        <w:tblCellMar>
          <w:top w:w="28" w:type="dxa"/>
          <w:left w:w="28" w:type="dxa"/>
          <w:bottom w:w="28" w:type="dxa"/>
          <w:right w:w="28" w:type="dxa"/>
        </w:tblCellMar>
      </w:tblPr>
      <w:tblGrid>
        <w:gridCol w:w="891"/>
        <w:gridCol w:w="783"/>
        <w:gridCol w:w="785"/>
        <w:gridCol w:w="657"/>
        <w:gridCol w:w="657"/>
        <w:gridCol w:w="936"/>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Esther Cho</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Chief Legal Officer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Keros Therapeutics, Inc.</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1050 Waltham Street, Suite 302</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Lexington, Massachusetts 02421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(617) 314-6297</w:t>
            </w:r>
          </w:p>
        </w:tc>
        <w:tc>
          <w:tcPr>
            <w:tcW w:w="22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Marc A. Recht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Ryan S. Sansom</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Minkyu Park</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Cooley LLP</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500 Boylston Street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Boston, Massachusetts 02116</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(617) 937-2300</w:t>
            </w:r>
          </w:p>
        </w:tc>
      </w:tr>
    </w:tbl>
    <w:p>
      <w:pPr>
        <w:pStyle w:val="TextBody"/>
        <w:bidi w:val="0"/>
        <w:spacing w:lineRule="auto" w:line="288" w:before="0" w:after="180"/>
        <w:jc w:val="left"/>
        <w:rPr/>
      </w:pPr>
      <w:r>
        <w:rPr>
          <w:rFonts w:ascii="Times New Roman;serif" w:hAnsi="Times New Roman;serif"/>
          <w:b/>
          <w:color w:val="000000"/>
          <w:sz w:val="18"/>
        </w:rPr>
        <w:t>Approximate date of commencement of proposed sale to the public:</w:t>
      </w:r>
      <w:r>
        <w:rPr>
          <w:color w:val="000000"/>
        </w:rPr>
        <w:t> </w:t>
      </w:r>
      <w:r>
        <w:rPr>
          <w:rFonts w:ascii="Times New Roman;serif" w:hAnsi="Times New Roman;serif"/>
          <w:b w:val="false"/>
          <w:color w:val="000000"/>
          <w:sz w:val="18"/>
        </w:rPr>
        <w:t>From time to time after this Registration Statement becomes effective.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If the only securities being registered on this Form are being offered pursuant to dividend or interest reinvestment plans, please check the following box:  ☐</w:t>
      </w:r>
    </w:p>
    <w:p>
      <w:pPr>
        <w:pStyle w:val="TextBody"/>
        <w:bidi w:val="0"/>
        <w:spacing w:lineRule="auto" w:line="288" w:before="0" w:after="180"/>
        <w:jc w:val="left"/>
        <w:rPr/>
      </w:pPr>
      <w:r>
        <w:rPr>
          <w:rFonts w:ascii="Times New Roman;serif" w:hAnsi="Times New Roman;serif"/>
          <w:b w:val="false"/>
          <w:color w:val="000000"/>
          <w:sz w:val="18"/>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w:t>
      </w:r>
    </w:p>
    <w:p>
      <w:pPr>
        <w:pStyle w:val="TextBody"/>
        <w:bidi w:val="0"/>
        <w:spacing w:lineRule="auto" w:line="288" w:before="0" w:after="180"/>
        <w:jc w:val="left"/>
        <w:rPr/>
      </w:pPr>
      <w:r>
        <w:rPr>
          <w:rFonts w:ascii="Times New Roman;serif" w:hAnsi="Times New Roman;serif"/>
          <w:b w:val="false"/>
          <w:color w:val="000000"/>
          <w:sz w:val="18"/>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180"/>
        <w:jc w:val="left"/>
        <w:rPr/>
      </w:pPr>
      <w:r>
        <w:rPr>
          <w:rFonts w:ascii="Times New Roman;serif" w:hAnsi="Times New Roman;serif"/>
          <w:b w:val="false"/>
          <w:color w:val="000000"/>
          <w:sz w:val="18"/>
        </w:rPr>
        <w:t>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180"/>
        <w:jc w:val="left"/>
        <w:rPr/>
      </w:pPr>
      <w:r>
        <w:rPr>
          <w:rFonts w:ascii="Times New Roman;serif" w:hAnsi="Times New Roman;serif"/>
          <w:b w:val="false"/>
          <w:color w:val="000000"/>
          <w:sz w:val="18"/>
        </w:rPr>
        <w:t>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w:t>
      </w:r>
    </w:p>
    <w:p>
      <w:pPr>
        <w:pStyle w:val="TextBody"/>
        <w:bidi w:val="0"/>
        <w:spacing w:lineRule="auto" w:line="288" w:before="0" w:after="180"/>
        <w:jc w:val="left"/>
        <w:rPr/>
      </w:pPr>
      <w:r>
        <w:rPr>
          <w:rFonts w:ascii="Times New Roman;serif" w:hAnsi="Times New Roman;serif"/>
          <w:b w:val="false"/>
          <w:color w:val="000000"/>
          <w:sz w:val="18"/>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8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EXPLANATORY NOTE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registration statement contains: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base prospectus, which covers the offering, issuance and sale by the registrant of up to a maximum aggregate offering price of $350.0 million of the registrant’s common stock, preferred stock, debt securities and/or warrants;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sales agreement prospectus covering the offering, issuance and sale by the registrant of up to a maximum aggregate offering price of $100.0 million of the registrant’s common stock that may be issued and sold from time to time under a sales agreement with Leerink Partners LLC.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base prospectus immediately follows this explanatory note. The specific terms of any securities to be offered pursuant to the base prospectus will be specified in a prospectus supplement to the base prospectus. The sales agreement prospectus immediately follows the base prospectus. The $100.0 million of common stock that may be offered, issued and sold by the registrant under the sales agreement prospectus is included in the $350.0 million of securities that may be offered, issued and sold by the registrant under the base prospectus. Upon termination of the sales agreement with Leerink Partners LLC, any portion of the $100.0 million included in the sales agreement prospectus that is not sold pursuant to the sales agreement will be available for sale in other offerings pursuant to the base prospectus and a corresponding prospectus supplement, and if no shares are sold under the sales agreement, the full $100.0 million of securities may be sold in other offerings pursuant to the base prospectus and a corresponding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DE1A1E"/>
          <w:sz w:val="20"/>
        </w:rPr>
      </w:pPr>
      <w:r>
        <w:rPr>
          <w:rFonts w:ascii="Times New Roman;serif" w:hAnsi="Times New Roman;serif"/>
          <w:b/>
          <w:color w:val="DE1A1E"/>
          <w:sz w:val="20"/>
        </w:rPr>
        <w:t xml:space="preserve">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  </w:t>
      </w:r>
    </w:p>
    <w:p>
      <w:pPr>
        <w:pStyle w:val="TextBody"/>
        <w:bidi w:val="0"/>
        <w:spacing w:lineRule="auto" w:line="288" w:before="0" w:after="120"/>
        <w:jc w:val="center"/>
        <w:rPr>
          <w:rFonts w:ascii="Times New Roman;serif" w:hAnsi="Times New Roman;serif"/>
          <w:b/>
          <w:color w:val="DE1A1E"/>
          <w:sz w:val="20"/>
        </w:rPr>
      </w:pPr>
      <w:r>
        <w:rPr>
          <w:rFonts w:ascii="Times New Roman;serif" w:hAnsi="Times New Roman;serif"/>
          <w:b/>
          <w:color w:val="DE1A1E"/>
          <w:sz w:val="20"/>
        </w:rPr>
        <w:t>SUBJECT TO COMPLETION, DATED SEPTEMBER 10, 2026</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PROSPECTUS </w:t>
      </w:r>
    </w:p>
    <w:p>
      <w:pPr>
        <w:pStyle w:val="TextBody"/>
        <w:bidi w:val="0"/>
        <w:spacing w:before="0" w:after="120"/>
        <w:jc w:val="center"/>
        <w:rPr/>
      </w:pPr>
      <w:r>
        <w:rPr/>
        <w:drawing>
          <wp:inline distT="0" distB="0" distL="0" distR="0">
            <wp:extent cx="2419350" cy="5429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419350" cy="542925"/>
                    </a:xfrm>
                    <a:prstGeom prst="rect">
                      <a:avLst/>
                    </a:prstGeom>
                  </pic:spPr>
                </pic:pic>
              </a:graphicData>
            </a:graphic>
          </wp:inline>
        </w:drawing>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$350,000,000</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Common Stock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Preferred Stock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Debt Securities </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 xml:space="preserve">Warrants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offer and sell up to $350.0 million of any combination of shares of our common stock, shares of our preferred stock, debt securities and warrants to purchase any of such securities in one or more offerings at prices and on terms described in one or more supplements to this prospectus. We may also offer securities as may be issuable upon conversion, redemption, repurchase, exchange or exercise of any securities registered hereunder, including any applicable anti-dilution provisions.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provides a general description of the securities we may offer or sell. Each time we offer or sell any type of securities, we will specify in an accompanying prospectus supplement the terms of the securities being offered.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we have authorized for use in connection with a specific offering, as well as any documents incorporated by reference, before you invest in any of the securities being offered.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This prospectus may not be used to consummate a sale of any securities unless accompanied by a prospectus supplement.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Global Market, or Nasdaq, under the symbol “KROS.” On September 9, 2026, the last reported sale price of our common stock was $11.31 per share. The applicable prospectus supplement will contain information, where applicable, as to any other listing on Nasdaq or any securities market or other exchange of the securities, if any, covered by the prospectus supplement. </w:t>
      </w:r>
    </w:p>
    <w:p>
      <w:pPr>
        <w:pStyle w:val="TextBody"/>
        <w:bidi w:val="0"/>
        <w:spacing w:lineRule="auto" w:line="288" w:before="0" w:after="120"/>
        <w:jc w:val="left"/>
        <w:rPr/>
      </w:pPr>
      <w:r>
        <w:rPr>
          <w:rFonts w:ascii="Times New Roman;serif" w:hAnsi="Times New Roman;serif"/>
          <w:b w:val="false"/>
          <w:color w:val="000000"/>
          <w:sz w:val="20"/>
        </w:rPr>
        <w:t>These securities may be sold directly by us to investors, through agents designated from time to time or to or through underwriters or dealers, on a continuous or delayed basis. For additional information on the methods of sale, you should refer to the section titled “</w:t>
      </w:r>
      <w:hyperlink w:anchor="ic657006503e14ac78293b6cbb30b977d_40">
        <w:r>
          <w:rPr>
            <w:rStyle w:val="InternetLink"/>
            <w:rFonts w:ascii="Times New Roman;serif" w:hAnsi="Times New Roman;serif"/>
            <w:b w:val="false"/>
            <w:color w:val="0000FF"/>
            <w:sz w:val="20"/>
            <w:u w:val="single"/>
          </w:rPr>
          <w:t>Plan of Distribution</w:t>
        </w:r>
      </w:hyperlink>
      <w:r>
        <w:rPr>
          <w:color w:val="000000"/>
        </w:rPr>
        <w:t xml:space="preserve">” </w:t>
      </w:r>
      <w:r>
        <w:rPr>
          <w:rFonts w:ascii="Times New Roman;serif" w:hAnsi="Times New Roman;serif"/>
          <w:b w:val="false"/>
          <w:color w:val="000000"/>
          <w:sz w:val="20"/>
        </w:rPr>
        <w:t xml:space="preserve">in this prospectus and in any applicable prospectus supplement. If any agents, underwriters or dealers are involved in the sale of any securities with respect to which this prospectus is being delivered, the names of such agents, underwriters or dealers and any applicable fees, commissions, discounts or over-allotment options will be set forth in such prospectus supplement. The price to the public of such securities and the net proceeds we expect to receive from such sale will also be set forth in a prospectus supplement.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under federal securities laws and, as such, have elected to comply with certain reduced public company reporting requirements. See “Prospectus Summary—Implications of Being a Smaller Reporting Company.”</w:t>
      </w:r>
    </w:p>
    <w:p>
      <w:pPr>
        <w:pStyle w:val="TextBody"/>
        <w:bidi w:val="0"/>
        <w:spacing w:lineRule="auto" w:line="288" w:before="0" w:after="120"/>
        <w:jc w:val="left"/>
        <w:rPr/>
      </w:pPr>
      <w:r>
        <w:rPr>
          <w:rFonts w:ascii="Times New Roman;serif" w:hAnsi="Times New Roman;serif"/>
          <w:b/>
          <w:i/>
          <w:color w:val="000000"/>
          <w:sz w:val="20"/>
        </w:rPr>
        <w:t>Investing in our securities involves a high degree of risk. You should review carefully the risks and uncertainties described under the heading “</w:t>
      </w:r>
      <w:hyperlink w:anchor="ic657006503e14ac78293b6cbb30b977d_19">
        <w:r>
          <w:rPr>
            <w:rStyle w:val="InternetLink"/>
            <w:rFonts w:ascii="Times New Roman;serif" w:hAnsi="Times New Roman;serif"/>
            <w:b/>
            <w:i/>
            <w:color w:val="0000FF"/>
            <w:sz w:val="20"/>
            <w:u w:val="single"/>
          </w:rPr>
          <w:t>Risk Factors</w:t>
        </w:r>
      </w:hyperlink>
      <w:r>
        <w:rPr>
          <w:color w:val="000000"/>
        </w:rPr>
        <w:t xml:space="preserve">” </w:t>
      </w:r>
      <w:r>
        <w:rPr>
          <w:rFonts w:ascii="Times New Roman;serif" w:hAnsi="Times New Roman;serif"/>
          <w:b/>
          <w:i/>
          <w:color w:val="000000"/>
          <w:sz w:val="20"/>
        </w:rPr>
        <w:t xml:space="preserve">on page </w:t>
      </w:r>
      <w:hyperlink w:anchor="ic657006503e14ac78293b6cbb30b977d_19">
        <w:r>
          <w:rPr>
            <w:rStyle w:val="InternetLink"/>
            <w:rFonts w:ascii="Times New Roman;serif" w:hAnsi="Times New Roman;serif"/>
            <w:b/>
            <w:i/>
            <w:color w:val="0000FF"/>
            <w:sz w:val="20"/>
            <w:u w:val="single"/>
          </w:rPr>
          <w:t>5</w:t>
        </w:r>
      </w:hyperlink>
      <w:r>
        <w:rPr>
          <w:color w:val="000000"/>
        </w:rPr>
        <w:t xml:space="preserve"> </w:t>
      </w:r>
      <w:r>
        <w:rPr>
          <w:rFonts w:ascii="Times New Roman;serif" w:hAnsi="Times New Roman;serif"/>
          <w:b/>
          <w:i/>
          <w:color w:val="000000"/>
          <w:sz w:val="20"/>
        </w:rPr>
        <w:t xml:space="preserve">of this prospectus and contained in the applicable prospectus supplement and any related free writing prospectus, and under similar headings in the other documents that are incorporated by reference into this prospectus.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date of this prospectus is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6361" w:type="dxa"/>
        <w:jc w:val="center"/>
        <w:tblInd w:w="0" w:type="dxa"/>
        <w:tblLayout w:type="fixed"/>
        <w:tblCellMar>
          <w:top w:w="28" w:type="dxa"/>
          <w:left w:w="28" w:type="dxa"/>
          <w:bottom w:w="28" w:type="dxa"/>
          <w:right w:w="28" w:type="dxa"/>
        </w:tblCellMar>
      </w:tblPr>
      <w:tblGrid>
        <w:gridCol w:w="2118"/>
        <w:gridCol w:w="1861"/>
        <w:gridCol w:w="1871"/>
        <w:gridCol w:w="149"/>
        <w:gridCol w:w="149"/>
        <w:gridCol w:w="213"/>
      </w:tblGrid>
      <w:tr>
        <w:trPr/>
        <w:tc>
          <w:tcPr>
            <w:tcW w:w="2118"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13">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c657006503e14ac78293b6cbb30b977d_13">
              <w:r>
                <w:rPr>
                  <w:rStyle w:val="InternetLink"/>
                  <w:rFonts w:ascii="Times New Roman;serif" w:hAnsi="Times New Roman;serif"/>
                  <w:b w:val="false"/>
                  <w:color w:val="0000FF"/>
                  <w:sz w:val="20"/>
                  <w:u w:val="single"/>
                </w:rPr>
                <w:t>ii</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16">
              <w:r>
                <w:rPr>
                  <w:rStyle w:val="InternetLink"/>
                  <w:rFonts w:ascii="Times New Roman;serif" w:hAnsi="Times New Roman;serif"/>
                  <w:b w:val="false"/>
                  <w:color w:val="0000FF"/>
                  <w:sz w:val="20"/>
                  <w:u w:val="singl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16">
              <w:r>
                <w:rPr>
                  <w:rStyle w:val="InternetLink"/>
                  <w:rFonts w:ascii="Times New Roman;serif" w:hAnsi="Times New Roman;serif"/>
                  <w:b w:val="false"/>
                  <w:color w:val="0000FF"/>
                  <w:sz w:val="20"/>
                  <w:u w:val="single"/>
                </w:rPr>
                <w:t>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19">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19">
              <w:r>
                <w:rPr>
                  <w:rStyle w:val="InternetLink"/>
                  <w:rFonts w:ascii="Times New Roman;serif" w:hAnsi="Times New Roman;serif"/>
                  <w:b w:val="false"/>
                  <w:color w:val="0000FF"/>
                  <w:sz w:val="20"/>
                  <w:u w:val="single"/>
                </w:rPr>
                <w:t>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22">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22">
              <w:r>
                <w:rPr>
                  <w:rStyle w:val="InternetLink"/>
                  <w:rFonts w:ascii="Times New Roman;serif" w:hAnsi="Times New Roman;serif"/>
                  <w:b w:val="false"/>
                  <w:color w:val="0000FF"/>
                  <w:sz w:val="20"/>
                  <w:u w:val="single"/>
                </w:rPr>
                <w:t>6</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25">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25">
              <w:r>
                <w:rPr>
                  <w:rStyle w:val="InternetLink"/>
                  <w:rFonts w:ascii="Times New Roman;serif" w:hAnsi="Times New Roman;serif"/>
                  <w:b w:val="false"/>
                  <w:color w:val="0000FF"/>
                  <w:sz w:val="20"/>
                  <w:u w:val="single"/>
                </w:rPr>
                <w:t>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28">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28">
              <w:r>
                <w:rPr>
                  <w:rStyle w:val="InternetLink"/>
                  <w:rFonts w:ascii="Times New Roman;serif" w:hAnsi="Times New Roman;serif"/>
                  <w:b w:val="false"/>
                  <w:color w:val="0000FF"/>
                  <w:sz w:val="20"/>
                  <w:u w:val="single"/>
                </w:rPr>
                <w:t>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31">
              <w:r>
                <w:rPr>
                  <w:rStyle w:val="InternetLink"/>
                  <w:rFonts w:ascii="Times New Roman;serif" w:hAnsi="Times New Roman;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31">
              <w:r>
                <w:rPr>
                  <w:rStyle w:val="InternetLink"/>
                  <w:rFonts w:ascii="Times New Roman;serif" w:hAnsi="Times New Roman;serif"/>
                  <w:b w:val="false"/>
                  <w:color w:val="0000FF"/>
                  <w:sz w:val="20"/>
                  <w:u w:val="single"/>
                </w:rPr>
                <w:t>13</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34">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34">
              <w:r>
                <w:rPr>
                  <w:rStyle w:val="InternetLink"/>
                  <w:rFonts w:ascii="Times New Roman;serif" w:hAnsi="Times New Roman;serif"/>
                  <w:b w:val="false"/>
                  <w:color w:val="0000FF"/>
                  <w:sz w:val="20"/>
                  <w:u w:val="single"/>
                </w:rPr>
                <w:t>20</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37">
              <w:r>
                <w:rPr>
                  <w:rStyle w:val="InternetLink"/>
                  <w:rFonts w:ascii="Times New Roman;serif" w:hAnsi="Times New Roman;serif"/>
                  <w:b w:val="false"/>
                  <w:color w:val="0000FF"/>
                  <w:sz w:val="20"/>
                  <w:u w:val="single"/>
                </w:rPr>
                <w:t>LEGAL OWNERSHIP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37">
              <w:r>
                <w:rPr>
                  <w:rStyle w:val="InternetLink"/>
                  <w:rFonts w:ascii="Times New Roman;serif" w:hAnsi="Times New Roman;serif"/>
                  <w:b w:val="false"/>
                  <w:color w:val="0000FF"/>
                  <w:sz w:val="20"/>
                  <w:u w:val="single"/>
                </w:rPr>
                <w:t>23</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40">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40">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43">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43">
              <w:r>
                <w:rPr>
                  <w:rStyle w:val="InternetLink"/>
                  <w:rFonts w:ascii="Times New Roman;serif" w:hAnsi="Times New Roman;serif"/>
                  <w:b w:val="false"/>
                  <w:color w:val="0000FF"/>
                  <w:sz w:val="20"/>
                  <w:u w:val="single"/>
                </w:rPr>
                <w:t>29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46">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46">
              <w:r>
                <w:rPr>
                  <w:rStyle w:val="InternetLink"/>
                  <w:rFonts w:ascii="Times New Roman;serif" w:hAnsi="Times New Roman;serif"/>
                  <w:b w:val="false"/>
                  <w:color w:val="0000FF"/>
                  <w:sz w:val="20"/>
                  <w:u w:val="single"/>
                </w:rPr>
                <w:t>29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49">
              <w:r>
                <w:rPr>
                  <w:rStyle w:val="InternetLink"/>
                  <w:rFonts w:ascii="Times New Roman;serif" w:hAnsi="Times New Roman;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49">
              <w:r>
                <w:rPr>
                  <w:rStyle w:val="InternetLink"/>
                  <w:rFonts w:ascii="Times New Roman;serif" w:hAnsi="Times New Roman;serif"/>
                  <w:b w:val="false"/>
                  <w:color w:val="0000FF"/>
                  <w:sz w:val="20"/>
                  <w:u w:val="single"/>
                </w:rPr>
                <w:t>29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52">
              <w:r>
                <w:rPr>
                  <w:rStyle w:val="InternetLink"/>
                  <w:rFonts w:ascii="Times New Roman;serif" w:hAnsi="Times New Roman;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52">
              <w:r>
                <w:rPr>
                  <w:rStyle w:val="InternetLink"/>
                  <w:rFonts w:ascii="Times New Roman;serif" w:hAnsi="Times New Roman;serif"/>
                  <w:b w:val="false"/>
                  <w:color w:val="0000FF"/>
                  <w:sz w:val="20"/>
                  <w:u w:val="singl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a part of a registration statement on Form S-3 that we filed with the U.S. Securities and Exchange Commission, or the SEC, utilizing a “shelf” registration process. Under this shelf registration statement, we may sell any combination of the securities described in this prospectus in one or more offerings up to a total aggregate offering price of $350.0 million.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the securities we may offer. Each time we offer or sell any type or series of securities under this prospectus, we will provide a prospectus supplement that will contain specific information about the terms of these securities and offerings.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any documents that we have incorporated by reference into this prospectus. We urge you to read carefully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 All of the summaries of documents incorporated by reference herein are qualified in their entirety by the actual documents.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THIS PROSPECTUS MAY NOT BE USED TO CONSUMMATE A SALE OF SECURITIES UNLESS IT IS ACCOMPANIED BY A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We take no responsibility for, and can provide no assurance as to the reliability of, any other information that others may give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 xml:space="preserve">This summary highlights selected information contained elsewhere in this prospectus or incorporated by reference in this prospectus. This summary is not complete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the related notes thereto, and the exhibits to the registration statement of which this prospectus is a part, before making an investment decision. </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 xml:space="preserve">Unless the context requires otherwise, references in this prospectus to the “company,” “Keros,” “we,” “us” and “our” refer to Keros Therapeutics, Inc. and its consolidated subsidiaries. </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Overview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are a clinical-stage biopharmaceutical company focused on developing and commercializing novel therapeutics to treat a wide range of patients with disorders that are linked to dysfunctional signaling of the transforming growth factor-beta, or TGF-ß, family of proteins. We are a leader in understanding the role of the TGF-ß family of proteins, which are master regulators of the growth, repair and maintenance of a number of tissues, including skeletal muscle, bone, adipose, heart tissue and blood. By leveraging this understanding, we have discovered and are developing protein therapeutics that have the potential to provide meaningful and potentially disease-modifying benefit to patients. Our lead product candidate, rinvatercept, is being developed for the treatment of Duchenne muscular dystrophy and for the treatment of amyotrophic lateral sclerosis. Our most advanced product candidate, elritercept, is being developed for the treatment of low blood cell counts, or cytopenias, including anemia and thrombocytopenia, in patients with myelodysplastic syndromes and in patients with myelofibrosis. In December 2024, we entered into an exclusive license agreement with Takeda Pharmaceuticals U.S.A., Inc., or Takeda, to further develop, manufacture and commercialize elritercept worldwide outside of mainland China, Hong Kong and Macau, which became effective on January 16, 2025. </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Corporate Information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Keros Therapeutics, Inc. was originally incorporated under the laws of the State of Delaware under the name Keros Therapeutics, Inc. in December 2015. Our principal executive office is located at 1050 Waltham Street, Suite 302, Lexington, Massachusetts 02421. Our telephone number is (617) 314-6297. Our website address is www.kerostx.com. The information contained in, or that can be accessed through, our website is not incorporated by reference herein and is not part of this prospectus. We have included our website address in this prospectus solely as an inactive textual reference.</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use various trademarks and trade names in our business, including without limitation our corporate name and logo. All other trademarks or trade names referred to in this prospectus are the property of their respective owners. This prospectus, any applicable prospectus supplement and the information incorporated herein or therein by reference may also contain trademarks and trade names of third parties, which are the property of their respective owners. Solely for convenience, the trademarks and trade names referred to or incorporated by reference in this prospectus, any applicable prospectus supplement or any free writing prospectus may be referred to without the ® and TM symbols, but such references should not be construed as any indicator that their respective owners will not assert, to the fullest extent under applicable law, their rights thereto.</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Implications of Being a Smaller Reporting Company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shares of common stock held by non-affiliates does not equal or exceed $250.0 million as of June 30th </w:t>
      </w: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of the prior year, or (2) our annual revenues did not equal or exceed $100.0 million during such completed fiscal year and the market value of our shares of common stock held by non-affiliates did not equal or exceed $700.0 million as of June 30th of the prior year. To the extent we take advantage of any reduced disclosure obligations, it may make the comparison of our financial statements with other public companies difficult or impossible.</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Description of Securities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may offer shares of our common stock, shares of our preferred stock, debt securities and warrants to purchase any of such securities, either individually or in combination with other securities, up to a total aggregate offering price of $350.0 million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designation or classification;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aggregate principal amount or aggregate offering price;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maturity date, if applicable;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original issue discount,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rates and times of payment of interest or dividends,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redemption, conversion, exchange or sinking fund terms,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conversion or exchange prices or rates, if any, and, if applicable, any provisions for changes to or adjustments in the conversion or exchange prices or rates and in the securities or other property receivable upon conversion or exchange;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ranking, if applicable;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restrictive covenants,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voting or other rights, if any;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material or special U.S. federal income tax considerations, if any.</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 applicable prospectus supplement and any related free writing prospectus that we may authorize to be provided to you may also add, update or change any of the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This prospectus may not be used to consummate a sale of securities unless it is accompanied by a prospectus supplement.</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names of those underwriters or agents;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applicable fees, discounts and commissions to be paid to them;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details regarding over-allotment or other options, if any; and </w:t>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estimated net proceeds to us.</w:t>
      </w:r>
    </w:p>
    <w:p>
      <w:pPr>
        <w:pStyle w:val="TextBody"/>
        <w:bidi w:val="0"/>
        <w:spacing w:lineRule="auto" w:line="288" w:before="0" w:after="180"/>
        <w:jc w:val="left"/>
        <w:rPr>
          <w:bdr w:val="single" w:sz="8" w:space="36" w:color="000000"/>
        </w:rPr>
      </w:pPr>
      <w:r>
        <w:rPr>
          <w:rFonts w:ascii="Times New Roman;serif" w:hAnsi="Times New Roman;serif"/>
          <w:b w:val="false"/>
          <w:i/>
          <w:color w:val="000000"/>
          <w:sz w:val="20"/>
          <w:bdr w:val="single" w:sz="8" w:space="36" w:color="000000"/>
        </w:rPr>
        <w:t>Common Stock</w:t>
      </w:r>
      <w:r>
        <w:rPr>
          <w:rFonts w:ascii="Times New Roman;serif" w:hAnsi="Times New Roman;serif"/>
          <w:b w:val="false"/>
          <w:color w:val="000000"/>
          <w:sz w:val="20"/>
          <w:bdr w:val="single" w:sz="8" w:space="36" w:color="000000"/>
        </w:rPr>
        <w:t>. We may issue shares of our common stock from time to time. Each holder of our common stock is entitled to one vote for each share on all matters submitted to a vote of the stockholders, including the election of directors. Subject to any preferential rights of any then outstanding shares of preferred stock, in the event of our liquidation, dissolution or winding up, holders of our common stock are entitled to share ratably in the net assets remaining after payment of all of our debts and other liabilities and the liquidation preferences of any then outstanding shares of preferred stock. Holders of common stock have no preemptive, conversion or subscription rights and there are no redemption or sinking fund provisions applicable to the common stock. In this prospectus, we have summarized certain general features of the common stock under the heading “Description of Capital Stock—Common Stock.” We urge you, however, to read the applicable prospectus supplement (and any related free writing prospectus that we may authorize to be provided to you) related to any common stock being offered.</w:t>
      </w:r>
    </w:p>
    <w:p>
      <w:pPr>
        <w:pStyle w:val="TextBody"/>
        <w:bidi w:val="0"/>
        <w:spacing w:lineRule="auto" w:line="288" w:before="0" w:after="180"/>
        <w:jc w:val="left"/>
        <w:rPr>
          <w:bdr w:val="single" w:sz="8" w:space="36" w:color="000000"/>
        </w:rPr>
      </w:pPr>
      <w:r>
        <w:rPr>
          <w:rFonts w:ascii="Times New Roman;serif" w:hAnsi="Times New Roman;serif"/>
          <w:b w:val="false"/>
          <w:i/>
          <w:color w:val="000000"/>
          <w:sz w:val="20"/>
          <w:bdr w:val="single" w:sz="8" w:space="36" w:color="000000"/>
        </w:rPr>
        <w:t>Preferred Stock</w:t>
      </w:r>
      <w:r>
        <w:rPr>
          <w:rFonts w:ascii="Times New Roman;serif" w:hAnsi="Times New Roman;serif"/>
          <w:b w:val="false"/>
          <w:color w:val="000000"/>
          <w:sz w:val="20"/>
          <w:bdr w:val="single" w:sz="8" w:space="36" w:color="000000"/>
        </w:rPr>
        <w:t xml:space="preserve">. We may issue shares of our preferred stock from time to time, in one or more series. Under our amended and restated certificate of incorporation, our board of directors has the authority, without further action by stockholders, to designate up to 10,000,000 shares of preferred stock in one or more series and to fix the rights, preferences, privileges, qualifications and restrictions granted to or imposed upon the preferred stock, including dividend rights, conversion rights, voting rights, terms of redemption, liquidation preference and sinking fund terms, any or all of which may be greater than the rights of the common stock. As of the date of this prospectus, none of the 10,000,000 authorized shares of preferred stock are designated by our board of directors. Convertible preferred stock will be convertible into our common stock or exchangeable for our other securities. Conversion may be mandatory or at the option of the holders of our preferred stock and would be at prescribed conversion rates.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If we sell any series of preferred stock under this prospectus as supplemented by a prospectus supplement and, if applicable, a free writing prospectus, we will fix the designations, voting powers, preferences and rights of the preferred stock of each such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pStyle w:val="TextBody"/>
        <w:bidi w:val="0"/>
        <w:spacing w:lineRule="auto" w:line="288" w:before="0" w:after="180"/>
        <w:jc w:val="left"/>
        <w:rPr>
          <w:bdr w:val="single" w:sz="8" w:space="36" w:color="000000"/>
        </w:rPr>
      </w:pPr>
      <w:r>
        <w:rPr>
          <w:rFonts w:ascii="Times New Roman;serif" w:hAnsi="Times New Roman;serif"/>
          <w:b w:val="false"/>
          <w:i/>
          <w:color w:val="000000"/>
          <w:sz w:val="20"/>
          <w:bdr w:val="single" w:sz="8" w:space="36" w:color="000000"/>
        </w:rPr>
        <w:t>Debt Securities</w:t>
      </w:r>
      <w:r>
        <w:rPr>
          <w:rFonts w:ascii="Times New Roman;serif" w:hAnsi="Times New Roman;serif"/>
          <w:b w:val="false"/>
          <w:color w:val="000000"/>
          <w:sz w:val="20"/>
          <w:bdr w:val="single" w:sz="8" w:space="36" w:color="000000"/>
        </w:rPr>
        <w:t xml:space="preserve">. 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common stock or preferred stock. Conversion or exchange may be mandatory or optional (at our option or the holders’ option) and would be at prescribed conversion rates or exchange prices.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lineRule="auto" w:line="288" w:before="0" w:after="180"/>
        <w:jc w:val="left"/>
        <w:rPr>
          <w:bdr w:val="single" w:sz="8" w:space="36" w:color="000000"/>
        </w:rPr>
      </w:pPr>
      <w:r>
        <w:rPr>
          <w:rFonts w:ascii="Times New Roman;serif" w:hAnsi="Times New Roman;serif"/>
          <w:b w:val="false"/>
          <w:i/>
          <w:color w:val="000000"/>
          <w:sz w:val="20"/>
          <w:bdr w:val="single" w:sz="8" w:space="36" w:color="000000"/>
        </w:rPr>
        <w:t>Warrants</w:t>
      </w:r>
      <w:r>
        <w:rPr>
          <w:rFonts w:ascii="Times New Roman;serif" w:hAnsi="Times New Roman;serif"/>
          <w:b w:val="false"/>
          <w:color w:val="000000"/>
          <w:sz w:val="20"/>
          <w:bdr w:val="single" w:sz="8" w:space="36" w:color="000000"/>
        </w:rPr>
        <w:t xml:space="preserve">. We may issue warrants for the purchase of common stock, preferred stock and/or debt securities in one or more series. We may issue warrants independently or together with common stock, preferred stock and/or </w:t>
      </w: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debt securities, and the warrants may be attached to or separate from these securities.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Warrants may be issued under a warrant agreement that we enter into with a warrant agent. We will indicate the name and address of the warrant agent, if any, in the applicable prospectus supplement relating to a particular series of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below titled “Special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Statements contained in this prospectus, the applicable prospectus supplement and in the documents incorporated by reference herein and therein that are not strictly historical in nature are forward-looking statements within the meaning of Section 27A of the Securities Act, and within the meaning of Section 21E of the Securities Exchange Act of 1934, as amended, or the Exchange Act. These forward-looking statements are subject to the “safe harbor” created by Section 27A of the Securities Act and Section 21E of the Exchange Act and may include, but are not limited to, statements related to future events or to our future operating or financial performance and involve known and unknown risks, uncertainties and other factors that may cause our actual results, performance or achievements to be materially different from any future results, performance or achievements expressed or implied by the forward-looking statements. All statements other than statements of historical facts contained in this prospectus or in the documents incorporated by reference herein and in any prospectus supplement, including statements regarding our strategy, future financial condition, future operations, research and development, planned clinical trials and preclinical studies, the timing and likelihood of regulatory filings and approvals for our product candidates, our ability to commercialize our product candidates, the potential benefits of collaborations, projected costs, prospects, plans, objectives of management and expected market growth, are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herein or incorporated by reference, in addition to the other information set forth in this prospectus, any accompanying prospectus supplement or free writing prospectus and in the documents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described in any applicable prospectus supplement or in any related free writing prospectus that we may authorize to be provided to you, we currently intend to use the net proceeds from the sale of the securities offered by us hereunder, if any, for our operations and other general corporate purposes including, but not limited to, repayment or refinancing of indebtedness or other corporate borrowing, repurchases and redemption of our securities, working capital, intellectual property protection and enforcement, capital expenditures, clinical trial expenses, research and development expenses and general and administrative expenses. We may also use a portion of the net proceeds to in-license, invest in or acquire businesses, assets or technologies that we believe are complementary to our own, although we have no current plans, commitments or agreements with respect to any acquisitions. As of the date of this prospectus, we cannot specify with certainty all of the particular uses for the net proceeds from the sale of the securities offered by us hereunder. Accordingly, we will retain broad discretion in the timing and application of these proceeds.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Pending application of the net proceeds as described above, we intend to invest the net proceeds in a variety of capital preservation instruments, including short-term, investment-grade, interest-bearing instruments and U.S. government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DESCRIPTION OF CAPITAL STOCK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description of our capital stock is based upon our amended and restated certificate of incorporation and our amended and restated bylaws. This summary does not purport to be complete and is subject to, and is qualified in its entirety by express reference to, the applicable provisions of our amended and restated certificate of incorporation and our amended and restated bylaws, which are filed as exhibits to the registration statement of which this prospectus is part. We encourage you to read our amended and restated certificate of incorporation, our amended and restated bylaws and the applicable provisions of the Delaware General Corporation Law, or the DGCL, for more information.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authorizes us to issue up to 200,000,000 shares of common stock, $0.0001 par value per share, and 10,000,000 shares of preferred stock, $0.0001 par value per share, all of which shares of preferred stock are undesignated as of the date of this prospectus. Our board of directors may establish the rights and preferences of the preferred stock from time to time.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Voting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holder of our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Dividends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preferences that may be applicable to any then-outstanding preferred stock, holders of common stock are entitled to receive ratably those dividends, if any, as may be declared from time to time by the board of directors out of legally available funds.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Liquidation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Rights and Preferences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amended and restated certificate of incorporation, our board of directors has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title and stated value;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number of shares we are offering;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liquidation preference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purchase price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dividend rate per share, dividend period, payment date or dates and method of calculation for dividends;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dividends will be cumulative or non-cumulative and, if cumulative, the date from which dividends will accumulate;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right, if any, to defer payment of dividends and the maximum length of any such deferral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procedures for any auction and remarketing,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provisions for a sinking fund,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provisions for redemption or repurchase, if applicable, and any restrictions on our ability to exercise those redemption and repurchase rights;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listing of the preferred stock on any securities exchange or market;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the preferred stock will be convertible into our common stock or other securities of ours, including warrants, and, if applicable, the conversion period, the conversion price, or how it will be calculated, and under what circumstances and the mechanism by which it may be adjusted;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the preferred stock will be exchangeable into debt securities or other securities of ours, and, if applicable, the exchange price, or how it will be calculated, and under what circumstances it may be adjusted, and the exchange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voting rights,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preemptive rights,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restrictions on transfer, sale or other assignment,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interests in the preferred stock will be represented by depositary shares;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discussion of any material or special U.S. federal income tax considerations applicable to the preferred stock;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relative ranking and preferences of the preferred stock as to dividend rights and rights if we liquidate, dissolve or wind up our affairs;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limitations on issuances of any class or series of preferred stock ranking senior to or on parity with the series of preferred stock being issued as to dividend rights and rights if we liquidate, dissolve or wind up our affairs;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specific terms, rights, preferences, privileges, qualifications or limitations of, or restrictions on the preferred stock.</w:t>
      </w: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issue shares of preferred stock under this prospectus, the shares will be fully-paid and non-assessable.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specify otherwise in the applicable prospectus supplement, the preferred stock will rank, with respect to dividends and upon our liquidation, dissolution or winding up:</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senior to all classes or series of our common stock and to all of our equity securities ranking junior to the preferred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a parity with all of our equity securities the terms of which specifically provide that the equity securities rank on a parity with the preferred stock;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junior to all of our equity securities the terms of which specifically provide that the equity securities rank senior to the 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term “equity securities” does not include convertible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DGCL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Anti-Takeover Provisions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Anti-Takeover Statute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Section 203 of the DGCL, which generally prohibits a publicly held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before such date, the board of directors of the corporation approved either the business combination or the transaction that resulted in the stockholder becoming an interested stockholder;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Section 203 defines a “business combination” to include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merger or consolidation involving the corporation and the interested stockholder; </w:t>
      </w: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sale, transfer, pledge or other disposition of 10% or more of the assets of the corporation involving the interested stockholder;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subject to certain exceptions, any transaction that results in the issuance or transfer by the corporation of any stock of the corporation to the interested stockholder;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transaction involving the corporation that has the effect of increasing the proportionate share of the stock or any class or series of the corporation beneficially owned by the interested stockholder;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receipt by the interested stockholder of the benefit of any loans, advances, guarantees, pledges or other financial benefits by or through the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Anti-Takeover Effects of Certain Provisions of the Certificate of Incorporation and Bylaws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voting power of our shares of common stock outstanding will be able to elect all of our directors. The directors may be removed by the stockholders only for cause upon the vote of holders of 66 2/3% of the shares then entitled to vote at an election of directors. Furthermore, the authorized number of directors may be changed only by resolution of our board of directors, and vacancies and newly created directorships on our board of directors may, except as otherwise required by law or determined by our board, only be filled by a majority vote of the directors then serving on the board, even though less than a quorum. Our amended and restated certificate of incorporation and amended and restated bylaws provide that all stockholder actions must be effected at a duly called meeting of stockholders and not by a consent in writing. A special meeting of stockholders may be called only by the chair of our board of directors, by our chief executive officer or president if the chair of our board of directors is unavailable, or by a majority of our whole board of directors. Our amended and restated bylaws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further provides that the affirmative vote of holders of at least 66 2/3% of the voting power of all of the then outstanding shares of voting stock, voting as a single class, is required to amend certain provisions of our amended and restated certificate of incorporation, including provisions relating to the structure of our board of directors, the size of the board, removal of directors, special meetings of stockholders, actions by written consent and cumulative voting. The affirmative vote of holders of at least 66 2/3% of the voting power of all of the then outstanding shares of voting stock, voting as a single class, is required to amend or repeal our amended and restated bylaws, although our amended and restated bylaws may be amended by a simple majority vote of our whole board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foregoing provisions will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rights. However, such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Choice of Forum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will be the exclusive forum for: (1) any derivative action or proceeding brought on our behalf; (2) any action or proceeding asserting a breach of fiduciary duty owed by any of our current or former directors, officers or employees to us or our stockholders; (3) any action or proceeding asserting a claim against us or any of our current or former directors, officers or other employees, arising out of or pursuant to the DGCL, our amended and restated certificate of incorporation or our amended and restated bylaws; (4) any action or proceeding to interpret, apply, enforce or determine the validity of our amended and restated certificate of incorporation or our amended and restated bylaws; or (5) any action or proceeding asserting a claim against us that is governed by the internal affairs doctrine, provided that, the exclusive forum provision will not apply to suits brought to enforce any liability or duty created by the Securities Act,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It is possible that a court of law could rule that the choice of forum provision contained in our amended and restated certificate of incorporation is inapplicable or unenforceable if it is challenged in a proceeding or otherwise.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Listing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Nasdaq under the symbol “KROS.”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Transfer Agent and Registrar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Computershare Trust Company, N.A. The transfer agent’s address is 150 Royall Street, Suite 101, Canton, Massachusetts 02021. The transfer agent for any series of preferred stock that we may offer under this prospectus will be named and described in the prospectus supplement for that series.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DESCRIPTION OF DEBT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does not limit the amount of debt securities that we may issue. It provides that we may issue debt securities up to the principal amount that we may authorize and may be in any currency or currency unit that we may designate.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describe in the applicable prospectus supplement the terms of the series of debt securities being offered,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title of the series of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limit upon the aggregate principal amount that may be issued;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maturity date or 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form of the debt securities of the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applicability of any guarantees;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or not the debt securities will be secured or unsecured, and the terms of any secured debt;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the debt securities rank as senior debt, senior subordinated debt, subordinated debt or any combination thereof, and the terms of any subordination;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the price (expressed as a percentage of the aggregate principal amount thereof) at which such debt securities will be issued is a price other than the principal amount thereof, the portion of the principal </w:t>
      </w: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amount thereof payable upon declaration of acceleration of the maturity thereof, or if applicable, the portion of the principal amount of such debt securities that is convertible into another security or the method by which any such portion shall be determined;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right, if any, to defer payment of interest and the maximum length of any such deferral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denominations in which we will issue the series of debt securities, if other than denominations of $1,000 and any integral multiple thereof;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other than the full principal amount thereof, the portion of the principal amount of debt securities of the series which shall be payable upon declaration of acceleration of the maturity thereof;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additions to or changes in the covenants applicable to the particular debt securities being issued, including, among others, the consolidation, merger or sale covenant;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additions to or changes in or deletions of the provisions relating to covenant defeasance and legal defeasance;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additions to or changes in the provisions relating to satisfaction and discharge of 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additions to or changes in the provisions relating to the modification of the indenture both with and without the consent of holders of debt securities issued under 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currency of payment of debt securities if other than U.S. dollars and the manner of determining the equivalent amount in U.S. dollars; </w:t>
      </w: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interest will be payable in cash or additional debt securities at our or the holders’ option and the terms and conditions upon which the election may be made;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restrictions on transfer, sale or assignment of the debt securities of the series;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Conversion or Exchange Rights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Consolidation, Merger or Sale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Events of Default under the Indenture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specified events of bankruptcy, insolvency or reorganization occur.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w:t>
      </w: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direction so given by the holder is not in conflict with any law or the applicable indenture;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its duties under the Trust Indenture Act, the trustee need not take any action that might involve it in personal liability or might be unduly prejudicial to the holders not involved in the proceeding.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holder of the debt securities of any series will have the right to institute a proceeding under the indenture or to appoint a receiver or trustee, or to seek other remedies only if: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holder has given written notice to the trustee of a continuing event of default with respect to that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holders of at least 25% in aggregate principal amount of the outstanding debt securities of that series have made written request;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such holders have offered to the trustee indemnity satisfactory to it against the costs, expenses and liabilities to be incurred by the trustee in compliance with the request;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These limitations do not apply to a suit instituted by a holder of debt securities if we default in the payment of the principal, premium, if any, or interest on, the debt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periodically file statements with the trustee regarding our compliance with specified covenants in the indenture.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Modification of Indenture; Waiver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and the trustee may change an indenture without the consent of any holders with respect to specific matters: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cure any ambiguity, defect or inconsistency in the indenture or in the debt securities of any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comply with the provisions described above under the heading “Description of Debt Securities—Consolidation, Merger or Sale;”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provide for uncertificated debt securities in addition to or in place of certificated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add to, delete from or revise the conditions, limitations, and restrictions on the authorized amount, terms, or purposes of issue, authentication and delivery of debt securities, as set forth in 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make any change that does not adversely affect the interests of any holder of debt securities of any series in any material respect;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provide for the issuance of and establish the form and terms and conditions of the debt securities of any series as provided above under the heading “Description of Debt Securities—General” to establish the form of any certifications required to be furnished pursuant to the terms of the indenture or any series of debt securities, or to add to the rights of the holders of any series of debt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evidence and provide for the acceptance of appointment under any indenture by a successor trustee;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any requirements of the SEC in connection with the qualification of any indenture under the Trust Indenture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extending the fixed maturity of any debt securities of any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reducing the principal amount, reducing the rate of or extending the time of payment of interest, or reducing any premium payable upon the redemption of any series of any debt securities;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reducing the percentage of debt securities, the holders of which are required to consent to any amendment, supplement, modification or waiver.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Discharge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provide for payment;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register the transfer or exchange of debt securities of the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replace stolen, lost or mutilated debt securities of the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pay principal of and premium and interest on any debt securities of the series;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maintain paying agencies;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hold monies for payment in trust;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recover excess money held by the trustee;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compensate and indemnify the trustee;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appoint any successor trustee.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Form, Exchange and Transfer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we elect to redeem the debt securities of any series, we will not be required to: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register the transfer of or exchange of any debt securities so selected for redemption, in whole or in part, except the unredeemed portion of any debt securities we are redeeming in part.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Information Concerning the Trustee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Payment and Paying Agents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w:t>
      </w: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Governing Law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and the debt securities, and any claim, controversy or dispute arising under or related to the indenture or the debt securities, will be governed by and construed in accordance with the internal laws of the State of New York, except to the extent that the Trust Indenture Act is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and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and the warrant agreements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describe in the applicable prospectus supplement the terms relating to a series of warrants being offered, including, to the extent applicable: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title of such securities;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offering price or prices and aggregate number of warrants offered;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currency or currencies for which the warrants may be purchased;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applicable, the designation and terms of the securities with which the warrants are issued and the number of warrants issued with each such security or each principal amount of such security;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applicable, the date on and after which the warrants and the related securities will be separately transferable;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applicable, the minimum or maximum amount of such warrants which may be exercised at any one time;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effect of any merger, consolidation, sale or other disposition of our business on the warrant agreements and the warrants; </w:t>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terms of any rights to redeem or call the warrants;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terms of any rights to force the exercise of the warrants;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provisions for changes to or adjustments in the exercise price or number of securities issuable upon exercise of the warrants;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dates on which the right to exercise the warrants will commence and expire;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manner in which the warrant agreements and warrants may be modified;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 discussion of any material or special U.S. federal income tax consequences of holding or exercising the warrants;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terms of the securities issuable upon exercise of the warrants;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specific terms, preferences, rights or limitations of or restrictions on the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Before exercising their warrants, holders of warrants will not have any of the rights of holders of the securities purchasable upon such exercise, including: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 the case of warrants to purchase debt securities, the right to receive payments of principal of, or premium, if any, or interest on, the debt securities purchasable upon exercise or to enforce covenants in the applicable indenture;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warrants to purchase common stock or preferred stock, the right to receive dividends, if any, or, payments upon our liquidation, dissolution or winding up or to exercise voting rights, if any.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Exercise of Warrants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receipt of the required payment and the warrant or warrant certificate, as applicable, properly completed and duly executed at the corporate trust office of the warrant agent, if any, or any other office, including ours, indicated in the applicable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amount. If we so indicate in the applicable prospectus supplement, holders of the warrants may surrender securities as all or part of the exercise price for such warrants.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Governing Law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provide otherwise in the applicable prospectus supplement, the warrants and any warrant agreements, and any claim, controversy or dispute arising under or related to the warrants or warrant agreements, will be governed by and construed in accordance with the laws of the State of New York.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Enforceability of Rights by Holders of Warrants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t>
      </w: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warrant may, without the consent of the related warrant agent or the holder of any other warrant, enforce by appropriate legal action its right to exercise, and receive the securities purchasable upon exercise of, its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OWNERSHIP OF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Book-Entry Holders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Only the person in whose name a security is registered is recognized as the holder of that security. Securities issued in global form, or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Street Name Holders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Legal Holders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once we make a payment or give a notice to the legal holder, we have no further responsibility for the payment or notice even if that legal holder is required, under agreements with its participants or customers or by </w:t>
      </w: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Special Considerations for Indirect Holders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performance of third-party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how it handles securities payments and notices;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it imposes fees or charges;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how it would handle a request for the holders’ consent, if ever required;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whether and how you can instruct it to send you securities registered in your own name so you can be a holder, if that is permitted in the future;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how it would exercise rights under the securities if there were a default or other event triggering the need for holders to act to protect their interests;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securities are in book-entry form, how the depositary’s rules and procedures will affect these matters.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global security may not be transferred to or registered in the name of anyone other than the depositary, its nominee or a successor depositary, unless special termination situations arise. We describe those situations below under the heading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the prospectus supplement for a particular security indicates that the security will be issued in global security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Special Considerations for Global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an indirect holder, an investor’s rights relating to a global security will be governed by the account rules of the investor’s financial institution and of the depositary, as well as general laws relating to securities transfers. We </w:t>
      </w: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do not recognize an indirect holder as a holder of securities and instead deal only with the depositary that holds the global security.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securities are issued only in the form of a global security, an investor should be aware of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investor cannot cause the securities to be registered in his or her name, and cannot obtain non-global certificates for his or her interest in the securities, except in the special situations we describe below;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investor will be an indirect holder and must look to his or her own bank or broker for payments on the securities and protection of his or her legal rights relating to the securities, as we describe above;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investor may not be able to sell interests in the securities to some insurance companies and to other institutions that are required by law to own their securities in non-book-entry form;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depositary’s policies, which may change from time to time, will govern payments, transfers, exchanges and other matters relating to an investor’s interest in the global security;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financial institutions that participate in the depositary’s book-entry system, and through which an investor holds its interest in the global security, may also have their own policies affecting payments, notices and other matters relating to the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may be more than one financial intermediary in the chain of ownership for an investor. We do not monitor and are not responsible for the actions of any of those intermediaries.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Special Situations When a Global Security Will Be Terminated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provide otherwise in the applicable prospectus supplement, the global security will terminate when the following special situations occur: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the depositary notifies us that it is unwilling, unable or no longer qualified to continue as depositary for that global security and we do not appoint another institution to act as depositary within 90 days;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if we notify any applicable trustee that we wish to terminate that global security;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an event of default has occurred with regard to securities represented by that global security and has not been cured or waived.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applicable prospectus supplement may also list additional situations for terminating a global security that would apply only to the particular series of securities covered by the applicable prospectus supplement. When a </w:t>
      </w: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global security terminates, the depositary, and neither we nor any applicable trustee, is responsible for deciding the names of the institutions that will be the initial direct 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PLAN OF DISTRIBUTION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the securities from time to time pursuant to underwritten offerings, direct sales to the public, negotiated transactions, block trades or a combination of these methods. We may sell the securities to or through one or more underwriters or dealers (acting as principal or agent), through agents, or directly to one or more purchasers. We may distribute securities from time to time in one or more transactions: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at a fixed price or prices, which may be changed;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at market prices prevailing at the time of sale;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at prices related to such prevailing market prices;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on or through the facilities of Nasdaq or any other securities exchange or quotation or trading service on which such securities may be listed, quoted or traded at the time of sale; and/or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or through a market maker other than on Nasdaq or such other securities exchanges or quotation or trading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Such “at the market offerings”, if any, may be conducted by underwriters acting as principal or agent.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name or names of any underwriters, dealers or agents, if any;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purchase price of the securities or other consideration therefor, and the proceeds, if any, we will receive from the sale;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over-allotment or other options under which underwriters may purchase additional securities from us;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agency fees or underwriting discounts and other items constituting agents’ or underwriters’ compensation;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offering price;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discounts or concessions allowed or reallowed or paid to dealers;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securities exchange or market on which the securities may be listed.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underwriters are used in the sale, they will acquire the securities for their own account and may resell the securities from time to time in one or more transactions at a fixed offering price or at varying prices determined at the time of sale. The obligations of the underwriters to purchase the securities will be subject to the conditions set forth in the applicable underwriting agreement. We may offer the securities to the public or other investor(s) through underwriting syndicates represented by managing underwriters or by underwriters without a syndicate. Subject to certain conditions, the underwriters will be obligated to purchase all of the securities offered by the prospectus </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 other than securities covered by any option to purchase additional shares or other option. If a dealer is used in the sale of securities, we or an underwriter will sell the securities to the dealer, as principal. The dealer may then resell the securities to the public or other investor(s) at varying prices to be determined by the dealer at the time of resale. To the extent required, we will set forth in the prospectus supplement the name of the dealer and the terms of the transaction. Any offering price and any discounts or concessions allowed or re-allowed or paid to dealers may change from time to time.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use underwriters, dealers or agents with whom we have a material relationship. We will describe in the prospectus supplement, naming the underwriter, dealer or agent, the nature of any such relationship.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authorize agents or underwriters to solicit offers by certain types of institutional investors to purchase securities from us at the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common stock, all securities we offer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creates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underwriters, dealers or agents that are qualified market makers on Nasdaq may engage in passive market making transactions in the common stock on Nasdaq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in the applicable prospectus supplement, certain legal matters in connection with the offering and the validity of the securities offered by this prospectus, and any supplement thereto, will be passed upon by Cooley LLP, Boston, Massachusetts. As of the date of this prospectus, an entity comprised of partners and associates of Cooley LLP beneficially owns an aggregate of 3,722 shares of our common stock. Additional legal matters may be passed upon for us or any underwriters, dealers or agents, by counsel that we will name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EXPERTS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of Keros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WHERE YOU CAN FIND MORE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the registration statement on Form S-3 we filed with the SEC under the Securities Act.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The documents incorporated by reference into this prospectus contain important information that you should read about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must comply with the informational requirements of the Exchange Act, and we are required to file reports and proxy statements and other information with the SEC. You may read and copy these reports, proxy statements and other information on the SEC’s website at www.sec.gov, which contains reports, proxy and information statements and other information regarding issuers like us that file electronically with the SEC. We maintain a website at www.kerostx.com. The information contained in, or that can be accessed through, our website is not incorporated by reference herein and is not part of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INCORPORATION OF CERTAIN INFORMATION BY REFERENCE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and the registration statement of which this prospectus is a part the information or documents listed below that we have filed with the SEC (Commission File No. 001-39264):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year ended December 31, 2025, filed with the SEC on March 4, 2026;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portions of our Definitive Proxy Statement on Schedule 14A for our 2026 Annual Meeting of Stockholders specifically incorporated by reference into our Annual Report on Form 10-K for the year ended December 31, 2025, filed with the SEC on </w:t>
      </w:r>
      <w:hyperlink r:id="rId4">
        <w:r>
          <w:rPr>
            <w:rStyle w:val="InternetLink"/>
            <w:rFonts w:ascii="Times New Roman;serif" w:hAnsi="Times New Roman;serif"/>
            <w:b w:val="false"/>
            <w:color w:val="0000FF"/>
            <w:sz w:val="20"/>
            <w:u w:val="single"/>
          </w:rPr>
          <w:t>April 22,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fiscal quarter ended March 31, 2026, filed with the SEC on </w:t>
      </w:r>
      <w:hyperlink r:id="rId5">
        <w:r>
          <w:rPr>
            <w:rStyle w:val="InternetLink"/>
            <w:rFonts w:ascii="Times New Roman;serif" w:hAnsi="Times New Roman;serif"/>
            <w:b w:val="false"/>
            <w:color w:val="0000FF"/>
            <w:sz w:val="20"/>
            <w:u w:val="single"/>
          </w:rPr>
          <w:t>May 14, 2026</w:t>
        </w:r>
      </w:hyperlink>
      <w:r>
        <w:rPr>
          <w:rFonts w:ascii="Times New Roman;serif" w:hAnsi="Times New Roman;serif"/>
          <w:b w:val="false"/>
          <w:color w:val="000000"/>
          <w:sz w:val="20"/>
        </w:rPr>
        <w:t xml:space="preserve">, and for the fiscal quarter ended June 30, 2026, filed with the SEC on </w:t>
      </w:r>
      <w:hyperlink r:id="rId6">
        <w:r>
          <w:rPr>
            <w:rStyle w:val="InternetLink"/>
            <w:rFonts w:ascii="Times New Roman;serif" w:hAnsi="Times New Roman;serif"/>
            <w:b w:val="false"/>
            <w:color w:val="0000FF"/>
            <w:sz w:val="20"/>
            <w:u w:val="single"/>
          </w:rPr>
          <w:t>August 3,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(other than information furnished rather than filed) filed with the SEC on </w:t>
      </w:r>
      <w:hyperlink r:id="rId7">
        <w:r>
          <w:rPr>
            <w:rStyle w:val="InternetLink"/>
            <w:rFonts w:ascii="Times New Roman;serif" w:hAnsi="Times New Roman;serif"/>
            <w:b w:val="false"/>
            <w:color w:val="0000FF"/>
            <w:sz w:val="20"/>
            <w:u w:val="single"/>
          </w:rPr>
          <w:t>February 26, 2026</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FF"/>
            <w:sz w:val="20"/>
            <w:u w:val="single"/>
          </w:rPr>
          <w:t>March 9, 2026</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000FF"/>
            <w:sz w:val="20"/>
            <w:u w:val="single"/>
          </w:rPr>
          <w:t>June 3, 2026</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June 25, 2026</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000FF"/>
            <w:sz w:val="20"/>
            <w:u w:val="single"/>
          </w:rPr>
          <w:t>July 22, 2026</w:t>
        </w:r>
      </w:hyperlink>
      <w:r>
        <w:rPr>
          <w:color w:val="000000"/>
        </w:rPr>
        <w:t xml:space="preserve"> </w:t>
      </w:r>
      <w:r>
        <w:rPr>
          <w:rFonts w:ascii="Times New Roman;serif" w:hAnsi="Times New Roman;serif"/>
          <w:b w:val="false"/>
          <w:color w:val="000000"/>
          <w:sz w:val="20"/>
        </w:rPr>
        <w:t xml:space="preserve">and </w:t>
      </w:r>
      <w:hyperlink r:id="rId12">
        <w:r>
          <w:rPr>
            <w:rStyle w:val="InternetLink"/>
          </w:rPr>
          <w:t xml:space="preserve">September </w:t>
        </w:r>
      </w:hyperlink>
      <w:hyperlink r:id="rId13">
        <w:r>
          <w:rPr>
            <w:rStyle w:val="InternetLink"/>
          </w:rPr>
          <w:t>8</w:t>
        </w:r>
      </w:hyperlink>
      <w:hyperlink r:id="rId14">
        <w:r>
          <w:rPr>
            <w:rStyle w:val="InternetLink"/>
          </w:rPr>
          <w:t>, 2026</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our registration statement on </w:t>
      </w:r>
      <w:hyperlink r:id="rId15">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 xml:space="preserve">filed with the SEC on April 3, 2020, including any amendments or reports filed for the purposes of updating this description, including </w:t>
      </w:r>
      <w:hyperlink r:id="rId16">
        <w:r>
          <w:rPr>
            <w:rStyle w:val="InternetLink"/>
            <w:rFonts w:ascii="Times New Roman;serif" w:hAnsi="Times New Roman;serif"/>
            <w:b w:val="false"/>
            <w:color w:val="0000FF"/>
            <w:sz w:val="20"/>
            <w:u w:val="single"/>
          </w:rPr>
          <w:t>Exhibit 4.4</w:t>
        </w:r>
      </w:hyperlink>
      <w:r>
        <w:rPr>
          <w:color w:val="000000"/>
        </w:rPr>
        <w:t xml:space="preserve"> </w:t>
      </w:r>
      <w:r>
        <w:rPr>
          <w:rFonts w:ascii="Times New Roman;serif" w:hAnsi="Times New Roman;serif"/>
          <w:b w:val="false"/>
          <w:color w:val="000000"/>
          <w:sz w:val="20"/>
        </w:rPr>
        <w:t>to our Annual Report on Form 10-K for the year ended December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to Keros Therapeutics, Inc., Attn: Investor Relations, 1050 Waltham Street, Suite 302, Lexington, Massachusetts 02421.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60"/>
        <w:jc w:val="left"/>
        <w:rPr>
          <w:rFonts w:ascii="Times New Roman;serif" w:hAnsi="Times New Roman;serif"/>
          <w:b/>
          <w:color w:val="DE1A1E"/>
          <w:sz w:val="20"/>
        </w:rPr>
      </w:pPr>
      <w:r>
        <w:rPr>
          <w:rFonts w:ascii="Times New Roman;serif" w:hAnsi="Times New Roman;serif"/>
          <w:b/>
          <w:color w:val="DE1A1E"/>
          <w:sz w:val="20"/>
        </w:rPr>
        <w:t xml:space="preserve">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  </w:t>
      </w:r>
    </w:p>
    <w:tbl>
      <w:tblPr>
        <w:tblW w:w="6268" w:type="dxa"/>
        <w:jc w:val="left"/>
        <w:tblInd w:w="0" w:type="dxa"/>
        <w:tblLayout w:type="fixed"/>
        <w:tblCellMar>
          <w:top w:w="28" w:type="dxa"/>
          <w:left w:w="28" w:type="dxa"/>
          <w:bottom w:w="28" w:type="dxa"/>
          <w:right w:w="28" w:type="dxa"/>
        </w:tblCellMar>
      </w:tblPr>
      <w:tblGrid>
        <w:gridCol w:w="1239"/>
        <w:gridCol w:w="1088"/>
        <w:gridCol w:w="1092"/>
        <w:gridCol w:w="834"/>
        <w:gridCol w:w="834"/>
        <w:gridCol w:w="1181"/>
      </w:tblGrid>
      <w:tr>
        <w:trPr/>
        <w:tc>
          <w:tcPr>
            <w:tcW w:w="1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DE1A1E"/>
                <w:sz w:val="20"/>
              </w:rPr>
            </w:pPr>
            <w:r>
              <w:rPr>
                <w:rFonts w:ascii="Times New Roman;serif" w:hAnsi="Times New Roman;serif"/>
                <w:b/>
                <w:color w:val="DE1A1E"/>
                <w:sz w:val="20"/>
              </w:rPr>
              <w:t>PROSPECTUS (Subject to Completion)</w:t>
            </w:r>
          </w:p>
        </w:tc>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DE1A1E"/>
                <w:sz w:val="20"/>
              </w:rPr>
            </w:pPr>
            <w:r>
              <w:rPr>
                <w:rFonts w:ascii="Times New Roman;serif" w:hAnsi="Times New Roman;serif"/>
                <w:b/>
                <w:color w:val="DE1A1E"/>
                <w:sz w:val="20"/>
              </w:rPr>
              <w:t>DATED SEPTEMBER 10, 2026</w:t>
            </w:r>
          </w:p>
        </w:tc>
      </w:tr>
    </w:tbl>
    <w:p>
      <w:pPr>
        <w:pStyle w:val="TextBody"/>
        <w:bidi w:val="0"/>
        <w:spacing w:before="0" w:after="180"/>
        <w:jc w:val="center"/>
        <w:rPr/>
      </w:pPr>
      <w:r>
        <w:rPr/>
        <w:drawing>
          <wp:inline distT="0" distB="0" distL="0" distR="0">
            <wp:extent cx="2286000" cy="514350"/>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17"/>
                    <a:stretch>
                      <a:fillRect/>
                    </a:stretch>
                  </pic:blipFill>
                  <pic:spPr bwMode="auto">
                    <a:xfrm>
                      <a:off x="0" y="0"/>
                      <a:ext cx="2286000" cy="514350"/>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Up to $100,000,000</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 xml:space="preserve">Common Stock </w:t>
      </w:r>
    </w:p>
    <w:p>
      <w:pPr>
        <w:pStyle w:val="TextBody"/>
        <w:bidi w:val="0"/>
        <w:spacing w:lineRule="auto" w:line="288" w:before="0" w:after="180"/>
        <w:jc w:val="left"/>
        <w:rPr/>
      </w:pPr>
      <w:r>
        <w:rPr>
          <w:rFonts w:ascii="Times New Roman;serif" w:hAnsi="Times New Roman;serif"/>
          <w:b w:val="false"/>
          <w:color w:val="000000"/>
          <w:sz w:val="20"/>
        </w:rPr>
        <w:t xml:space="preserve">We have previously entered into a sales agreement, or the sales agreement, with Leerink Partners LLC, or Leerink Partners, dated May 3, 2021, pursuant to which we may offer and sell shares of our common stock, $0.0001 par value per share, from time to time through or to Leerink Partners, acting as our agent, offered by this prospectus. </w:t>
      </w:r>
      <w:r>
        <w:rPr>
          <w:rFonts w:ascii="Times New Roman;serif" w:hAnsi="Times New Roman;serif"/>
          <w:b w:val="false"/>
          <w:color w:val="000000"/>
          <w:sz w:val="20"/>
          <w:shd w:fill="FFFFFF" w:val="clear"/>
        </w:rPr>
        <w:t>In accordance with the terms of the sales agreement, we may offer and sell shares of our common stock having an aggregate offering price of up to $100.0 million from time to time through Leerink Partners as described herein</w:t>
      </w:r>
      <w:r>
        <w:rPr>
          <w:rFonts w:ascii="Times New Roman;serif" w:hAnsi="Times New Roman;serif"/>
          <w:b w:val="false"/>
          <w:color w:val="000000"/>
          <w:sz w:val="2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Market under the symbol “KROS.” On September 9, 2026, the last reported sale price of our common stock as reported on the Nasdaq Global Market was $11.31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Sales of our common stock, if any, under this prospectus will be made in sales deemed to be an “at the market offering” as defined in Rule 415(a)(4) promulgated under the Securities Act of 1933, as amended, or the Securities Act. Leerink Partners will act as our sales agent, using commercially reasonable efforts to sell on our behalf the shares of our common stock requested by us to be sold, consistent with its normal trading and sales practices, on mutually agreed terms set forth in the sales agreement. There is no arrangement for funds to be received in any escrow, trust or similar arrangement.</w:t>
      </w:r>
    </w:p>
    <w:p>
      <w:pPr>
        <w:pStyle w:val="TextBody"/>
        <w:bidi w:val="0"/>
        <w:spacing w:lineRule="auto" w:line="288" w:before="0" w:after="180"/>
        <w:jc w:val="left"/>
        <w:rPr/>
      </w:pPr>
      <w:r>
        <w:rPr>
          <w:rFonts w:ascii="Times New Roman;serif" w:hAnsi="Times New Roman;serif"/>
          <w:b w:val="false"/>
          <w:color w:val="000000"/>
          <w:sz w:val="20"/>
        </w:rPr>
        <w:t>The compensation to Leerink Partners for sales of our common stock pursuant to the sales agreement will be up to 3.0% of the gross proceeds of the sales price per share. In connection with the sale of our common stock on our behalf, Leerink Partners may be deemed to be an “underwriter” within the meaning of the Securities Act and the compensation of Leerink Partners may be deemed to be underwriting commissions or discounts. We have also agreed to provide indemnification and contribution to Leerink Partners with respect to certain liabilities, including liabilities under the Securities Act or the Securities Exchange Act of 1934, as amended, or the Exchange Act. See “</w:t>
      </w:r>
      <w:hyperlink w:anchor="ic657006503e14ac78293b6cbb30b977d_82">
        <w:r>
          <w:rPr>
            <w:rStyle w:val="InternetLink"/>
            <w:rFonts w:ascii="Times New Roman;serif" w:hAnsi="Times New Roman;serif"/>
            <w:b w:val="false"/>
            <w:color w:val="0000FF"/>
            <w:sz w:val="20"/>
            <w:u w:val="single"/>
          </w:rPr>
          <w:t>Plan of Distribution</w:t>
        </w:r>
      </w:hyperlink>
      <w:r>
        <w:rPr>
          <w:color w:val="000000"/>
        </w:rPr>
        <w:t xml:space="preserve">” </w:t>
      </w:r>
      <w:r>
        <w:rPr>
          <w:rFonts w:ascii="Times New Roman;serif" w:hAnsi="Times New Roman;serif"/>
          <w:b w:val="false"/>
          <w:color w:val="000000"/>
          <w:sz w:val="20"/>
        </w:rPr>
        <w:t xml:space="preserve">beginning on page </w:t>
      </w:r>
      <w:hyperlink w:anchor="ic657006503e14ac78293b6cbb30b977d_82">
        <w:r>
          <w:rPr>
            <w:rStyle w:val="InternetLink"/>
            <w:rFonts w:ascii="Times New Roman;serif" w:hAnsi="Times New Roman;serif"/>
            <w:b w:val="false"/>
            <w:color w:val="0000FF"/>
            <w:sz w:val="20"/>
            <w:u w:val="single"/>
          </w:rPr>
          <w:t>11</w:t>
        </w:r>
      </w:hyperlink>
      <w:r>
        <w:rPr>
          <w:color w:val="000000"/>
        </w:rPr>
        <w:t xml:space="preserve"> </w:t>
      </w:r>
      <w:r>
        <w:rPr>
          <w:rFonts w:ascii="Times New Roman;serif" w:hAnsi="Times New Roman;serif"/>
          <w:b w:val="false"/>
          <w:color w:val="000000"/>
          <w:sz w:val="20"/>
        </w:rPr>
        <w:t xml:space="preserve">for additional information regarding the compensation to be paid to Leerink Partners. </w:t>
      </w:r>
    </w:p>
    <w:p>
      <w:pPr>
        <w:pStyle w:val="TextBody"/>
        <w:bidi w:val="0"/>
        <w:spacing w:lineRule="auto" w:line="288" w:before="0" w:after="180"/>
        <w:jc w:val="left"/>
        <w:rPr/>
      </w:pPr>
      <w:r>
        <w:rPr>
          <w:rFonts w:ascii="Times New Roman;serif" w:hAnsi="Times New Roman;serif"/>
          <w:b/>
          <w:color w:val="000000"/>
          <w:sz w:val="20"/>
        </w:rPr>
        <w:t>Investing in our common stock involves a high degree of risk. See “</w:t>
      </w:r>
      <w:hyperlink w:anchor="ic657006503e14ac78293b6cbb30b977d_67">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c657006503e14ac78293b6cbb30b977d_67">
        <w:r>
          <w:rPr>
            <w:rStyle w:val="InternetLink"/>
            <w:rFonts w:ascii="Times New Roman;serif" w:hAnsi="Times New Roman;serif"/>
            <w:b/>
            <w:color w:val="0000FF"/>
            <w:sz w:val="20"/>
            <w:u w:val="single"/>
          </w:rPr>
          <w:t>4</w:t>
        </w:r>
      </w:hyperlink>
      <w:r>
        <w:rPr>
          <w:color w:val="000000"/>
        </w:rPr>
        <w:t xml:space="preserve"> </w:t>
      </w:r>
      <w:r>
        <w:rPr>
          <w:rFonts w:ascii="Times New Roman;serif" w:hAnsi="Times New Roman;serif"/>
          <w:b/>
          <w:color w:val="000000"/>
          <w:sz w:val="20"/>
        </w:rPr>
        <w:t xml:space="preserve">of this prospectus and in the documents incorporated by reference into this prospectus before investing in our common stock.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tbl>
      <w:tblPr>
        <w:tblW w:w="414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24"/>
        <w:gridCol w:w="924"/>
        <w:gridCol w:w="92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Leerink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is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6360" w:type="dxa"/>
        <w:jc w:val="left"/>
        <w:tblInd w:w="0" w:type="dxa"/>
        <w:tblLayout w:type="fixed"/>
        <w:tblCellMar>
          <w:top w:w="28" w:type="dxa"/>
          <w:left w:w="28" w:type="dxa"/>
          <w:bottom w:w="28" w:type="dxa"/>
          <w:right w:w="28" w:type="dxa"/>
        </w:tblCellMar>
      </w:tblPr>
      <w:tblGrid>
        <w:gridCol w:w="2117"/>
        <w:gridCol w:w="1860"/>
        <w:gridCol w:w="1872"/>
        <w:gridCol w:w="149"/>
        <w:gridCol w:w="149"/>
        <w:gridCol w:w="213"/>
      </w:tblGrid>
      <w:tr>
        <w:trPr/>
        <w:tc>
          <w:tcPr>
            <w:tcW w:w="2117"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58">
              <w:r>
                <w:rPr>
                  <w:rStyle w:val="InternetLink"/>
                  <w:rFonts w:ascii="Times New Roman;serif" w:hAnsi="Times New Roman;serif"/>
                  <w:b w:val="false"/>
                  <w:color w:val="0000FF"/>
                  <w:sz w:val="20"/>
                  <w:u w:val="single"/>
                </w:rPr>
                <w:t>ABOUT THIS PROSPECTUS</w:t>
              </w:r>
            </w:hyperlink>
            <w:r>
              <w:rPr>
                <w:color w:val="000000"/>
              </w:rPr>
              <w:t xml:space="preserve"> </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c657006503e14ac78293b6cbb30b977d_58">
              <w:r>
                <w:rPr>
                  <w:rStyle w:val="InternetLink"/>
                  <w:rFonts w:ascii="Times New Roman;serif" w:hAnsi="Times New Roman;serif"/>
                  <w:b w:val="false"/>
                  <w:color w:val="0000FF"/>
                  <w:sz w:val="20"/>
                  <w:u w:val="single"/>
                </w:rPr>
                <w:t>ii</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61">
              <w:r>
                <w:rPr>
                  <w:rStyle w:val="InternetLink"/>
                  <w:rFonts w:ascii="Times New Roman;serif" w:hAnsi="Times New Roman;serif"/>
                  <w:b w:val="false"/>
                  <w:color w:val="0000FF"/>
                  <w:sz w:val="20"/>
                  <w:u w:val="singl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61">
              <w:r>
                <w:rPr>
                  <w:rStyle w:val="InternetLink"/>
                  <w:rFonts w:ascii="Times New Roman;serif" w:hAnsi="Times New Roman;serif"/>
                  <w:b w:val="false"/>
                  <w:color w:val="0000FF"/>
                  <w:sz w:val="20"/>
                  <w:u w:val="single"/>
                </w:rPr>
                <w:t>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67">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67">
              <w:r>
                <w:rPr>
                  <w:rStyle w:val="InternetLink"/>
                  <w:rFonts w:ascii="Times New Roman;serif" w:hAnsi="Times New Roman;serif"/>
                  <w:b w:val="false"/>
                  <w:color w:val="0000FF"/>
                  <w:sz w:val="20"/>
                  <w:u w:val="single"/>
                </w:rPr>
                <w:t>4</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70">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70">
              <w:r>
                <w:rPr>
                  <w:rStyle w:val="InternetLink"/>
                  <w:rFonts w:ascii="Times New Roman;serif" w:hAnsi="Times New Roman;serif"/>
                  <w:b w:val="false"/>
                  <w:color w:val="0000FF"/>
                  <w:sz w:val="20"/>
                  <w:u w:val="single"/>
                </w:rPr>
                <w:t>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73">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73">
              <w:r>
                <w:rPr>
                  <w:rStyle w:val="InternetLink"/>
                  <w:rFonts w:ascii="Times New Roman;serif" w:hAnsi="Times New Roman;serif"/>
                  <w:b w:val="false"/>
                  <w:color w:val="0000FF"/>
                  <w:sz w:val="20"/>
                  <w:u w:val="single"/>
                </w:rPr>
                <w:t>7</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76">
              <w:r>
                <w:rPr>
                  <w:rStyle w:val="InternetLink"/>
                  <w:rFonts w:ascii="Times New Roman;serif" w:hAnsi="Times New Roman;serif"/>
                  <w:b w:val="false"/>
                  <w:color w:val="0000FF"/>
                  <w:sz w:val="20"/>
                  <w:u w:val="single"/>
                </w:rPr>
                <w:t>DIVIDEND POLICY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76">
              <w:r>
                <w:rPr>
                  <w:rStyle w:val="InternetLink"/>
                  <w:rFonts w:ascii="Times New Roman;serif" w:hAnsi="Times New Roman;serif"/>
                  <w:b w:val="false"/>
                  <w:color w:val="0000FF"/>
                  <w:sz w:val="20"/>
                  <w:u w:val="single"/>
                </w:rPr>
                <w:t>8</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79">
              <w:r>
                <w:rPr>
                  <w:rStyle w:val="InternetLink"/>
                  <w:rFonts w:ascii="Times New Roman;serif" w:hAnsi="Times New Roman;serif"/>
                  <w:b w:val="false"/>
                  <w:color w:val="0000FF"/>
                  <w:sz w:val="20"/>
                  <w:u w:val="single"/>
                </w:rPr>
                <w:t>DILUTION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79">
              <w:r>
                <w:rPr>
                  <w:rStyle w:val="InternetLink"/>
                  <w:rFonts w:ascii="Times New Roman;serif" w:hAnsi="Times New Roman;serif"/>
                  <w:b w:val="false"/>
                  <w:color w:val="0000FF"/>
                  <w:sz w:val="20"/>
                  <w:u w:val="single"/>
                </w:rPr>
                <w:t>9</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82">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82">
              <w:r>
                <w:rPr>
                  <w:rStyle w:val="InternetLink"/>
                  <w:rFonts w:ascii="Times New Roman;serif" w:hAnsi="Times New Roman;serif"/>
                  <w:b w:val="false"/>
                  <w:color w:val="0000FF"/>
                  <w:sz w:val="20"/>
                  <w:u w:val="single"/>
                </w:rPr>
                <w:t>11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85">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85">
              <w:r>
                <w:rPr>
                  <w:rStyle w:val="InternetLink"/>
                  <w:rFonts w:ascii="Times New Roman;serif" w:hAnsi="Times New Roman;serif"/>
                  <w:b w:val="false"/>
                  <w:color w:val="0000FF"/>
                  <w:sz w:val="20"/>
                  <w:u w:val="single"/>
                </w:rPr>
                <w:t>13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88">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88">
              <w:r>
                <w:rPr>
                  <w:rStyle w:val="InternetLink"/>
                  <w:rFonts w:ascii="Times New Roman;serif" w:hAnsi="Times New Roman;serif"/>
                  <w:b w:val="false"/>
                  <w:color w:val="0000FF"/>
                  <w:sz w:val="20"/>
                  <w:u w:val="single"/>
                </w:rPr>
                <w:t>13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91">
              <w:r>
                <w:rPr>
                  <w:rStyle w:val="InternetLink"/>
                  <w:rFonts w:ascii="Times New Roman;serif" w:hAnsi="Times New Roman;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91">
              <w:r>
                <w:rPr>
                  <w:rStyle w:val="InternetLink"/>
                  <w:rFonts w:ascii="Times New Roman;serif" w:hAnsi="Times New Roman;serif"/>
                  <w:b w:val="false"/>
                  <w:color w:val="0000FF"/>
                  <w:sz w:val="20"/>
                  <w:u w:val="single"/>
                </w:rPr>
                <w:t>13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657006503e14ac78293b6cbb30b977d_94">
              <w:r>
                <w:rPr>
                  <w:rStyle w:val="InternetLink"/>
                  <w:rFonts w:ascii="Times New Roman;serif" w:hAnsi="Times New Roman;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57006503e14ac78293b6cbb30b977d_94">
              <w:r>
                <w:rPr>
                  <w:rStyle w:val="InternetLink"/>
                  <w:rFonts w:ascii="Times New Roman;serif" w:hAnsi="Times New Roman;serif"/>
                  <w:b w:val="false"/>
                  <w:color w:val="0000FF"/>
                  <w:sz w:val="20"/>
                  <w:u w:val="single"/>
                </w:rPr>
                <w:t>14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sales agreement prospectus is a part of a registration statement that we have filed on Form S-3 with the U.S. Securities and Exchange Commission, or the SEC, utilizing a “shelf” registration process. By using a shelf registration statement, we may from time to time offer shares of our common stock having an aggregate offering price of up to $100.0 million under this prospectus at prices and on terms to be determined by market conditions at the time of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Before buying any of the common stock that we are offering, we urge you to carefully read this prospectus, together with the information contained in the documents incorporated by reference in this prospectus, and any free writing prospectus or prospectus that we have authorized for use in connection with this offering when making your investment decision. You should also read and consider the information in the documents we have referred you to under the headings “Where You Can Find More Information” and “Incorporation of Certain Information by Reference.” These documents contain important information that you should consider when making your investment decision.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describes the specific terms of this offering and also adds to and updates the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and Leerink Partners has not, authorized anyone to provide you with information different than or inconsistent with the information contained in or incorporated by reference in this prospectus and in any free writing prospectus that we have authorized for use in connection with this offering. We and Leerink Partners take no responsibility for, and can provide no assurance as to the reliability of, any other information that others may give you. We are not, and Leerink Partners is not, making an offer to sell these securities in any jurisdiction where the offer or sale is not permitted. You should assume that the information appearing in this prospectus, the documents incorporated by reference in this prospectus, and in any free writing prospectus that we have authorized for use in connection with this offering, is accurate only as of the date of those respective documents, regardless of the time of delivery of those respective documents. Our business, financial condition, results of operations and prospects may have changed since those dates. You should read this prospectus, the documents incorporated by reference in this prospectus, and any free writing prospectus that we have authorized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of Certain Information by Reference.”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in this prospectus to the “company,” “Keros,” “we,” “us” and “our” refer to Keros Therapeutics, Inc. and its consolidated subsidiaries.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the information incorporated herein and therein by reference may include trademarks, service marks and trade names owned by us or other companies. All trademarks, service marks and trade names included or incorporated by reference into this prospectus are the property of their respective owners.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 xml:space="preserve">This summary highlights selected information contained elsewhere or incorporated by reference in this prospectus. This summary does not contain all the information you should consider before investing in our common stock. You should read and consider carefully the more detailed information in this prospectus, including the factors described under the heading “Risk Factors” in this prospectus and the financial and other information incorporated by reference in this prospectus, as well as the information included in any free writing prospectus that we have authorized for use in connection with this offering, before making an investment decision. </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Overview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We are a clinical-stage biopharmaceutical company focused on developing and commercializing novel therapeutics to treat a wide range of patients with disorders that are linked to dysfunctional signaling of the transforming growth factor-beta, or TGF-ß, family of proteins. We are a leader in understanding the role of the TGF-ß family of proteins, which are master regulators of the growth, repair and maintenance of a number of tissues, including skeletal muscle, bone, adipose, heart tissue and blood. By leveraging this understanding, we have discovered and are developing protein therapeutics that have the potential to provide meaningful and potentially disease-modifying benefit to patients. Our lead product candidate, rinvatercept, is being developed for the treatment of Duchenne muscular dystrophy and for the treatment of amyotrophic lateral sclerosis. Our most advanced product candidate, elritercept, is being developed for the treatment of low blood cell counts, or cytopenias, including anemia and thrombocytopenia, in patients with myelodysplastic syndromes and in patients with myelofibrosis. In December 2024, we entered into an exclusive license agreement with Takeda Pharmaceuticals U.S.A., Inc., or Takeda, to further develop, manufacture and commercialize elritercept worldwide outside of mainland China, Hong Kong and Macau, which became effective on January 16, 2025. </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Summary Risk Factors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business faces significant risks and uncertainties. If any of the following risks are realized, our business, financial condition and results of operations could be materially and adversely affected. Some of the more significant risks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a limited operating history, have incurred net losses in almost every year since our inception and anticipate that we will continue to incur net losses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heavily dependent on the success of our product candidates, which are in clinical development.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 of our product candidates are in preclinical or clinical development stages. Clinical trials are difficult to design and implement, and they involve a lengthy and expensive process with uncertain outcomes. We may experience delays in completing, or ultimately be unable to complete, the development and commercialization of rinvatercept, elritercept or any future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are unable to successfully commercialize any product candidate for which we receive regulatory approval, or experience significant delays in doing so, our business will be materially harmed.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face significant competition from other biotechnology and pharmaceutical companies, and our operating results will suffer if we fail to compete effectively.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rely, and expect to continue to rely, on third parties, including independent clinical investigators, contracted laboratories and contract research organizations,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dependent on our existing third-party collaborations with Takeda and Hansoh (Shanghai) Healthtech Co., Ltd., or Hansoh, to commercialize elritercept, and if Takeda and Hansoh are not successful in commercializing elritercept in their respective licensed territories, we will lose a significant source of potential revenue.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current and future collaborations are and will be important to our business. If we are unable to enter into new collaborations, or if these or our current collaborations are not successful, our business could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Public health crises could adversely impact our business, including the timing or results of our preclinical studies and clinical trials.</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Corporate Information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Keros Therapeutics, Inc. was originally incorporated under the laws of the State of Delaware under the name Keros Therapeutics, Inc. in December 2015. Our principal executive office is located at 1050 Waltham Street, Suite 302, Lexington, Massachusetts 02421. Our telephone number is (617) 314-6297. Our website address is www.kerostx.com. The information contained in, or that can be accessed through, our website is not incorporated by reference herein and is not part of this prospectus. We have included our website address in this prospectus solely as an inactive textual reference.</w:t>
      </w:r>
    </w:p>
    <w:p>
      <w:pPr>
        <w:pStyle w:val="TextBody"/>
        <w:bidi w:val="0"/>
        <w:spacing w:lineRule="auto" w:line="288" w:before="0" w:after="18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Implications of Being a Smaller Reporting Company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shares of common stock held by non-affiliates does not equal or exceed $250.0 million as of June 30th of the prior year, or (2) our annual revenues did not equal or exceed $100.0 million during such completed fiscal year and the market value of our shares of common stock held by non-affiliates did not equal or exceed $700.0 million as of June 30th of the prior year. To the extent we take advantage of any reduced disclosure obligations, it may make the comparison of our financial statements with other public companies difficult or impossible.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766"/>
        <w:gridCol w:w="487"/>
        <w:gridCol w:w="489"/>
        <w:gridCol w:w="109"/>
        <w:gridCol w:w="109"/>
        <w:gridCol w:w="109"/>
        <w:gridCol w:w="2603"/>
        <w:gridCol w:w="2290"/>
        <w:gridCol w:w="3243"/>
      </w:tblGrid>
      <w:tr>
        <w:trPr/>
        <w:tc>
          <w:tcPr>
            <w:tcW w:w="76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Common Stock Offered by Us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our common stock having an aggregate offering price of up to $100.0 million</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Common Stock to Be Outstanding After This Offering</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 to 28,668,920 shares (as more fully described in the notes following this table), assuming sales of 8,841,732 shares of our common stock in this offering at an offering price of $11.31 per share, which was the last reported sale price of our common stock on the Nasdaq Global Market on September 9, 2026. The actual number of shares issued will vary depending on the sales price under this offering.</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Plan of Distribution</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color w:val="000000"/>
                <w:sz w:val="20"/>
              </w:rPr>
              <w:t xml:space="preserve">At the market” offering that may be made from time to time through or to our sales agent, Leerink Partners. See “Plan of Distribution” on page </w:t>
            </w:r>
            <w:hyperlink w:anchor="ic657006503e14ac78293b6cbb30b977d_82">
              <w:r>
                <w:rPr>
                  <w:rStyle w:val="InternetLink"/>
                  <w:rFonts w:ascii="Times New Roman;serif" w:hAnsi="Times New Roman;serif"/>
                  <w:b w:val="false"/>
                  <w:color w:val="0000FF"/>
                  <w:sz w:val="20"/>
                  <w:u w:val="single"/>
                </w:rPr>
                <w:t>11</w:t>
              </w:r>
            </w:hyperlink>
            <w:r>
              <w:rPr>
                <w:rFonts w:ascii="Times New Roman;serif" w:hAnsi="Times New Roman;serif"/>
                <w:b w:val="false"/>
                <w:color w:val="000000"/>
                <w:sz w:val="20"/>
              </w:rPr>
              <w:t>.</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Use of Proceeds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 currently intend to use the net proceeds from this offering for our operations and other general corporate purposes including, but not limited to, repayment or refinancing of indebtedness or other corporate borrowing, repurchases and redemption of our securities, working capital, intellectual property protection and enforcement, capital expenditures, clinical trial expenses, research and development expenses and general and administrative expenses. See section entitled “Use of Proceeds” on page </w:t>
            </w:r>
            <w:hyperlink w:anchor="ic657006503e14ac78293b6cbb30b977d_73">
              <w:r>
                <w:rPr>
                  <w:rStyle w:val="InternetLink"/>
                  <w:rFonts w:ascii="Times New Roman;serif" w:hAnsi="Times New Roman;serif"/>
                  <w:b w:val="false"/>
                  <w:color w:val="0000FF"/>
                  <w:sz w:val="20"/>
                  <w:u w:val="single"/>
                </w:rPr>
                <w:t>7</w:t>
              </w:r>
            </w:hyperlink>
            <w:r>
              <w:rPr>
                <w:color w:val="000000"/>
              </w:rPr>
              <w:t xml:space="preserve"> </w:t>
            </w:r>
            <w:r>
              <w:rPr>
                <w:rFonts w:ascii="Times New Roman;serif" w:hAnsi="Times New Roman;serif"/>
                <w:b w:val="false"/>
                <w:color w:val="000000"/>
                <w:sz w:val="20"/>
              </w:rPr>
              <w:t>of this prospectus.</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Risk Factors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Investing in our common stock involves a high degree of risk. See section entitled “Risk Factors” on page </w:t>
            </w:r>
            <w:hyperlink w:anchor="ic657006503e14ac78293b6cbb30b977d_67">
              <w:r>
                <w:rPr>
                  <w:rStyle w:val="InternetLink"/>
                  <w:rFonts w:ascii="Times New Roman;serif" w:hAnsi="Times New Roman;serif"/>
                  <w:b w:val="false"/>
                  <w:color w:val="0000FF"/>
                  <w:sz w:val="20"/>
                  <w:u w:val="single"/>
                </w:rPr>
                <w:t>4</w:t>
              </w:r>
            </w:hyperlink>
            <w:r>
              <w:rPr>
                <w:color w:val="000000"/>
              </w:rPr>
              <w:t xml:space="preserve"> </w:t>
            </w:r>
            <w:r>
              <w:rPr>
                <w:rFonts w:ascii="Times New Roman;serif" w:hAnsi="Times New Roman;serif"/>
                <w:b w:val="false"/>
                <w:color w:val="000000"/>
                <w:sz w:val="20"/>
              </w:rPr>
              <w:t>of this prospectus and in our Annual Report on Form 10-K for the year ended December 31, 2025, as supplemented by our Quarterly Report on Form 10-Q for the quarter ended March 31, 2026 and Quarterly Report on Form 10-Q for the quarter ended June 30, 2026, and in the other documents which are incorporated by reference in this prospectus in their entirety.</w:t>
            </w:r>
          </w:p>
        </w:tc>
      </w:tr>
      <w:tr>
        <w:trPr/>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Nasdaq Global Market Symbol</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KROS”</w:t>
            </w:r>
          </w:p>
        </w:tc>
      </w:tr>
    </w:tbl>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The number of shares of our common stock to be outstanding immediately after this offering is based on 19,827,188 shares outstanding as of June 30, 2026 and excludes: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4,460,136 shares of our common stock issuable upon the exercise of options outstanding as of June 30, 2026, at a weighted-average exercise price of $34.30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720,365 shares of common stock issuable upon the vesting of restricted stock unit, or RSU, awards outstanding as of June 30,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3,082,375 shares of our common stock reserved for future issuance pursuant to our 2020 Equity Incentive Plan, or 2020 Plan, as of June 30, 2026, as well as any shares reserved pursuant to provisions in our 2020 Plan that automatically increase the number of shares of common stock reserved for issuance under the 2020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1,837,039 shares of our common stock reserved for issuance under our 2020 Employee Stock Purchase Plan, or the ESPP, as of June 30, 2026, as well as any shares reserved pursuant to provisions in the ESPP that automatically increase the number of shares of common stock reserved for issuance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common stock involves a high degree of risk. Our business, prospects, financial condition or operating results could be materially adversely affected by the risks identified below and in the documents incorporated by reference in this prospectus, as well as other risks not currently known to us or that we currently consider immaterial. The trading price of our common stock could decline due to any of these risks, and you may lose all or part of your investment. In assessing the risks described below, you should also refer to the information, including under the heading “Risk Factors,” contained in our Annual Report on Form 10-K for the year ended December 31, 2025, in our Quarterly Report on Form 10-Q for the quarter ended March 31, 2026, in our Quarterly Report on Form 10-Q for the quarter ended June 30, 2026, and in the other documents which are incorporated by reference in this prospectus in their entirety.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Additional Risks Related to this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will have broad discretion in the use of the net proceeds from this offering and may not use them effectively.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management will have broad discretion in the application of the balance of the net proceeds from this offering and could spend the proceeds in ways that do not improve our business, financial condition or results of operations or enhance the value of our common stock. You may not agree with our decisions, and our use of the proceeds may not yield any return on your investment. We intend to use the proceeds from this offering for operations and other general corporate purposes including, but not limited to, repayment or refinancing of indebtedness or other corporate borrowing, repurchases and redemption of our securities, working capital, intellectual property protection and enforcement, capital expenditures, and general corporate purposes, including clinical trial expenses, research and development expenses, general and administrative expenses and capital expenditures.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growth strategy and we might not be able to yield a significant return, if any, on our investment of these net proceeds. You will not have the opportunity to influence our decisions on how to use the net proceeds from this offering. The failure by our management to apply these funds effectively could result in financial losses that could harm our business, cause the price of our common stock to decline and delay the development of our product candidates. Pending their use, we may invest the net proceeds from this offering in a manner that does not produce income or that loses value.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You may experience future dilution as a result of future issuances of shares of our common stock or securities convertible into or exchangeable for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actual number of shares we will issue under the sales agreement, at any one time or in total, as well as the gross proceeds resulting from those issuances, is uncertain.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certain limitations in the sales agreement and compliance with applicable law, we have the discretion to deliver a placement notice to Leerink Partners at any time throughout the term of the sales agreement. The number of shares that are sold by Leerink Partners under the sales agreement will fluctuate based on the market price of the shares of common stock during the sales period and limits we set with Leerink Partners. Because the price per share of each share sold will fluctuate based on the market price of our common stock during the sales period, it is not possible at this stage to predict the number of shares that will be ultimately issued or the gross proceeds to be raised in connection with the sale of shares of common stock offered under this prospectus.</w:t>
      </w: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common stock offered hereby will be sold in “at the market offerings” and investors who buy shares at different times will likely pay different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Statements contained in this prospectus and the documents incorporated by reference herein that are not strictly historical in nature are forward-looking statements within the meaning of Section 27A of the Securities Act, and within the meaning of Section 21E of the Securities Exchange Act of 1934, as amended, or the Exchange Act. These forward-looking statements are subject to the “safe harbor” created by Section 27A of the Securities Act and Section 21E of the Exchange Act and may include, but are not limited to, statements related to future events or to our future operating or financial performance and involve known and unknown risks, uncertainties and other factors that may cause our actual results, performance or achievements to be materially different from any future results, performance or achievements expressed or implied by the forward-looking statements. All statements other than statements of historical facts contained in this prospectus and the documents incorporated by reference herein, including statements regarding our strategy, future financial condition, future operations, research and development, planned clinical trials and preclinical studies, the timing and likelihood of regulatory filings and approvals for our product candidates, our ability to commercialize our product candidates, the potential benefits of collaborations, projected costs, prospects, plans, objectives of management and expected market growth, are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this prospectus and the documents incorporated by reference 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and the documents incorporated by reference herein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common stock, you should carefully consider the risk factors discussed herein or incorporated by reference, in addition to the other information set forth in this prospectus and the documents incorporated by reference herein, or any free writing prospectus that we authorized.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and sell shares of our common stock having aggregate gross sales proceeds of up to $100.0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Leerink Partners as a source of financing.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intend to use the net proceeds from this offering for our operations and other general corporate purposes including, but not limited to, repayment or refinancing of indebtedness or other corporate borrowing, repurchases and redemption of our securities, working capital, intellectual property protection and enforcement, capital expenditures, clinical trial expenses, research and development expenses and general and administrative expenses. We may also use a portion of the net proceeds to in-license, invest in or acquire businesses, assets or technologies that we believe are complementary to our own, although we have no current plans, commitments or agreements with respect to any acquisitions. As of the date of this prospectus, we cannot specify with certainty all of the particular uses for the net proceeds from the sale of the securities offered by us hereunder. Accordingly, we will retain broad discretion in the timing and application of these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DIVIDEND POLICY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DILUTION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Dilution is the amount by which the price paid by the purchasers of the shares of common stock sold in the offering exceeds the net tangible book value per share of common stock after the offering. Net tangible book value per share is determined by subtracting our total liabilities from the total book value of our tangible assets and dividing the difference by the number of shares of common stock deemed to be outstanding at that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net tangible book value as of June 30, 2026 was $262.3 million, or $13.23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sale of 8,841,732 shares of our common stock in this offering at an assumed offering price of $11.31 per share, which is the last reported sale price of our common stock on the Nasdaq Global Market on September 9, 2026, and after deducting offering commissions and estimated offering expenses payable by us, our as adjusted net tangible book value as of June 30, 2026 would have been $360.6 million, or $12.58 per share. This represents an immediate decrease in net tangible book value of $0.65 per share to existing stockholders and immediate accretion of $1.27 per share to investors purchasing our common stock in this offering at the public offering price. The following table illustrates this dilution on a per share basis:</w:t>
      </w:r>
    </w:p>
    <w:tbl>
      <w:tblPr>
        <w:tblW w:w="10205" w:type="dxa"/>
        <w:jc w:val="left"/>
        <w:tblInd w:w="0" w:type="dxa"/>
        <w:tblLayout w:type="fixed"/>
        <w:tblCellMar>
          <w:top w:w="28" w:type="dxa"/>
          <w:left w:w="28" w:type="dxa"/>
          <w:bottom w:w="28" w:type="dxa"/>
          <w:right w:w="28" w:type="dxa"/>
        </w:tblCellMar>
      </w:tblPr>
      <w:tblGrid>
        <w:gridCol w:w="2909"/>
        <w:gridCol w:w="2520"/>
        <w:gridCol w:w="2531"/>
        <w:gridCol w:w="211"/>
        <w:gridCol w:w="616"/>
        <w:gridCol w:w="109"/>
        <w:gridCol w:w="109"/>
        <w:gridCol w:w="109"/>
        <w:gridCol w:w="109"/>
        <w:gridCol w:w="211"/>
        <w:gridCol w:w="616"/>
        <w:gridCol w:w="155"/>
      </w:tblGrid>
      <w:tr>
        <w:trPr/>
        <w:tc>
          <w:tcPr>
            <w:tcW w:w="2909"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Assumed public offering price per share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Historical net tangible book value per share as of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Decrease in net tangible book value per share attributable to new investors purchasing shares in this offering</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after giving effect to this offering</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Accretion per share to new investors participating in this offering</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above discussion and table are based on 19,827,188 shares outstanding as of June 30, 2026 and excludes: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4,460,136 shares of our common stock issuable upon the exercise of options outstanding as of June 30, 2026, at a weighted-average exercise price of $34.30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720,365 shares of common stock issuable upon the vesting of RSU awards outstanding as of June 30,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3,082,375 shares of our common stock reserved for future issuance pursuant to our 2020 Plan as of June 30, 2026, as well as any shares reserved pursuant to provisions in our 2020 Plan that automatically increase the number of shares of common stock reserved for issuance under the 2020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1,837,039 shares of our common stock reserved for issuance under our ESPP as of June 30, 2026, as well as any shares reserved pursuant to provisions in the ESPP that automatically increase the number of shares of common stock reserved for issuance under the ESPP.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above assumes for illustrative purposes that an aggregate of 8,841,732 shares of our common stock are sold during the term of the sales agreement with Leerink Partners at a price of $11.31 per share, the last reported sale price of our common stock on the Nasdaq Global Market on September 9, 2026, for aggregate gross proceeds of $100.0 million. The shares subject to the sales agreement with Leerink Partners are being sold from time to time at various prices. An increase of $1.00 per share in the price at which the shares are sold from the assumed offering price of $11.31 per share shown in the table above, assuming all of our common stock in the aggregate amount of $100.0 million during the term of the sales agreement with Leerink Partners is sold at that price, would increase our adjusted net tangible book value per share after the offering to $12.88 per share and would decrease the accretion in net tangible book value per share to new investors in this offering to $0.57 per share, after deducting commissions and estimated aggregate offering expenses payable by us. A decrease of $1.00 per share in the price at which the shares are sold from the assumed offering price of $11.31 per share shown in the table above, assuming all of our common stock in the aggregate amount of $100.0 million during the term of the sales agreement with Leerink Partners is sold at that price, would decrease our adjusted net tangible book value per share after the offering to $12.27 per share and would increase the accretion in net tangible book value per share to new investors in this offering to $1.96 per share, after deducting commissions and estimated aggregate offering expenses payable by us. </w:t>
      </w:r>
    </w:p>
    <w:p>
      <w:pPr>
        <w:pStyle w:val="TextBody"/>
        <w:bidi w:val="0"/>
        <w:spacing w:before="0" w:after="18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information is supplied for illustrative purposes only and assumes no exercise of the options outstanding as of June 30,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extent that options outstanding as of June 30, 2026 have been or may be exercised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previously entered into the sales agreement with Leerink Partners under which we may issue and sell shares of our common stock from time to time through Leerink Partners as our sales agent. Pursuant to this prospectus, we may issue and sell up to $100.0 million of shares of our common stock. Sales of our common stock, if any, will be made by any method that is deemed to be an “at the market offering” as defined in Rule 415(a)(4) under the Securities Act, including sales made directly on or through the Nasdaq Global Market or on or through any other existing trading market for the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Leerink Partners will offer our common stock subject to the terms and conditions of the sales agreement on a daily basis or as otherwise agreed upon by us and Leerink Partners. We will designate the maximum number or amount of common stock to be sold through Leerink Partners on a daily basis or otherwise determine such maximum number or amount together with Leerink Partners. Subject to the terms and conditions of the sales agreement, Leerink Partners will use commercially reasonable efforts consistent with its normal trading and sales practices and applicable state and federal laws, rules and regulations and the rules of the Nasdaq Global Market to sell on our behalf all of the common stock requested to be sold by us. We may instruct Leerink Partners not to sell common stock if the sales cannot be effected at or above a minimum price designated by us in any such instruction. Leerink Partners or we may suspend the offering of our common stock being made through Leerink Partners under the sales agreement upon proper notice to the other party. Leerink Partners and we each have the right, by giving written notice as specified in the sales agreement, to terminate the sales agreement in each party’s sole discretion at any time. The offering of our common stock pursuant to the sales agreement will otherwise terminate upon the termination of the sales agreement as provided therein.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payable to Leerink Partners as sales agent will be an amount up to 3.0% of the gross proceeds of any shares of common stock sold through it pursuant to the sales agreement. We have also agreed to reimburse Leerink Partners for certain actual outside legal expenses incurred by Leerink Partners in connection with this offering, including Leerink Partners’ counsel fees in an amount up to $75,000, plus an additional amount of up to $15,000 in connection with each diligence bring-down thereafter. In accordance with FINRA Rule 5110, these reimbursed fees and expenses are deemed sales compensation to Leerink Partners in connection with this offering. We estimate that the total expenses of the offering payable by us, excluding commissions payable to Leerink Partners under the sales agreement, will be approximately $255,000. The remaining sales proceeds, after deducting any expenses payable by us and any transaction fees imposed by any governmental, regulatory or self-regulatory organization in connection with the sales of our common stock, will equal our net proceeds for the sale of such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Leerink Partners will provide written confirmation to us no later than after market close on the trading day on the Nasdaq Global Market on which common stock is sold through it as sales agent under the sales agreement. Each confirmation will include the number or amount of shares sold through it as sales agent on that day, the volume weighted average price of the shares sold, the percentage of the daily trading volume and the net proceeds to us from such sales. We will report at least quarterly the number of shares of common stock sold through Leerink Partners under the sales agreement, the net proceeds to us and the compensation paid by us to Leerink Partners in connection with the sales of common stock during the relevant period. Settlement for sales of common stock will occur, unless the parties agree otherwise, on the first trading day following the date on which any sales were made in return for payment of the net proceeds to us. There is no arrangement for funds to be received in an escrow, trust or similar arrangement. In connection with the sale of the common stock on our behalf pursuant to the sales agreement, Leerink Partners may be deemed to be an “underwriter” within the meaning of the Securities Act and the compensation paid to Leerink Partners may be deemed to be underwriting commissions or discounts. We have agreed in the sales agreement to provide indemnification and contribution to Leerink Partners with respect to certain liabilities, including liabilities under the Securities Act or the Exchange Act.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sales agent, Leerink Partners will not engage in any transactions that stabilize our common stock.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and traded on the Nasdaq Global Market under the symbol “KROS.” The transfer agent and registrar for our common stock is Computershare Trust Company, N.A. </w:t>
      </w:r>
    </w:p>
    <w:p>
      <w:pPr>
        <w:pStyle w:val="TextBody"/>
        <w:bidi w:val="0"/>
        <w:spacing w:before="0" w:after="18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Leerink Partners and/or its affiliates have provided, and may in the future provide, various investment banking and other financial services for us for which services they have received, and may in the future receive, customary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validity of the shares of common stock being offered by this prospectus will be passed upon for us by Cooley LLP, Boston, Massachusetts. As of the date of this prospectus, an entity comprised of partners and associates of Cooley LLP beneficially owns an aggregate of 3,722 shares of our common stock. Leerink Partners LLC is being represented in connection with this offering by Latham &amp; Watkins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of Keros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WHERE YOU CAN FIND MORE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maintain a website at www.kerostx.com. The information contained in, or that can be accessed through, our website is not incorporated by reference herein and is not part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INCORPORATION OF CERTAIN INFORMATION BY REFERENCE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the information we file with it, which means that we can disclose important information to you by referring you to those documents. Information incorporated by reference is part of this prospectus. Later information filed with the SEC will update and supersede this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incorporate by reference the documents listed below and any future filings made with the SEC under Sections 13(a), 13(c), 14 or 15(d) of the Exchange Act after the date of this prospectus until the termination of the offering of the shares covered by this prospectus (other than any information furnished under Item 2.02 or Item 7.01 of any current report on Form 8-K and exhibits filed on such form that are related to such items):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18">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year ended December 31, 2025, filed with the SEC on March 4, 2026;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portions of our Definitive Proxy Statement on Schedule 14A for our 2026 Annual Meeting of Stockholders specifically incorporated by reference into our Annual Report on Form 10-K for the year ended December 31, 2025, filed with the SEC on </w:t>
      </w:r>
      <w:hyperlink r:id="rId19">
        <w:r>
          <w:rPr>
            <w:rStyle w:val="InternetLink"/>
            <w:rFonts w:ascii="Times New Roman;serif" w:hAnsi="Times New Roman;serif"/>
            <w:b w:val="false"/>
            <w:color w:val="0000FF"/>
            <w:sz w:val="20"/>
            <w:u w:val="single"/>
          </w:rPr>
          <w:t>April 22,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fiscal quarter ended March 31, 2026, filed with the SEC on </w:t>
      </w:r>
      <w:hyperlink r:id="rId20">
        <w:r>
          <w:rPr>
            <w:rStyle w:val="InternetLink"/>
            <w:rFonts w:ascii="Times New Roman;serif" w:hAnsi="Times New Roman;serif"/>
            <w:b w:val="false"/>
            <w:color w:val="0000FF"/>
            <w:sz w:val="20"/>
            <w:u w:val="single"/>
          </w:rPr>
          <w:t>May 14, 2026</w:t>
        </w:r>
      </w:hyperlink>
      <w:r>
        <w:rPr>
          <w:rFonts w:ascii="Times New Roman;serif" w:hAnsi="Times New Roman;serif"/>
          <w:b w:val="false"/>
          <w:color w:val="000000"/>
          <w:sz w:val="20"/>
        </w:rPr>
        <w:t xml:space="preserve">, and for the fiscal quarter ended June 30, 2026, filed with the SEC on </w:t>
      </w:r>
      <w:hyperlink r:id="rId21">
        <w:r>
          <w:rPr>
            <w:rStyle w:val="InternetLink"/>
            <w:rFonts w:ascii="Times New Roman;serif" w:hAnsi="Times New Roman;serif"/>
            <w:b w:val="false"/>
            <w:color w:val="0000FF"/>
            <w:sz w:val="20"/>
            <w:u w:val="single"/>
          </w:rPr>
          <w:t>August 3,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(other than information furnished rather than filed) filed with the SEC on </w:t>
      </w:r>
      <w:hyperlink r:id="rId22">
        <w:r>
          <w:rPr>
            <w:rStyle w:val="InternetLink"/>
            <w:rFonts w:ascii="Times New Roman;serif" w:hAnsi="Times New Roman;serif"/>
            <w:b w:val="false"/>
            <w:color w:val="0000FF"/>
            <w:sz w:val="20"/>
            <w:u w:val="single"/>
          </w:rPr>
          <w:t>February 26, 2026</w:t>
        </w:r>
      </w:hyperlink>
      <w:r>
        <w:rPr>
          <w:rFonts w:ascii="Times New Roman;serif" w:hAnsi="Times New Roman;serif"/>
          <w:b w:val="false"/>
          <w:color w:val="000000"/>
          <w:sz w:val="20"/>
        </w:rPr>
        <w:t xml:space="preserve">, </w:t>
      </w:r>
      <w:hyperlink r:id="rId23">
        <w:r>
          <w:rPr>
            <w:rStyle w:val="InternetLink"/>
            <w:rFonts w:ascii="Times New Roman;serif" w:hAnsi="Times New Roman;serif"/>
            <w:b w:val="false"/>
            <w:color w:val="0000FF"/>
            <w:sz w:val="20"/>
            <w:u w:val="single"/>
          </w:rPr>
          <w:t>March 9, 2026</w:t>
        </w:r>
      </w:hyperlink>
      <w:r>
        <w:rPr>
          <w:rFonts w:ascii="Times New Roman;serif" w:hAnsi="Times New Roman;serif"/>
          <w:b w:val="false"/>
          <w:color w:val="000000"/>
          <w:sz w:val="20"/>
        </w:rPr>
        <w:t xml:space="preserve">, </w:t>
      </w:r>
      <w:hyperlink r:id="rId24">
        <w:r>
          <w:rPr>
            <w:rStyle w:val="InternetLink"/>
            <w:rFonts w:ascii="Times New Roman;serif" w:hAnsi="Times New Roman;serif"/>
            <w:b w:val="false"/>
            <w:color w:val="0000FF"/>
            <w:sz w:val="20"/>
            <w:u w:val="single"/>
          </w:rPr>
          <w:t>June 3, 2026</w:t>
        </w:r>
      </w:hyperlink>
      <w:r>
        <w:rPr>
          <w:rFonts w:ascii="Times New Roman;serif" w:hAnsi="Times New Roman;serif"/>
          <w:b w:val="false"/>
          <w:color w:val="000000"/>
          <w:sz w:val="20"/>
        </w:rPr>
        <w:t xml:space="preserve">, </w:t>
      </w:r>
      <w:hyperlink r:id="rId25">
        <w:r>
          <w:rPr>
            <w:rStyle w:val="InternetLink"/>
            <w:rFonts w:ascii="Times New Roman;serif" w:hAnsi="Times New Roman;serif"/>
            <w:b w:val="false"/>
            <w:color w:val="0000FF"/>
            <w:sz w:val="20"/>
            <w:u w:val="single"/>
          </w:rPr>
          <w:t>June 25, 2026</w:t>
        </w:r>
      </w:hyperlink>
      <w:r>
        <w:rPr>
          <w:rFonts w:ascii="Times New Roman;serif" w:hAnsi="Times New Roman;serif"/>
          <w:b w:val="false"/>
          <w:color w:val="000000"/>
          <w:sz w:val="20"/>
        </w:rPr>
        <w:t xml:space="preserve">, </w:t>
      </w:r>
      <w:hyperlink r:id="rId26">
        <w:r>
          <w:rPr>
            <w:rStyle w:val="InternetLink"/>
            <w:rFonts w:ascii="Times New Roman;serif" w:hAnsi="Times New Roman;serif"/>
            <w:b w:val="false"/>
            <w:color w:val="0000FF"/>
            <w:sz w:val="20"/>
            <w:u w:val="single"/>
          </w:rPr>
          <w:t>July 22, 2026</w:t>
        </w:r>
      </w:hyperlink>
      <w:r>
        <w:rPr>
          <w:color w:val="000000"/>
        </w:rPr>
        <w:t xml:space="preserve"> </w:t>
      </w:r>
      <w:r>
        <w:rPr>
          <w:rFonts w:ascii="Times New Roman;serif" w:hAnsi="Times New Roman;serif"/>
          <w:b w:val="false"/>
          <w:color w:val="000000"/>
          <w:sz w:val="20"/>
        </w:rPr>
        <w:t xml:space="preserve">and </w:t>
      </w:r>
      <w:hyperlink r:id="rId27">
        <w:r>
          <w:rPr>
            <w:rStyle w:val="InternetLink"/>
          </w:rPr>
          <w:t>Se</w:t>
        </w:r>
      </w:hyperlink>
      <w:hyperlink r:id="rId28">
        <w:r>
          <w:rPr>
            <w:rStyle w:val="InternetLink"/>
          </w:rPr>
          <w:t xml:space="preserve">ptember </w:t>
        </w:r>
      </w:hyperlink>
      <w:hyperlink r:id="rId29">
        <w:r>
          <w:rPr>
            <w:rStyle w:val="InternetLink"/>
          </w:rPr>
          <w:t>8</w:t>
        </w:r>
      </w:hyperlink>
      <w:hyperlink r:id="rId30">
        <w:r>
          <w:rPr>
            <w:rStyle w:val="InternetLink"/>
          </w:rPr>
          <w:t>, 2026</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our registration statement on </w:t>
      </w:r>
      <w:hyperlink r:id="rId31">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 xml:space="preserve">filed with the SEC on April 3, 2020, including any amendments or reports filed for the purposes of updating this description, including </w:t>
      </w:r>
      <w:hyperlink r:id="rId32">
        <w:r>
          <w:rPr>
            <w:rStyle w:val="InternetLink"/>
            <w:rFonts w:ascii="Times New Roman;serif" w:hAnsi="Times New Roman;serif"/>
            <w:b w:val="false"/>
            <w:color w:val="0000FF"/>
            <w:sz w:val="20"/>
            <w:u w:val="single"/>
          </w:rPr>
          <w:t>Exhibit 4.4</w:t>
        </w:r>
      </w:hyperlink>
      <w:r>
        <w:rPr>
          <w:color w:val="000000"/>
        </w:rPr>
        <w:t xml:space="preserve"> </w:t>
      </w:r>
      <w:r>
        <w:rPr>
          <w:rFonts w:ascii="Times New Roman;serif" w:hAnsi="Times New Roman;serif"/>
          <w:b w:val="false"/>
          <w:color w:val="000000"/>
          <w:sz w:val="20"/>
        </w:rPr>
        <w:t>to our Annual Report on Form 10-K for the year ended December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to Keros Therapeutics, Inc., Attn: Investor Relations, 1050 Waltham Street, Suite 302, Lexington, Massachusetts 02421.</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Exhibits to the filings will not be sent, however, unless those exhibits have specifically been incorporated by reference in this prospectus.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000"/>
        <w:jc w:val="left"/>
        <w:rPr/>
      </w:pPr>
      <w:r>
        <w:rPr/>
      </w:r>
    </w:p>
    <w:p>
      <w:pPr>
        <w:pStyle w:val="TextBody"/>
        <w:bidi w:val="0"/>
        <w:spacing w:before="0" w:after="180"/>
        <w:jc w:val="center"/>
        <w:rPr/>
      </w:pPr>
      <w:r>
        <w:rPr/>
        <w:drawing>
          <wp:inline distT="0" distB="0" distL="0" distR="0">
            <wp:extent cx="2419350" cy="552450"/>
            <wp:effectExtent l="0" t="0" r="0" b="0"/>
            <wp:docPr id="5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 descr=""/>
                    <pic:cNvPicPr>
                      <a:picLocks noChangeAspect="1" noChangeArrowheads="1"/>
                    </pic:cNvPicPr>
                  </pic:nvPicPr>
                  <pic:blipFill>
                    <a:blip r:embed="rId33"/>
                    <a:stretch>
                      <a:fillRect/>
                    </a:stretch>
                  </pic:blipFill>
                  <pic:spPr bwMode="auto">
                    <a:xfrm>
                      <a:off x="0" y="0"/>
                      <a:ext cx="2419350" cy="552450"/>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Up to $100,000,000</w:t>
      </w:r>
    </w:p>
    <w:p>
      <w:pPr>
        <w:pStyle w:val="TextBody"/>
        <w:bidi w:val="0"/>
        <w:spacing w:lineRule="auto" w:line="288" w:before="0" w:after="1600"/>
        <w:jc w:val="center"/>
        <w:rPr>
          <w:rFonts w:ascii="Times New Roman;serif" w:hAnsi="Times New Roman;serif"/>
          <w:b/>
          <w:color w:val="000000"/>
          <w:sz w:val="28"/>
        </w:rPr>
      </w:pPr>
      <w:r>
        <w:rPr>
          <w:rFonts w:ascii="Times New Roman;serif" w:hAnsi="Times New Roman;serif"/>
          <w:b/>
          <w:color w:val="000000"/>
          <w:sz w:val="28"/>
        </w:rPr>
        <w:t xml:space="preserve">Common Stock </w:t>
      </w:r>
    </w:p>
    <w:p>
      <w:pPr>
        <w:pStyle w:val="TextBody"/>
        <w:bidi w:val="0"/>
        <w:spacing w:lineRule="auto" w:line="288" w:before="0" w:after="2000"/>
        <w:jc w:val="center"/>
        <w:rPr>
          <w:rFonts w:ascii="Times New Roman;serif" w:hAnsi="Times New Roman;serif"/>
          <w:b/>
          <w:color w:val="000000"/>
          <w:sz w:val="24"/>
        </w:rPr>
      </w:pPr>
      <w:r>
        <w:rPr>
          <w:rFonts w:ascii="Times New Roman;serif" w:hAnsi="Times New Roman;serif"/>
          <w:b/>
          <w:color w:val="000000"/>
          <w:sz w:val="24"/>
        </w:rPr>
        <w:t xml:space="preserve">PROSPECTUS </w:t>
      </w:r>
    </w:p>
    <w:tbl>
      <w:tblPr>
        <w:tblW w:w="414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924"/>
        <w:gridCol w:w="924"/>
        <w:gridCol w:w="92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Leerink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color w:val="000000"/>
        </w:rPr>
      </w:pPr>
      <w:r>
        <w:rPr>
          <w:color w:val="000000"/>
        </w:rPr>
        <w:t>                         </w:t>
      </w:r>
      <w:r>
        <w:rPr>
          <w:rFonts w:ascii="Times New Roman;serif" w:hAnsi="Times New Roman;serif"/>
          <w:b/>
          <w:color w:val="000000"/>
          <w:sz w:val="20"/>
        </w:rPr>
        <w:t xml:space="preserve">,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6"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INFORMATION NOT REQUIRED IN PROSPECTUS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14. Other Expenses of Issuance and Distribution.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an estimate of the fees and expenses, other than the underwriting discounts and commissions, payable by us in connection with the offering of the securities being registered. All the amounts shown below are estimates, except for the SEC registration fee. </w:t>
      </w:r>
    </w:p>
    <w:tbl>
      <w:tblPr>
        <w:tblW w:w="5916" w:type="dxa"/>
        <w:jc w:val="left"/>
        <w:tblInd w:w="0" w:type="dxa"/>
        <w:tblLayout w:type="fixed"/>
        <w:tblCellMar>
          <w:top w:w="28" w:type="dxa"/>
          <w:left w:w="28" w:type="dxa"/>
          <w:bottom w:w="28" w:type="dxa"/>
          <w:right w:w="28" w:type="dxa"/>
        </w:tblCellMar>
      </w:tblPr>
      <w:tblGrid>
        <w:gridCol w:w="1655"/>
        <w:gridCol w:w="1455"/>
        <w:gridCol w:w="1465"/>
        <w:gridCol w:w="211"/>
        <w:gridCol w:w="976"/>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Financial Industry Regulatory Authority, Inc. filing fee</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Transfer agent fees and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Trustee fees and expenses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Printing and miscellaneous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15. Indemnification of Officers and Directors.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a court of competent jurisdiction shall determine that such indemnity is proper.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145(g) of the Delaware General Corporation Law provides that a corporation shall have the power to purchase and maintain insurance on behalf of its officers, directors, employees and agents, against any liability asserted against and incurred by such persons in any such capacity.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pStyle w:val="TextBody"/>
        <w:bidi w:val="0"/>
        <w:spacing w:before="0" w:after="18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our directors shall not be liable to us or our stockholders for monetary damages for breach of fiduciary duty as a director, except to the extent that the exculpation from liabilities is not permitted under the Delaware General Corporation Law as in effect at the time such liability is determined. In addition, our amended and restated certificate of incorporation provides that we may indemnify our directors, officers and other agents of the company to the fullest extent permitted by the laws of the State of Delaware and our amended and restated bylaws provide that we are required to indemnify our directors and executive officers to the fullest extent not prohibited by Delaware General Corporate Law. We have entered into indemnification agreements with each of our directors and officers.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 We expect to enter into a similar agreement with any new directors or officers.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we may purchase and maintain insurance policies on behalf of our directors and officers against specified liabilities for actions taken in their capacities as such, including liabilities under the Securities Act. We have obtained directors’ and officers’ liability insurance to cover liabilities our directors and officers may incur in connection with their services to us, including matters arising under the securities 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underwriting agreement that we may enter into, filed as Exhibit 1.1 to this Registration Statement, will provide for indemnification by any underwriters of the company, our directors, our officers who sign the registration statement and our controlling persons, if any, for some liabilities, including liabilities arising under the Securities Act. Our amended and restated investors’ rights agreement with certain stockholders also provides for cross-indemnification in connection with the registration of our common stock on behalf of such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16. Exhibits and Financial Statement Schedules </w:t>
      </w:r>
    </w:p>
    <w:tbl>
      <w:tblPr>
        <w:tblW w:w="10205" w:type="dxa"/>
        <w:jc w:val="left"/>
        <w:tblInd w:w="0" w:type="dxa"/>
        <w:tblLayout w:type="fixed"/>
        <w:tblCellMar>
          <w:top w:w="28" w:type="dxa"/>
          <w:left w:w="28" w:type="dxa"/>
          <w:bottom w:w="28" w:type="dxa"/>
          <w:right w:w="28" w:type="dxa"/>
        </w:tblCellMar>
      </w:tblPr>
      <w:tblGrid>
        <w:gridCol w:w="239"/>
        <w:gridCol w:w="209"/>
        <w:gridCol w:w="211"/>
        <w:gridCol w:w="109"/>
        <w:gridCol w:w="109"/>
        <w:gridCol w:w="109"/>
        <w:gridCol w:w="1367"/>
        <w:gridCol w:w="1347"/>
        <w:gridCol w:w="1360"/>
        <w:gridCol w:w="109"/>
        <w:gridCol w:w="109"/>
        <w:gridCol w:w="109"/>
        <w:gridCol w:w="176"/>
        <w:gridCol w:w="176"/>
        <w:gridCol w:w="177"/>
        <w:gridCol w:w="109"/>
        <w:gridCol w:w="109"/>
        <w:gridCol w:w="109"/>
        <w:gridCol w:w="352"/>
        <w:gridCol w:w="288"/>
        <w:gridCol w:w="214"/>
        <w:gridCol w:w="109"/>
        <w:gridCol w:w="109"/>
        <w:gridCol w:w="109"/>
        <w:gridCol w:w="210"/>
        <w:gridCol w:w="210"/>
        <w:gridCol w:w="211"/>
        <w:gridCol w:w="109"/>
        <w:gridCol w:w="109"/>
        <w:gridCol w:w="109"/>
        <w:gridCol w:w="221"/>
        <w:gridCol w:w="221"/>
        <w:gridCol w:w="222"/>
        <w:gridCol w:w="109"/>
        <w:gridCol w:w="109"/>
        <w:gridCol w:w="109"/>
        <w:gridCol w:w="242"/>
        <w:gridCol w:w="242"/>
        <w:gridCol w:w="348"/>
      </w:tblGrid>
      <w:tr>
        <w:trPr/>
        <w:tc>
          <w:tcPr>
            <w:tcW w:w="2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80"/>
                  <w:sz w:val="20"/>
                  <w:u w:val="single"/>
                </w:rPr>
                <w:t>Sales Agreement, dated May 3, 2021, by and</w:t>
              </w:r>
            </w:hyperlink>
            <w:hyperlink r:id="rId35">
              <w:r>
                <w:rPr>
                  <w:rStyle w:val="InternetLink"/>
                  <w:rFonts w:ascii="Times New Roman;serif" w:hAnsi="Times New Roman;serif"/>
                  <w:b w:val="false"/>
                  <w:color w:val="000080"/>
                  <w:sz w:val="20"/>
                  <w:u w:val="single"/>
                </w:rPr>
                <w:t xml:space="preserve"> </w:t>
              </w:r>
            </w:hyperlink>
            <w:hyperlink r:id="rId36">
              <w:r>
                <w:rPr>
                  <w:rStyle w:val="InternetLink"/>
                  <w:rFonts w:ascii="Times New Roman;serif" w:hAnsi="Times New Roman;serif"/>
                  <w:b w:val="false"/>
                  <w:color w:val="000080"/>
                  <w:sz w:val="20"/>
                  <w:u w:val="single"/>
                </w:rPr>
                <w:t>between the Registrant and Leerink Partners</w:t>
              </w:r>
            </w:hyperlink>
            <w:hyperlink r:id="rId37">
              <w:r>
                <w:rPr>
                  <w:rStyle w:val="InternetLink"/>
                  <w:rFonts w:ascii="Times New Roman;serif" w:hAnsi="Times New Roman;serif"/>
                  <w:b w:val="false"/>
                  <w:color w:val="000080"/>
                  <w:sz w:val="20"/>
                  <w:u w:val="single"/>
                </w:rPr>
                <w:t xml:space="preserve"> LLC</w:t>
              </w:r>
            </w:hyperlink>
            <w:hyperlink r:id="rId38">
              <w:r>
                <w:rPr>
                  <w:rStyle w:val="InternetLink"/>
                  <w:rFonts w:ascii="Times New Roman;serif" w:hAnsi="Times New Roman;serif"/>
                  <w:b w:val="false"/>
                  <w:color w:val="000080"/>
                  <w:sz w:val="20"/>
                  <w:u w:val="single"/>
                </w:rPr>
                <w:t xml:space="preserve"> </w:t>
              </w:r>
            </w:hyperlink>
            <w:hyperlink r:id="rId39">
              <w:r>
                <w:rPr>
                  <w:rStyle w:val="InternetLink"/>
                  <w:rFonts w:ascii="Times New Roman;serif" w:hAnsi="Times New Roman;serif"/>
                  <w:b w:val="false"/>
                  <w:color w:val="000080"/>
                  <w:sz w:val="20"/>
                  <w:u w:val="single"/>
                </w:rPr>
                <w:t>(formerly SVB Leerink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6/17/24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80"/>
                  <w:sz w:val="20"/>
                  <w:u w:val="single"/>
                </w:rPr>
                <w:t>Amended and Restated Certificate of</w:t>
              </w:r>
            </w:hyperlink>
            <w:hyperlink r:id="rId41">
              <w:r>
                <w:rPr>
                  <w:rStyle w:val="InternetLink"/>
                  <w:rFonts w:ascii="Times New Roman;serif" w:hAnsi="Times New Roman;serif"/>
                  <w:b w:val="false"/>
                  <w:color w:val="000080"/>
                  <w:sz w:val="20"/>
                  <w:u w:val="single"/>
                </w:rPr>
                <w:t xml:space="preserve"> </w:t>
              </w:r>
            </w:hyperlink>
            <w:hyperlink r:id="rId42">
              <w:r>
                <w:rPr>
                  <w:rStyle w:val="InternetLink"/>
                  <w:rFonts w:ascii="Times New Roman;serif" w:hAnsi="Times New Roman;serif"/>
                  <w:b w:val="false"/>
                  <w:color w:val="000080"/>
                  <w:sz w:val="20"/>
                  <w:u w:val="single"/>
                </w:rPr>
                <w:t>Incorporation of the Registrant</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Amended and Restated Bylaws of the Registrant</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80"/>
                  <w:sz w:val="20"/>
                  <w:u w:val="single"/>
                </w:rPr>
                <w:t>Form of Common Stock Certificate of the</w:t>
              </w:r>
            </w:hyperlink>
            <w:hyperlink r:id="rId45">
              <w:r>
                <w:rPr>
                  <w:rStyle w:val="InternetLink"/>
                  <w:rFonts w:ascii="Times New Roman;serif" w:hAnsi="Times New Roman;serif"/>
                  <w:b w:val="false"/>
                  <w:color w:val="000080"/>
                  <w:sz w:val="20"/>
                  <w:u w:val="single"/>
                </w:rPr>
                <w:t xml:space="preserve"> </w:t>
              </w:r>
            </w:hyperlink>
            <w:hyperlink r:id="rId46">
              <w:r>
                <w:rPr>
                  <w:rStyle w:val="InternetLink"/>
                  <w:rFonts w:ascii="Times New Roman;serif" w:hAnsi="Times New Roman;serif"/>
                  <w:b w:val="false"/>
                  <w:color w:val="000080"/>
                  <w:sz w:val="20"/>
                  <w:u w:val="single"/>
                </w:rPr>
                <w:t>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333-237212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Specimen Preferred Stock Certificate and Form of Certificate of Designation of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3-sx3september2026.htm">
              <w:r>
                <w:rPr>
                  <w:rStyle w:val="InternetLink"/>
                  <w:rFonts w:ascii="Times New Roman;serif" w:hAnsi="Times New Roman;serif"/>
                  <w:b w:val="false"/>
                  <w:color w:val="0000FF"/>
                  <w:sz w:val="20"/>
                  <w:u w:val="single"/>
                </w:rPr>
                <w:t>Form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Senior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Subordinated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6-sx3september2026.htm">
              <w:r>
                <w:rPr>
                  <w:rStyle w:val="InternetLink"/>
                  <w:rFonts w:ascii="Times New Roman;serif" w:hAnsi="Times New Roman;serif"/>
                  <w:b w:val="false"/>
                  <w:color w:val="0000FF"/>
                  <w:sz w:val="20"/>
                  <w:u w:val="single"/>
                </w:rPr>
                <w:t>Form of Common Stock Warrant Agreement and Warrant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7-sx3september2026.htm">
              <w:r>
                <w:rPr>
                  <w:rStyle w:val="InternetLink"/>
                  <w:rFonts w:ascii="Times New Roman;serif" w:hAnsi="Times New Roman;serif"/>
                  <w:b w:val="false"/>
                  <w:color w:val="0000FF"/>
                  <w:sz w:val="20"/>
                  <w:u w:val="single"/>
                </w:rPr>
                <w:t>Form of Preferred Stock Warrant Agreement and Warrant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8-sx3september2026.htm">
              <w:r>
                <w:rPr>
                  <w:rStyle w:val="InternetLink"/>
                  <w:rFonts w:ascii="Times New Roman;serif" w:hAnsi="Times New Roman;serif"/>
                  <w:b w:val="false"/>
                  <w:color w:val="000080"/>
                  <w:sz w:val="20"/>
                  <w:u w:val="single"/>
                </w:rPr>
                <w:t>Form of Debt Securities Warrant Agreement and Warrant Certificate</w:t>
              </w:r>
            </w:hyperlink>
            <w:hyperlink w:anchor="exhibit48-sx3september2026.htm">
              <w:r>
                <w:rPr>
                  <w:rStyle w:val="InternetLink"/>
                  <w:rFonts w:ascii="Times New Roman;serif" w:hAnsi="Times New Roman;serif"/>
                  <w:b w:val="false"/>
                  <w:color w:val="000080"/>
                  <w:sz w:val="20"/>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september2026.htm">
              <w:r>
                <w:rPr>
                  <w:rStyle w:val="InternetLink"/>
                  <w:rFonts w:ascii="Times New Roman;serif" w:hAnsi="Times New Roman;serif"/>
                  <w:b w:val="false"/>
                  <w:color w:val="0000FF"/>
                  <w:sz w:val="20"/>
                  <w:u w:val="single"/>
                </w:rPr>
                <w:t>Opinion of Cooley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3september2026.htm">
              <w:r>
                <w:rPr>
                  <w:rStyle w:val="InternetLink"/>
                  <w:rFonts w:ascii="Times New Roman;serif" w:hAnsi="Times New Roman;serif"/>
                  <w:b w:val="false"/>
                  <w:color w:val="0000FF"/>
                  <w:sz w:val="20"/>
                  <w:u w:val="single"/>
                </w:rPr>
                <w:t>Consent of Deloitte &amp; Touche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september2026.htm">
              <w:r>
                <w:rPr>
                  <w:rStyle w:val="InternetLink"/>
                  <w:rFonts w:ascii="Times New Roman;serif" w:hAnsi="Times New Roman;serif"/>
                  <w:b w:val="false"/>
                  <w:color w:val="0000FF"/>
                  <w:sz w:val="20"/>
                  <w:u w:val="single"/>
                </w:rPr>
                <w:t xml:space="preserve">Consent of Cooley LLP </w:t>
              </w:r>
            </w:hyperlink>
            <w:r>
              <w:rPr>
                <w:rFonts w:ascii="Times New Roman;serif" w:hAnsi="Times New Roman;serif"/>
                <w:b w:val="false"/>
                <w:color w:val="000000"/>
                <w:sz w:val="20"/>
              </w:rPr>
              <w:t xml:space="preserve">(See Exhibit 5.1)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657006503e14ac78293b6cbb30b977d_115">
              <w:r>
                <w:rPr>
                  <w:rStyle w:val="InternetLink"/>
                  <w:rFonts w:ascii="Times New Roman;serif" w:hAnsi="Times New Roman;serif"/>
                  <w:b w:val="false"/>
                  <w:color w:val="0000FF"/>
                  <w:sz w:val="20"/>
                  <w:u w:val="single"/>
                </w:rPr>
                <w:t>Power of Attorney</w:t>
              </w:r>
            </w:hyperlink>
            <w:r>
              <w:rPr>
                <w:color w:val="000000"/>
              </w:rPr>
              <w:t xml:space="preserve"> </w:t>
            </w:r>
            <w:r>
              <w:rPr>
                <w:rFonts w:ascii="Times New Roman;serif" w:hAnsi="Times New Roman;serif"/>
                <w:b w:val="false"/>
                <w:color w:val="000000"/>
                <w:sz w:val="20"/>
              </w:rPr>
              <w:t xml:space="preserve">(see signature page hereto)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Statement of Eligibility of Trustee under the Debt Indenture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eros-s3asrexfilingfees.htm">
              <w:r>
                <w:rPr>
                  <w:rStyle w:val="InternetLink"/>
                  <w:rFonts w:ascii="Times New Roman;serif" w:hAnsi="Times New Roman;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*To be filed by amendment or as an exhibit to a Current Report on Form 8-K and incorporated herein by reference, if applicable. </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     To be filed in accordance with the requirements of Section 305(b)(2) of the Trust Indenture Act of 1939, as amended, and the applicable rules thereunder, if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17. Undertakings </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 of 1933;</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in the effective registration statement; and</w:t>
      </w:r>
    </w:p>
    <w:p>
      <w:pPr>
        <w:pStyle w:val="TextBody"/>
        <w:bidi w:val="0"/>
        <w:spacing w:before="0" w:after="18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80"/>
        <w:jc w:val="left"/>
        <w:rPr/>
      </w:pPr>
      <w:r>
        <w:rPr>
          <w:rFonts w:ascii="Times New Roman;serif" w:hAnsi="Times New Roman;serif"/>
          <w:b w:val="false"/>
          <w:i/>
          <w:color w:val="000000"/>
          <w:sz w:val="20"/>
        </w:rPr>
        <w:t>provided,</w:t>
      </w:r>
      <w:r>
        <w:rPr>
          <w:color w:val="000000"/>
        </w:rPr>
        <w:t> </w:t>
      </w:r>
      <w:r>
        <w:rPr>
          <w:rFonts w:ascii="Times New Roman;serif" w:hAnsi="Times New Roman;serif"/>
          <w:b w:val="false"/>
          <w:i/>
          <w:color w:val="000000"/>
          <w:sz w:val="20"/>
        </w:rPr>
        <w:t>however</w:t>
      </w:r>
      <w:r>
        <w:rPr>
          <w:rFonts w:ascii="Times New Roman;serif" w:hAnsi="Times New Roman;serif"/>
          <w:b w:val="false"/>
          <w:color w:val="000000"/>
          <w:sz w:val="20"/>
        </w:rPr>
        <w:t>, that paragraphs (a)(1)(i), (a)(1)(ii) and (a)(1)(iii) do not apply if the information required to be included in a post-effective amendment by those paragraphs is contained in reports filed with or furnished to the Securities and Exchange Commission, or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(4)That, for the purpose of determining liability under the Securities Act of 1933 to any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(i)Any preliminary prospectus or prospectus of the undersigned registrant relating to the offering required to be filed pursuant to Rule 424;</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(ii)Any free writing prospectus relating to the offering prepared by or on behalf of the undersigned registrant or used or referred to by the undersigned registrant;</w:t>
      </w:r>
    </w:p>
    <w:p>
      <w:pPr>
        <w:pStyle w:val="TextBody"/>
        <w:bidi w:val="0"/>
        <w:spacing w:before="0" w:after="18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(iv)Any other communication that is an offer in the offering made by the undersigned registrant to the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undersigned registrant hereby undertakes that, for the purpose of determining liability of the registrant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(d)The undersigned registrant hereby undertakes to file an application for the purpose of determining the eligibility of the trustee to act under subsection (a) of Section 310 of the Trust Indenture Act of 1939, as amended, or the TIA, in accordance with the rules and regulations prescribed by the SEC under Section 305(b)(2) of the TIA.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Lexington, Massachusetts, on September 10, 2026. </w:t>
      </w:r>
    </w:p>
    <w:tbl>
      <w:tblPr>
        <w:tblW w:w="4929" w:type="dxa"/>
        <w:jc w:val="left"/>
        <w:tblInd w:w="0" w:type="dxa"/>
        <w:tblLayout w:type="fixed"/>
        <w:tblCellMar>
          <w:top w:w="28" w:type="dxa"/>
          <w:left w:w="28" w:type="dxa"/>
          <w:bottom w:w="28" w:type="dxa"/>
          <w:right w:w="28" w:type="dxa"/>
        </w:tblCellMar>
      </w:tblPr>
      <w:tblGrid>
        <w:gridCol w:w="124"/>
        <w:gridCol w:w="109"/>
        <w:gridCol w:w="109"/>
        <w:gridCol w:w="449"/>
        <w:gridCol w:w="449"/>
        <w:gridCol w:w="449"/>
        <w:gridCol w:w="949"/>
        <w:gridCol w:w="949"/>
        <w:gridCol w:w="13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KEROS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Jasbir Seehra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Jasbir Seehra,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KNOW ALL BY THESE PRESENTS, that each person whose signature appears below constitutes and appoints Jasbir Seehra, Ph.D., and Annita Tanini,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below by the following persons in the capacities and on the dates indicated.</w:t>
      </w:r>
    </w:p>
    <w:tbl>
      <w:tblPr>
        <w:tblW w:w="8588" w:type="dxa"/>
        <w:jc w:val="left"/>
        <w:tblInd w:w="0" w:type="dxa"/>
        <w:tblLayout w:type="fixed"/>
        <w:tblCellMar>
          <w:top w:w="28" w:type="dxa"/>
          <w:left w:w="28" w:type="dxa"/>
          <w:bottom w:w="28" w:type="dxa"/>
          <w:right w:w="28" w:type="dxa"/>
        </w:tblCellMar>
      </w:tblPr>
      <w:tblGrid>
        <w:gridCol w:w="695"/>
        <w:gridCol w:w="612"/>
        <w:gridCol w:w="613"/>
        <w:gridCol w:w="109"/>
        <w:gridCol w:w="109"/>
        <w:gridCol w:w="109"/>
        <w:gridCol w:w="1477"/>
        <w:gridCol w:w="1477"/>
        <w:gridCol w:w="1500"/>
        <w:gridCol w:w="109"/>
        <w:gridCol w:w="109"/>
        <w:gridCol w:w="109"/>
        <w:gridCol w:w="456"/>
        <w:gridCol w:w="456"/>
        <w:gridCol w:w="648"/>
      </w:tblGrid>
      <w:tr>
        <w:trPr/>
        <w:tc>
          <w:tcPr>
            <w:tcW w:w="69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Jasbir Seehra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President, Chief Executive Officer and Director</w:t>
            </w:r>
          </w:p>
          <w:p>
            <w:pPr>
              <w:pStyle w:val="TableContents"/>
              <w:bidi w:val="0"/>
              <w:spacing w:lineRule="auto" w:line="240"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Principal Executive Officer</w:t>
            </w: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10,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Jasbir Seehra,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Annita Tanini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Corp. Controller and VP, Finance </w:t>
            </w:r>
          </w:p>
          <w:p>
            <w:pPr>
              <w:pStyle w:val="TableContents"/>
              <w:bidi w:val="0"/>
              <w:spacing w:lineRule="auto" w:line="240"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Principal Financial Officer and Principal Accounting Officer</w:t>
            </w: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10,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Annita Tanini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Jean-Jacques Bienaimé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10,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Jean-Jacques Bienaimé</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Nima Farzan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10,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Nima Farzan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Mary Ann Gray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10,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Mary Ann Gray,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Julius Knowles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10,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Julius Knowles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 Charles Newton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10,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Charles Newton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Anne Prener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10,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Anne Prener,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Alpna Seth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10, 2026</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Alpna Seth,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0" w:name="keros-s3asrexfilingfees.htm"/>
      <w:bookmarkStart w:id="1" w:name="kskeross3asrexfilingfees"/>
      <w:bookmarkStart w:id="2" w:name="keros-s3asrexfilingfees.htm"/>
      <w:bookmarkStart w:id="3" w:name="kskeross3asrexfilingfees"/>
      <w:bookmarkEnd w:id="2"/>
      <w:bookmarkEnd w:id="3"/>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Keros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4" w:type="dxa"/>
        <w:jc w:val="left"/>
        <w:tblInd w:w="0" w:type="dxa"/>
        <w:tblLayout w:type="fixed"/>
        <w:tblCellMar>
          <w:top w:w="28" w:type="dxa"/>
          <w:left w:w="28" w:type="dxa"/>
          <w:bottom w:w="28" w:type="dxa"/>
          <w:right w:w="28" w:type="dxa"/>
        </w:tblCellMar>
      </w:tblPr>
      <w:tblGrid>
        <w:gridCol w:w="1126"/>
        <w:gridCol w:w="226"/>
        <w:gridCol w:w="12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$ 232,276,802.04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$ 32,077.43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$ 117,723,197.96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333-279094 </w:t>
            </w:r>
          </w:p>
        </w:tc>
        <w:tc>
          <w:tcPr>
            <w:tcW w:w="1021" w:type="dxa"/>
            <w:tcBorders/>
            <w:shd w:fill="E7E7E2" w:val="clear"/>
            <w:vAlign w:val="center"/>
          </w:tcPr>
          <w:p>
            <w:pPr>
              <w:pStyle w:val="TableContents"/>
              <w:bidi w:val="0"/>
              <w:spacing w:before="0" w:after="283"/>
              <w:jc w:val="center"/>
              <w:rPr/>
            </w:pPr>
            <w:r>
              <w:rPr/>
              <w:t xml:space="preserve">05/03/2024 </w:t>
            </w:r>
          </w:p>
        </w:tc>
        <w:tc>
          <w:tcPr>
            <w:tcW w:w="1321" w:type="dxa"/>
            <w:tcBorders/>
            <w:shd w:fill="E7E7E2" w:val="clear"/>
            <w:vAlign w:val="center"/>
          </w:tcPr>
          <w:p>
            <w:pPr>
              <w:pStyle w:val="TableContents"/>
              <w:bidi w:val="0"/>
              <w:spacing w:before="0" w:after="283"/>
              <w:jc w:val="right"/>
              <w:rPr/>
            </w:pPr>
            <w:r>
              <w:rPr/>
              <w:t xml:space="preserve">$ 17,375.94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 w:name="MaxAggtOfferingPrice"/>
            <w:bookmarkEnd w:id="4"/>
            <w:r>
              <w:rPr/>
              <w:t xml:space="preserve">$ 350,000,000.00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$ 32,077.43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$ 32,077.43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9"/>
        <w:gridCol w:w="8709"/>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 The maximum aggregate offering price is 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pursuant to this registration statement will not exceed $350,000,000. The Registrant previously paid registration fees in the aggregate of $41,107.02 with respect to the prospectus supplement, filed on June 17, 2024, to the Registrant's registration statement on Form S-3ASR (File No. 333-279094) (the "Prior Registration Statement"). Pursuant to Rule 415(a)(6) ("Rule 415(a)(6)") promulgated under the Securities Act of 1933, as amended (the "Securities Act"), the securities registered pursuant to this Registration Statement on Form S-3 (this "Registration Statement") include $117,723,197.96 of securities previously registered on the Prior Registration Statement which remain unsold (the "Unsold Securities"). Pursuant to Rule 415(a)(6), the registration fee of $17,375.94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registrant is also registering new securities on this Registration Statement with an aggregate maximum offering price of $232,276,802.04 (the "New Securities"), which aggregate offering price is not specified as to each class of securities in reliance upon Rule 457(o) promulgated under the Securities Act. A filing fee of $32,077.43 with respect to the New Securities is being paid in connection with the filing of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additional new securities to be registered on this Registration Statement. Pursuant to Rule 415(a)(6), the offering of the Unsold Securities under the Prior Registration Statement will be deemed terminated as of the date of effectiveness of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8" w:type="dxa"/>
            <w:gridSpan w:val="2"/>
            <w:tcBorders/>
            <w:vAlign w:val="center"/>
          </w:tcPr>
          <w:p>
            <w:pPr>
              <w:pStyle w:val="TableContents"/>
              <w:bidi w:val="0"/>
              <w:spacing w:before="0" w:after="283"/>
              <w:jc w:val="left"/>
              <w:rPr/>
            </w:pPr>
            <w:r>
              <w:rPr/>
              <w:t xml:space="preserve">See footnote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4.3</w:t>
      </w:r>
    </w:p>
    <w:p>
      <w:pPr>
        <w:pStyle w:val="TextBody"/>
        <w:bidi w:val="0"/>
        <w:spacing w:before="0" w:after="400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Keros Therapeutics, Inc.,</w:t>
      </w:r>
    </w:p>
    <w:p>
      <w:pPr>
        <w:pStyle w:val="TextBody"/>
        <w:bidi w:val="0"/>
        <w:spacing w:lineRule="auto" w:line="288" w:before="0" w:after="220"/>
        <w:jc w:val="center"/>
        <w:rPr/>
      </w:pPr>
      <w:r>
        <w:rPr>
          <w:rFonts w:ascii="Times New Roman;serif" w:hAnsi="Times New Roman;serif"/>
          <w:b/>
          <w:color w:val="000000"/>
          <w:sz w:val="22"/>
        </w:rPr>
        <w:t>Iss</w:t>
      </w:r>
      <w:r>
        <w:rPr>
          <w:rFonts w:ascii="Times New Roman;serif" w:hAnsi="Times New Roman;serif"/>
          <w:b w:val="false"/>
          <w:color w:val="000000"/>
          <w:sz w:val="22"/>
        </w:rPr>
        <w:t>u</w:t>
      </w:r>
      <w:r>
        <w:rPr>
          <w:rFonts w:ascii="Times New Roman;serif" w:hAnsi="Times New Roman;serif"/>
          <w:b/>
          <w:color w:val="000000"/>
          <w:sz w:val="22"/>
        </w:rPr>
        <w:t>er</w:t>
      </w:r>
    </w:p>
    <w:p>
      <w:pPr>
        <w:pStyle w:val="TextBody"/>
        <w:bidi w:val="0"/>
        <w:spacing w:lineRule="auto" w:line="288" w:before="0" w:after="22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[TRUSTEE],</w: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Trustee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INDENTURE</w:t>
      </w:r>
    </w:p>
    <w:p>
      <w:pPr>
        <w:pStyle w:val="TextBody"/>
        <w:bidi w:val="0"/>
        <w:spacing w:lineRule="auto" w:line="288" w:before="0" w:after="240"/>
        <w:jc w:val="center"/>
        <w:rPr/>
      </w:pPr>
      <w:r>
        <w:rPr>
          <w:rFonts w:ascii="Times New Roman;serif" w:hAnsi="Times New Roman;serif"/>
          <w:b/>
          <w:color w:val="000000"/>
          <w:sz w:val="22"/>
        </w:rPr>
        <w:t>Dated as of [</w:t>
      </w:r>
      <w:r>
        <w:rPr>
          <w:rFonts w:ascii="Wingdings;sans-serif" w:hAnsi="Wingdings;sans-serif"/>
          <w:b w:val="false"/>
          <w:color w:val="000000"/>
          <w:sz w:val="22"/>
        </w:rPr>
        <w:t>l</w:t>
      </w:r>
      <w:r>
        <w:rPr>
          <w:rFonts w:ascii="Times New Roman;serif" w:hAnsi="Times New Roman;serif"/>
          <w:b/>
          <w:color w:val="000000"/>
          <w:sz w:val="22"/>
        </w:rPr>
        <w:t>], 20__</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3"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2"/>
        <w:gridCol w:w="195"/>
        <w:gridCol w:w="195"/>
        <w:gridCol w:w="195"/>
        <w:gridCol w:w="195"/>
        <w:gridCol w:w="199"/>
        <w:gridCol w:w="741"/>
        <w:gridCol w:w="741"/>
        <w:gridCol w:w="741"/>
        <w:gridCol w:w="2041"/>
        <w:gridCol w:w="1942"/>
        <w:gridCol w:w="1965"/>
        <w:gridCol w:w="242"/>
        <w:gridCol w:w="242"/>
        <w:gridCol w:w="349"/>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PAGE</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1</w:t>
            </w:r>
          </w:p>
        </w:tc>
        <w:tc>
          <w:tcPr>
            <w:tcW w:w="8171" w:type="dxa"/>
            <w:gridSpan w:val="6"/>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DEFINITIONS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1.01</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Definitions of Terms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2</w:t>
            </w:r>
          </w:p>
        </w:tc>
        <w:tc>
          <w:tcPr>
            <w:tcW w:w="8171" w:type="dxa"/>
            <w:gridSpan w:val="6"/>
            <w:tcBorders/>
            <w:tcMar>
              <w:top w:w="0" w:type="dxa"/>
              <w:left w:w="0" w:type="dxa"/>
              <w:bottom w:w="0" w:type="dxa"/>
              <w:right w:w="0" w:type="dxa"/>
            </w:tcMar>
            <w:vAlign w:val="center"/>
          </w:tcPr>
          <w:p>
            <w:pPr>
              <w:pStyle w:val="TableContents"/>
              <w:bidi w:val="0"/>
              <w:spacing w:lineRule="auto" w:line="240" w:before="53" w:after="3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ISSUE, DESCRIPTION, TERMS, EXECUTION, REGISTRATION AND EXCHANGE OF SECURITIES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2.01</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Designation and Terms of Securities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2.02</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Form of Securities and Trustee’s Certificate</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2.03</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Denominations: Provisions for Payment</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2.04</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Execution and Authentications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2.05</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Registration of Transfer and Exchange</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2.06</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Temporary Securities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2.07</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Mutilated, Destroyed, Lost or Stolen Securities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2.08</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Cancellation</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2.09</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Benefits of Indenture</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2.10</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Authenticating Agent</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2.11</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Global Securities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2.12</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CUSIP Numbers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3</w:t>
            </w:r>
          </w:p>
        </w:tc>
        <w:tc>
          <w:tcPr>
            <w:tcW w:w="8171" w:type="dxa"/>
            <w:gridSpan w:val="6"/>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REDEMPTION OF SECURITIES AND SINKING FUND PROVISIONS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3.01</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Redemption</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3.02</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Notice of Redemption</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3.03</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Payment Upon Redemption</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3.04</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Sinking Fund</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3.05</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Satisfaction of Sinking Fund Payments with Securities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3.06</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Redemption of Securities for Sinking Fund</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4</w:t>
            </w:r>
          </w:p>
        </w:tc>
        <w:tc>
          <w:tcPr>
            <w:tcW w:w="8171" w:type="dxa"/>
            <w:gridSpan w:val="6"/>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COVENANTS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4.01</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Payment of Principal, Premium and Interest</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4.02</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Maintenance of Office or Agency</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4.03</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Paying Agents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4.04</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Appointment to Fill Vacancy in Office of Trustee</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5</w:t>
            </w:r>
          </w:p>
        </w:tc>
        <w:tc>
          <w:tcPr>
            <w:tcW w:w="8171" w:type="dxa"/>
            <w:gridSpan w:val="6"/>
            <w:tcBorders/>
            <w:tcMar>
              <w:top w:w="0" w:type="dxa"/>
              <w:left w:w="0" w:type="dxa"/>
              <w:bottom w:w="0" w:type="dxa"/>
              <w:right w:w="0" w:type="dxa"/>
            </w:tcMar>
            <w:vAlign w:val="center"/>
          </w:tcPr>
          <w:p>
            <w:pPr>
              <w:pStyle w:val="TableContents"/>
              <w:bidi w:val="0"/>
              <w:spacing w:lineRule="auto" w:line="240" w:before="53" w:after="3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SECURITYHOLDERS’ LISTS AND REPORTS BY THE COMPANY AND THE TRUSTEE</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5.01</w:t>
            </w:r>
          </w:p>
        </w:tc>
        <w:tc>
          <w:tcPr>
            <w:tcW w:w="594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Company to Furnish Trustee Names and Addresses of Securityholders</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4"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(CONTINUED)</w:t>
      </w:r>
    </w:p>
    <w:tbl>
      <w:tblPr>
        <w:tblW w:w="10205" w:type="dxa"/>
        <w:jc w:val="left"/>
        <w:tblInd w:w="0" w:type="dxa"/>
        <w:tblLayout w:type="fixed"/>
        <w:tblCellMar>
          <w:top w:w="28" w:type="dxa"/>
          <w:left w:w="28" w:type="dxa"/>
          <w:bottom w:w="28" w:type="dxa"/>
          <w:right w:w="28" w:type="dxa"/>
        </w:tblCellMar>
      </w:tblPr>
      <w:tblGrid>
        <w:gridCol w:w="197"/>
        <w:gridCol w:w="172"/>
        <w:gridCol w:w="172"/>
        <w:gridCol w:w="230"/>
        <w:gridCol w:w="230"/>
        <w:gridCol w:w="231"/>
        <w:gridCol w:w="250"/>
        <w:gridCol w:w="247"/>
        <w:gridCol w:w="253"/>
        <w:gridCol w:w="2465"/>
        <w:gridCol w:w="2461"/>
        <w:gridCol w:w="2467"/>
        <w:gridCol w:w="242"/>
        <w:gridCol w:w="242"/>
        <w:gridCol w:w="346"/>
      </w:tblGrid>
      <w:tr>
        <w:trPr/>
        <w:tc>
          <w:tcPr>
            <w:tcW w:w="1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PAGE</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5.02</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Preservation Of Information; Communications With Securityholders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5.03</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Reports by the Company</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5.04</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Reports by the Trustee</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6</w:t>
            </w:r>
          </w:p>
        </w:tc>
        <w:tc>
          <w:tcPr>
            <w:tcW w:w="8143" w:type="dxa"/>
            <w:gridSpan w:val="6"/>
            <w:tcBorders/>
            <w:tcMar>
              <w:top w:w="0" w:type="dxa"/>
              <w:left w:w="0" w:type="dxa"/>
              <w:bottom w:w="0" w:type="dxa"/>
              <w:right w:w="0" w:type="dxa"/>
            </w:tcMar>
            <w:vAlign w:val="center"/>
          </w:tcPr>
          <w:p>
            <w:pPr>
              <w:pStyle w:val="TableContents"/>
              <w:bidi w:val="0"/>
              <w:spacing w:lineRule="auto" w:line="240" w:before="53" w:after="3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REMEDIES OF THE TRUSTEE AND SECURITYHOLDERS ON EVENT OF DEFAULT</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6.01</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Events of Default</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6.02</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Collection of Indebtedness and Suits for Enforcement by Trustee</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6.03</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Application of Moneys Collected</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6.04</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Limitation on Suits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6.05</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Rights and Remedies Cumulative; Delay or Omission Not Waiver</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6.06</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Control by Securityholders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6.07</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Undertaking to Pay Costs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7</w:t>
            </w:r>
          </w:p>
        </w:tc>
        <w:tc>
          <w:tcPr>
            <w:tcW w:w="8143" w:type="dxa"/>
            <w:gridSpan w:val="6"/>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CONCERNING THE TRUSTEE</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7.01</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Certain Duties and Responsibilities of Trustee</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7.02</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Certain Rights of Trustee</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7.03</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Trustee Not Responsible for Recitals or Issuance or Securities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7.04</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May Hold Securities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7.05</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Moneys Held in Trust</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7.06</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Compensation and Reimbursement</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7.07</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Reliance on Officer’s Certificate</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7.08</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Disqualification; Conflicting Interests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7.09</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Corporate Trustee Required; Eligibility</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7.10</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Resignation and Removal; Appointment of Successor</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7.11</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Acceptance of Appointment By Successor</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7.12</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Merger, Conversion, Consolidation or Succession to Business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7.13</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Preferential Collection of Claims Against the Company</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7.14</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Notice of Default.</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8</w:t>
            </w:r>
          </w:p>
        </w:tc>
        <w:tc>
          <w:tcPr>
            <w:tcW w:w="8143" w:type="dxa"/>
            <w:gridSpan w:val="6"/>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CONCERNING THE SECURITYHOLDERS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8.01</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Evidence of Action by Securityholders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8.02</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Proof of Execution by Securityholders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8.03</w:t>
            </w:r>
          </w:p>
        </w:tc>
        <w:tc>
          <w:tcPr>
            <w:tcW w:w="739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Who May be Deemed Owners</w:t>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5"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(CONTINUED)</w:t>
      </w:r>
    </w:p>
    <w:tbl>
      <w:tblPr>
        <w:tblW w:w="10205" w:type="dxa"/>
        <w:jc w:val="left"/>
        <w:tblInd w:w="0" w:type="dxa"/>
        <w:tblLayout w:type="fixed"/>
        <w:tblCellMar>
          <w:top w:w="28" w:type="dxa"/>
          <w:left w:w="28" w:type="dxa"/>
          <w:bottom w:w="28" w:type="dxa"/>
          <w:right w:w="28" w:type="dxa"/>
        </w:tblCellMar>
      </w:tblPr>
      <w:tblGrid>
        <w:gridCol w:w="214"/>
        <w:gridCol w:w="187"/>
        <w:gridCol w:w="187"/>
        <w:gridCol w:w="251"/>
        <w:gridCol w:w="251"/>
        <w:gridCol w:w="251"/>
        <w:gridCol w:w="252"/>
        <w:gridCol w:w="252"/>
        <w:gridCol w:w="261"/>
        <w:gridCol w:w="2434"/>
        <w:gridCol w:w="2414"/>
        <w:gridCol w:w="2417"/>
        <w:gridCol w:w="242"/>
        <w:gridCol w:w="242"/>
        <w:gridCol w:w="350"/>
      </w:tblGrid>
      <w:tr>
        <w:trPr/>
        <w:tc>
          <w:tcPr>
            <w:tcW w:w="21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PAGE</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8.04</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Certain Securities Owned by Company Disregarded</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8.05</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Actions Binding on Future Securityholders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9</w:t>
            </w:r>
          </w:p>
        </w:tc>
        <w:tc>
          <w:tcPr>
            <w:tcW w:w="8030" w:type="dxa"/>
            <w:gridSpan w:val="6"/>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SUPPLEMENTAL INDENTURES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9.01</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Supplemental Indentures Without the Consent of Securityholders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9.02</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Supplemental Indentures With Consent of Securityholders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9.03</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Effect of Supplemental Indentures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9.04</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Securities Affected by Supplemental Indentures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9.05</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Execution of Supplemental Indentures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10</w:t>
            </w:r>
          </w:p>
        </w:tc>
        <w:tc>
          <w:tcPr>
            <w:tcW w:w="8030" w:type="dxa"/>
            <w:gridSpan w:val="6"/>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SUCCESSOR ENTITY</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10.01</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Company May Consolidate, Etc.</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10.02</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Successor Entity Substituted</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11</w:t>
            </w:r>
          </w:p>
        </w:tc>
        <w:tc>
          <w:tcPr>
            <w:tcW w:w="8030" w:type="dxa"/>
            <w:gridSpan w:val="6"/>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SATISFACTION AND DISCHARGE</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11.01</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Satisfaction and Discharge of Indenture</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11.02</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Discharge of Obligations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11.03</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Deposited Moneys to be Held in Trust</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11.04</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Payment of Moneys Held by Paying Agents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11.05</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Repayment to Company</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12</w:t>
            </w:r>
          </w:p>
        </w:tc>
        <w:tc>
          <w:tcPr>
            <w:tcW w:w="8030" w:type="dxa"/>
            <w:gridSpan w:val="6"/>
            <w:tcBorders/>
            <w:tcMar>
              <w:top w:w="0" w:type="dxa"/>
              <w:left w:w="0" w:type="dxa"/>
              <w:bottom w:w="0" w:type="dxa"/>
              <w:right w:w="0" w:type="dxa"/>
            </w:tcMar>
            <w:vAlign w:val="center"/>
          </w:tcPr>
          <w:p>
            <w:pPr>
              <w:pStyle w:val="TableContents"/>
              <w:bidi w:val="0"/>
              <w:spacing w:lineRule="auto" w:line="240" w:before="53" w:after="3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IMMUNITY OF INCORPORATORS, STOCKHOLDERS, OFFICERS AND DIRECTORS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12.01</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No Recourse</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ARTICLE 13</w:t>
            </w:r>
          </w:p>
        </w:tc>
        <w:tc>
          <w:tcPr>
            <w:tcW w:w="8030" w:type="dxa"/>
            <w:gridSpan w:val="6"/>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MISCELLANEOUS PROVISIONS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13.01</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Effect on Successors and Assigns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13.02</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Actions by Successor</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13.03</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Surrender of Company Powers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13.04</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13.05</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Governing Law; Jury Trial Waiver</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13.06</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Treatment of Securities as Debt</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13.07</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Certificates and Opinions as to Conditions Precedent</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13.08</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Payments on Business Days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13.09</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Conflict with Trust Indenture Act</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13.10</w:t>
            </w:r>
          </w:p>
        </w:tc>
        <w:tc>
          <w:tcPr>
            <w:tcW w:w="726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Counterparts</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6"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(CONTINUED)</w:t>
      </w:r>
    </w:p>
    <w:tbl>
      <w:tblPr>
        <w:tblW w:w="5336" w:type="dxa"/>
        <w:jc w:val="left"/>
        <w:tblInd w:w="0" w:type="dxa"/>
        <w:tblLayout w:type="fixed"/>
        <w:tblCellMar>
          <w:top w:w="28" w:type="dxa"/>
          <w:left w:w="28" w:type="dxa"/>
          <w:bottom w:w="28" w:type="dxa"/>
          <w:right w:w="28" w:type="dxa"/>
        </w:tblCellMar>
      </w:tblPr>
      <w:tblGrid>
        <w:gridCol w:w="124"/>
        <w:gridCol w:w="109"/>
        <w:gridCol w:w="109"/>
        <w:gridCol w:w="231"/>
        <w:gridCol w:w="231"/>
        <w:gridCol w:w="231"/>
        <w:gridCol w:w="231"/>
        <w:gridCol w:w="231"/>
        <w:gridCol w:w="238"/>
        <w:gridCol w:w="922"/>
        <w:gridCol w:w="922"/>
        <w:gridCol w:w="931"/>
        <w:gridCol w:w="242"/>
        <w:gridCol w:w="242"/>
        <w:gridCol w:w="3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4"/>
              </w:rPr>
            </w:pPr>
            <w:r>
              <w:rPr>
                <w:rFonts w:ascii="Times New Roman;serif" w:hAnsi="Times New Roman;serif"/>
                <w:b/>
                <w:color w:val="000000"/>
                <w:sz w:val="24"/>
              </w:rPr>
              <w:t>PAGE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13.11</w:t>
            </w:r>
          </w:p>
        </w:tc>
        <w:tc>
          <w:tcPr>
            <w:tcW w:w="277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Separability</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13.12</w:t>
            </w:r>
          </w:p>
        </w:tc>
        <w:tc>
          <w:tcPr>
            <w:tcW w:w="277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Compliance Certificates</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13.13</w:t>
            </w:r>
          </w:p>
        </w:tc>
        <w:tc>
          <w:tcPr>
            <w:tcW w:w="277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Patriot Act</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13.14</w:t>
            </w:r>
          </w:p>
        </w:tc>
        <w:tc>
          <w:tcPr>
            <w:tcW w:w="277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Force Majeure</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13.12</w:t>
            </w:r>
          </w:p>
        </w:tc>
        <w:tc>
          <w:tcPr>
            <w:tcW w:w="277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2"/>
              </w:rPr>
            </w:pPr>
            <w:r>
              <w:rPr>
                <w:rFonts w:ascii="Times New Roman;serif" w:hAnsi="Times New Roman;serif"/>
                <w:b w:val="false"/>
                <w:color w:val="000000"/>
                <w:sz w:val="22"/>
              </w:rPr>
              <w:t>Table of Contents; Headings</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w:t>
            </w:r>
          </w:p>
        </w:tc>
      </w:tr>
    </w:tbl>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7"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uto" w:line="288" w:before="0" w:after="400"/>
        <w:jc w:val="center"/>
        <w:rPr>
          <w:rFonts w:ascii="Times New Roman;serif" w:hAnsi="Times New Roman;serif"/>
          <w:b/>
          <w:color w:val="000000"/>
          <w:sz w:val="22"/>
        </w:rPr>
      </w:pPr>
      <w:r>
        <w:rPr>
          <w:rFonts w:ascii="Times New Roman;serif" w:hAnsi="Times New Roman;serif"/>
          <w:b/>
          <w:color w:val="000000"/>
          <w:sz w:val="22"/>
        </w:rPr>
        <w:t>INDENTURE</w:t>
      </w:r>
    </w:p>
    <w:p>
      <w:pPr>
        <w:pStyle w:val="TextBody"/>
        <w:bidi w:val="0"/>
        <w:spacing w:lineRule="auto" w:line="288" w:before="0" w:after="240"/>
        <w:ind w:left="0" w:right="0" w:firstLine="720"/>
        <w:jc w:val="both"/>
        <w:rPr/>
      </w:pPr>
      <w:r>
        <w:rPr>
          <w:rFonts w:ascii="Times New Roman;serif" w:hAnsi="Times New Roman;serif"/>
          <w:b/>
          <w:color w:val="000000"/>
          <w:sz w:val="22"/>
        </w:rPr>
        <w:t>INDENTURE</w:t>
      </w:r>
      <w:r>
        <w:rPr>
          <w:rFonts w:ascii="Times New Roman;serif" w:hAnsi="Times New Roman;serif"/>
          <w:b w:val="false"/>
          <w:color w:val="000000"/>
          <w:sz w:val="22"/>
        </w:rPr>
        <w:t>, dated as of [</w:t>
      </w:r>
      <w:r>
        <w:rPr>
          <w:rFonts w:ascii="Wingdings;sans-serif" w:hAnsi="Wingdings;sans-serif"/>
          <w:b w:val="false"/>
          <w:color w:val="000000"/>
          <w:sz w:val="22"/>
        </w:rPr>
        <w:t>l</w:t>
      </w:r>
      <w:r>
        <w:rPr>
          <w:rFonts w:ascii="Times New Roman;serif" w:hAnsi="Times New Roman;serif"/>
          <w:b w:val="false"/>
          <w:color w:val="000000"/>
          <w:sz w:val="22"/>
        </w:rPr>
        <w:t>], 20__, among Keros Therapeutics, Inc.,</w:t>
      </w:r>
      <w:r>
        <w:rPr>
          <w:color w:val="000000"/>
        </w:rPr>
        <w:t xml:space="preserve"> </w:t>
      </w:r>
      <w:r>
        <w:rPr>
          <w:rFonts w:ascii="Times New Roman;serif" w:hAnsi="Times New Roman;serif"/>
          <w:b w:val="false"/>
          <w:color w:val="000000"/>
          <w:sz w:val="22"/>
        </w:rPr>
        <w:t>a Delaware corporation (the “Company”), and [</w:t>
      </w:r>
      <w:r>
        <w:rPr>
          <w:rFonts w:ascii="Times New Roman;serif" w:hAnsi="Times New Roman;serif"/>
          <w:b/>
          <w:color w:val="000000"/>
          <w:sz w:val="22"/>
        </w:rPr>
        <w:t>Trustee</w:t>
      </w:r>
      <w:r>
        <w:rPr>
          <w:rFonts w:ascii="Times New Roman;serif" w:hAnsi="Times New Roman;serif"/>
          <w:b w:val="false"/>
          <w:color w:val="000000"/>
          <w:sz w:val="22"/>
        </w:rPr>
        <w:t xml:space="preserve">], as trustee (the “Trustee”): </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to provide the terms and conditions upon which the Securities are to be authenticated, issued and delivered, the Company has duly authorized the execution of this Indenture; and </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all things necessary to make this Indenture a valid agreement of the Company, in accordance with its terms, have been done.</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DEFINITIONS</w:t>
      </w:r>
    </w:p>
    <w:p>
      <w:pPr>
        <w:pStyle w:val="TextBody"/>
        <w:bidi w:val="0"/>
        <w:spacing w:lineRule="auto" w:line="288" w:before="0" w:after="240"/>
        <w:ind w:left="0" w:right="0" w:firstLine="720"/>
        <w:jc w:val="both"/>
        <w:rPr/>
      </w:pPr>
      <w:r>
        <w:rPr>
          <w:rFonts w:ascii="Times New Roman;serif" w:hAnsi="Times New Roman;serif"/>
          <w:b/>
          <w:color w:val="000000"/>
          <w:sz w:val="22"/>
        </w:rPr>
        <w:t>Section 1.01    Definitions of Terms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Authenticating Agent</w:t>
      </w:r>
      <w:r>
        <w:rPr>
          <w:color w:val="000000"/>
        </w:rPr>
        <w:t xml:space="preserve">” </w:t>
      </w:r>
      <w:r>
        <w:rPr>
          <w:rFonts w:ascii="Times New Roman;serif" w:hAnsi="Times New Roman;serif"/>
          <w:b w:val="false"/>
          <w:color w:val="000000"/>
          <w:sz w:val="22"/>
        </w:rPr>
        <w:t>means the Trustee or an authenticating agent with respect to all or any of the series of Securities appointed by the Trustee pursuant to Section 2.10.</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Bankruptcy Law</w:t>
      </w:r>
      <w:r>
        <w:rPr>
          <w:color w:val="000000"/>
        </w:rPr>
        <w:t xml:space="preserve">” </w:t>
      </w:r>
      <w:r>
        <w:rPr>
          <w:rFonts w:ascii="Times New Roman;serif" w:hAnsi="Times New Roman;serif"/>
          <w:b w:val="false"/>
          <w:color w:val="000000"/>
          <w:sz w:val="22"/>
        </w:rPr>
        <w:t>means Title 11, U.S. Code, or any similar federal or state law for the relief of debtors.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Board of Directors</w:t>
      </w:r>
      <w:r>
        <w:rPr>
          <w:color w:val="000000"/>
        </w:rPr>
        <w:t xml:space="preserve">” </w:t>
      </w:r>
      <w:r>
        <w:rPr>
          <w:rFonts w:ascii="Times New Roman;serif" w:hAnsi="Times New Roman;serif"/>
          <w:b w:val="false"/>
          <w:color w:val="000000"/>
          <w:sz w:val="22"/>
        </w:rPr>
        <w:t>means the Board of Directors (or the functional equivalent thereof) of the Company or any duly authorized committee of such Board.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Board Resolution</w:t>
      </w:r>
      <w:r>
        <w:rPr>
          <w:color w:val="000000"/>
        </w:rPr>
        <w:t xml:space="preserve">” </w:t>
      </w:r>
      <w:r>
        <w:rPr>
          <w:rFonts w:ascii="Times New Roman;serif" w:hAnsi="Times New Roman;serif"/>
          <w:b w:val="false"/>
          <w:color w:val="000000"/>
          <w:sz w:val="22"/>
        </w:rPr>
        <w:t>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8"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Business Day</w:t>
      </w:r>
      <w:r>
        <w:rPr>
          <w:color w:val="000000"/>
        </w:rPr>
        <w:t xml:space="preserve">” </w:t>
      </w:r>
      <w:r>
        <w:rPr>
          <w:rFonts w:ascii="Times New Roman;serif" w:hAnsi="Times New Roman;serif"/>
          <w:b w:val="false"/>
          <w:color w:val="000000"/>
          <w:sz w:val="22"/>
        </w:rPr>
        <w:t>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Commission</w:t>
      </w:r>
      <w:r>
        <w:rPr>
          <w:color w:val="000000"/>
        </w:rPr>
        <w:t xml:space="preserve">” </w:t>
      </w:r>
      <w:r>
        <w:rPr>
          <w:rFonts w:ascii="Times New Roman;serif" w:hAnsi="Times New Roman;serif"/>
          <w:b w:val="false"/>
          <w:color w:val="000000"/>
          <w:sz w:val="22"/>
        </w:rPr>
        <w:t>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Company</w:t>
      </w:r>
      <w:r>
        <w:rPr>
          <w:color w:val="000000"/>
        </w:rPr>
        <w:t xml:space="preserve">” </w:t>
      </w:r>
      <w:r>
        <w:rPr>
          <w:rFonts w:ascii="Times New Roman;serif" w:hAnsi="Times New Roman;serif"/>
          <w:b w:val="false"/>
          <w:color w:val="000000"/>
          <w:sz w:val="22"/>
        </w:rPr>
        <w:t>means Keros Therapeutics, Inc., a corporation duly organized and existing under the laws of the State of Delaware, and, subject to the provisions of Article Ten, shall also include its successors and assigns.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Corporate Trust Office</w:t>
      </w:r>
      <w:r>
        <w:rPr>
          <w:color w:val="000000"/>
        </w:rPr>
        <w:t xml:space="preserve">” </w:t>
      </w:r>
      <w:r>
        <w:rPr>
          <w:rFonts w:ascii="Times New Roman;serif" w:hAnsi="Times New Roman;serif"/>
          <w:b w:val="false"/>
          <w:color w:val="000000"/>
          <w:sz w:val="22"/>
        </w:rPr>
        <w:t>means the office of the Trustee at which, at any particular time, its corporate trust business shall be principally administered, which office at the date hereof is located at _______________________________________________________________.</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Custodian</w:t>
      </w:r>
      <w:r>
        <w:rPr>
          <w:color w:val="000000"/>
        </w:rPr>
        <w:t xml:space="preserve">” </w:t>
      </w:r>
      <w:r>
        <w:rPr>
          <w:rFonts w:ascii="Times New Roman;serif" w:hAnsi="Times New Roman;serif"/>
          <w:b w:val="false"/>
          <w:color w:val="000000"/>
          <w:sz w:val="22"/>
        </w:rPr>
        <w:t>means any receiver, trustee, assignee, liquidator or similar official under any Bankruptcy Law.</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Defaulted Interest</w:t>
      </w:r>
      <w:r>
        <w:rPr>
          <w:color w:val="000000"/>
        </w:rPr>
        <w:t xml:space="preserve">” </w:t>
      </w:r>
      <w:r>
        <w:rPr>
          <w:rFonts w:ascii="Times New Roman;serif" w:hAnsi="Times New Roman;serif"/>
          <w:b w:val="false"/>
          <w:color w:val="000000"/>
          <w:sz w:val="22"/>
        </w:rPr>
        <w:t>has the meaning set forth in Section 2.03.</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Depositary</w:t>
      </w:r>
      <w:r>
        <w:rPr>
          <w:color w:val="000000"/>
        </w:rPr>
        <w:t xml:space="preserve">” </w:t>
      </w:r>
      <w:r>
        <w:rPr>
          <w:rFonts w:ascii="Times New Roman;serif" w:hAnsi="Times New Roman;serif"/>
          <w:b w:val="false"/>
          <w:color w:val="000000"/>
          <w:sz w:val="22"/>
        </w:rPr>
        <w:t>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Event of Default</w:t>
      </w:r>
      <w:r>
        <w:rPr>
          <w:color w:val="000000"/>
        </w:rPr>
        <w:t xml:space="preserve">” </w:t>
      </w:r>
      <w:r>
        <w:rPr>
          <w:rFonts w:ascii="Times New Roman;serif" w:hAnsi="Times New Roman;serif"/>
          <w:b w:val="false"/>
          <w:color w:val="000000"/>
          <w:sz w:val="22"/>
        </w:rPr>
        <w:t>means, with respect to Securities of a particular series, any event specified in Section 6.01, continued for the period of time, if any, therein designated.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means the United States Securities and Exchange Act of 1934, as amended, and the rules and regulations promulgated by the Commission thereunder.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i/>
          <w:color w:val="000000"/>
          <w:sz w:val="22"/>
        </w:rPr>
        <w:t>given</w:t>
      </w:r>
      <w:r>
        <w:rPr>
          <w:color w:val="000000"/>
        </w:rPr>
        <w:t>”</w:t>
      </w:r>
      <w:r>
        <w:rPr>
          <w:rFonts w:ascii="Times New Roman;serif" w:hAnsi="Times New Roman;serif"/>
          <w:b w:val="false"/>
          <w:color w:val="000000"/>
          <w:sz w:val="22"/>
        </w:rPr>
        <w:t>, “</w:t>
      </w:r>
      <w:r>
        <w:rPr>
          <w:rFonts w:ascii="Times New Roman;serif" w:hAnsi="Times New Roman;serif"/>
          <w:b/>
          <w:i/>
          <w:color w:val="000000"/>
          <w:sz w:val="22"/>
        </w:rPr>
        <w:t>mailed</w:t>
      </w:r>
      <w:r>
        <w:rPr>
          <w:color w:val="000000"/>
        </w:rPr>
        <w:t>”</w:t>
      </w:r>
      <w:r>
        <w:rPr>
          <w:rFonts w:ascii="Times New Roman;serif" w:hAnsi="Times New Roman;serif"/>
          <w:b w:val="false"/>
          <w:color w:val="000000"/>
          <w:sz w:val="22"/>
        </w:rPr>
        <w:t>, “</w:t>
      </w:r>
      <w:r>
        <w:rPr>
          <w:rFonts w:ascii="Times New Roman;serif" w:hAnsi="Times New Roman;serif"/>
          <w:b/>
          <w:i/>
          <w:color w:val="000000"/>
          <w:sz w:val="22"/>
        </w:rPr>
        <w:t>notify</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sent</w:t>
      </w:r>
      <w:r>
        <w:rPr>
          <w:color w:val="000000"/>
        </w:rPr>
        <w:t xml:space="preserve">” </w:t>
      </w:r>
      <w:r>
        <w:rPr>
          <w:rFonts w:ascii="Times New Roman;serif" w:hAnsi="Times New Roman;serif"/>
          <w:b w:val="false"/>
          <w:color w:val="000000"/>
          <w:sz w:val="22"/>
        </w:rPr>
        <w:t>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Global Security</w:t>
      </w:r>
      <w:r>
        <w:rPr>
          <w:color w:val="000000"/>
        </w:rPr>
        <w:t xml:space="preserve">” </w:t>
      </w:r>
      <w:r>
        <w:rPr>
          <w:rFonts w:ascii="Times New Roman;serif" w:hAnsi="Times New Roman;serif"/>
          <w:b w:val="false"/>
          <w:color w:val="000000"/>
          <w:sz w:val="22"/>
        </w:rPr>
        <w:t>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Governmental Obligations</w:t>
      </w:r>
      <w:r>
        <w:rPr>
          <w:color w:val="000000"/>
        </w:rPr>
        <w:t xml:space="preserve">” </w:t>
      </w:r>
      <w:r>
        <w:rPr>
          <w:rFonts w:ascii="Times New Roman;serif" w:hAnsi="Times New Roman;serif"/>
          <w:b w:val="false"/>
          <w:color w:val="000000"/>
          <w:sz w:val="22"/>
        </w:rPr>
        <w:t xml:space="preserve">means securities that are (a) direct obligations of the United States of America for the payment of which its full faith and credit is pledged or (b) obligations of a Person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9"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herein</w:t>
      </w:r>
      <w:r>
        <w:rPr>
          <w:color w:val="000000"/>
        </w:rPr>
        <w:t>”</w:t>
      </w:r>
      <w:r>
        <w:rPr>
          <w:rFonts w:ascii="Times New Roman;serif" w:hAnsi="Times New Roman;serif"/>
          <w:b w:val="false"/>
          <w:color w:val="000000"/>
          <w:sz w:val="22"/>
        </w:rPr>
        <w:t>, “</w:t>
      </w:r>
      <w:r>
        <w:rPr>
          <w:rFonts w:ascii="Times New Roman;serif" w:hAnsi="Times New Roman;serif"/>
          <w:b/>
          <w:i/>
          <w:color w:val="000000"/>
          <w:sz w:val="22"/>
        </w:rPr>
        <w:t>hereof</w:t>
      </w:r>
      <w:r>
        <w:rPr>
          <w:color w:val="000000"/>
        </w:rPr>
        <w:t xml:space="preserve">” </w:t>
      </w:r>
      <w:r>
        <w:rPr>
          <w:rFonts w:ascii="Times New Roman;serif" w:hAnsi="Times New Roman;serif"/>
          <w:b w:val="false"/>
          <w:color w:val="000000"/>
          <w:sz w:val="22"/>
        </w:rPr>
        <w:t>and “</w:t>
      </w:r>
      <w:r>
        <w:rPr>
          <w:rFonts w:ascii="Times New Roman;serif" w:hAnsi="Times New Roman;serif"/>
          <w:b/>
          <w:i/>
          <w:color w:val="000000"/>
          <w:sz w:val="22"/>
        </w:rPr>
        <w:t>hereunder</w:t>
      </w:r>
      <w:r>
        <w:rPr>
          <w:color w:val="000000"/>
        </w:rPr>
        <w:t>”</w:t>
      </w:r>
      <w:r>
        <w:rPr>
          <w:rFonts w:ascii="Times New Roman;serif" w:hAnsi="Times New Roman;serif"/>
          <w:b w:val="false"/>
          <w:color w:val="000000"/>
          <w:sz w:val="22"/>
        </w:rPr>
        <w:t>, and other words of similar import, refer to this Indenture as a whole and not to any particular Article, Section or other subdivision.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Indenture</w:t>
      </w:r>
      <w:r>
        <w:rPr>
          <w:color w:val="000000"/>
        </w:rPr>
        <w:t xml:space="preserve">” </w:t>
      </w:r>
      <w:r>
        <w:rPr>
          <w:rFonts w:ascii="Times New Roman;serif" w:hAnsi="Times New Roman;serif"/>
          <w:b w:val="false"/>
          <w:color w:val="000000"/>
          <w:sz w:val="22"/>
        </w:rPr>
        <w:t>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Interest Payment Date</w:t>
      </w:r>
      <w:r>
        <w:rPr>
          <w:color w:val="000000"/>
        </w:rPr>
        <w:t>”</w:t>
      </w:r>
      <w:r>
        <w:rPr>
          <w:rFonts w:ascii="Times New Roman;serif" w:hAnsi="Times New Roman;serif"/>
          <w:b w:val="false"/>
          <w:color w:val="000000"/>
          <w:sz w:val="22"/>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Officer</w:t>
      </w:r>
      <w:r>
        <w:rPr>
          <w:color w:val="000000"/>
        </w:rPr>
        <w:t xml:space="preserve">” </w:t>
      </w:r>
      <w:r>
        <w:rPr>
          <w:rFonts w:ascii="Times New Roman;serif" w:hAnsi="Times New Roman;serif"/>
          <w:b w:val="false"/>
          <w:color w:val="000000"/>
          <w:sz w:val="22"/>
        </w:rPr>
        <w:t>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Officer’s Certificate</w:t>
      </w:r>
      <w:r>
        <w:rPr>
          <w:color w:val="000000"/>
        </w:rPr>
        <w:t xml:space="preserve">” </w:t>
      </w:r>
      <w:r>
        <w:rPr>
          <w:rFonts w:ascii="Times New Roman;serif" w:hAnsi="Times New Roman;serif"/>
          <w:b w:val="false"/>
          <w:color w:val="000000"/>
          <w:sz w:val="22"/>
        </w:rPr>
        <w:t>means a certificate signed by any Officer. Each such certificate shall include the statements provided for in Section 13.07, if and to the extent required by the provisions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Opinion of Counsel</w:t>
      </w:r>
      <w:r>
        <w:rPr>
          <w:color w:val="000000"/>
        </w:rPr>
        <w:t xml:space="preserve">” </w:t>
      </w:r>
      <w:r>
        <w:rPr>
          <w:rFonts w:ascii="Times New Roman;serif" w:hAnsi="Times New Roman;serif"/>
          <w:b w:val="false"/>
          <w:color w:val="000000"/>
          <w:sz w:val="22"/>
        </w:rPr>
        <w:t>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Outstanding</w:t>
      </w:r>
      <w:r>
        <w:rPr>
          <w:color w:val="000000"/>
        </w:rPr>
        <w:t>”</w:t>
      </w:r>
      <w:r>
        <w:rPr>
          <w:rFonts w:ascii="Times New Roman;serif" w:hAnsi="Times New Roman;serif"/>
          <w:b w:val="false"/>
          <w:color w:val="000000"/>
          <w:sz w:val="22"/>
        </w:rPr>
        <w:t xml:space="preserve">,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0"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shall have been made for giving such notice; and (c) Securities in lieu of or in substitution for which other Securities shall have been authenticated and delivered pursuant to the terms of Section 2.07.</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Person</w:t>
      </w:r>
      <w:r>
        <w:rPr>
          <w:color w:val="000000"/>
        </w:rPr>
        <w:t xml:space="preserve">” </w:t>
      </w:r>
      <w:r>
        <w:rPr>
          <w:rFonts w:ascii="Times New Roman;serif" w:hAnsi="Times New Roman;serif"/>
          <w:b w:val="false"/>
          <w:color w:val="000000"/>
          <w:sz w:val="22"/>
        </w:rPr>
        <w:t>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Predecessor Security</w:t>
      </w:r>
      <w:r>
        <w:rPr>
          <w:color w:val="000000"/>
        </w:rPr>
        <w:t xml:space="preserve">” </w:t>
      </w:r>
      <w:r>
        <w:rPr>
          <w:rFonts w:ascii="Times New Roman;serif" w:hAnsi="Times New Roman;serif"/>
          <w:b w:val="false"/>
          <w:color w:val="000000"/>
          <w:sz w:val="22"/>
        </w:rPr>
        <w:t>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Responsible Officer</w:t>
      </w:r>
      <w:r>
        <w:rPr>
          <w:color w:val="000000"/>
        </w:rPr>
        <w:t xml:space="preserve">” </w:t>
      </w:r>
      <w:r>
        <w:rPr>
          <w:rFonts w:ascii="Times New Roman;serif" w:hAnsi="Times New Roman;serif"/>
          <w:b w:val="false"/>
          <w:color w:val="000000"/>
          <w:sz w:val="22"/>
        </w:rPr>
        <w:t>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Securities</w:t>
      </w:r>
      <w:r>
        <w:rPr>
          <w:color w:val="000000"/>
        </w:rPr>
        <w:t xml:space="preserve">” </w:t>
      </w:r>
      <w:r>
        <w:rPr>
          <w:rFonts w:ascii="Times New Roman;serif" w:hAnsi="Times New Roman;serif"/>
          <w:b w:val="false"/>
          <w:color w:val="000000"/>
          <w:sz w:val="22"/>
        </w:rPr>
        <w:t>has the meaning stated in the first recital of this Indenture and more particularly means any Securities authenticated and delivered under this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i/>
          <w:color w:val="000000"/>
          <w:sz w:val="22"/>
        </w:rPr>
        <w:t>Securities Act</w:t>
      </w:r>
      <w:r>
        <w:rPr>
          <w:color w:val="000000"/>
        </w:rPr>
        <w:t xml:space="preserve">” </w:t>
      </w:r>
      <w:r>
        <w:rPr>
          <w:rFonts w:ascii="Times New Roman;serif" w:hAnsi="Times New Roman;serif"/>
          <w:b w:val="false"/>
          <w:color w:val="000000"/>
          <w:sz w:val="22"/>
        </w:rPr>
        <w:t>means the Securities Act of 1933,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i/>
          <w:color w:val="000000"/>
          <w:sz w:val="22"/>
        </w:rPr>
        <w:t>Securityholder</w:t>
      </w:r>
      <w:r>
        <w:rPr>
          <w:color w:val="000000"/>
        </w:rPr>
        <w:t>”</w:t>
      </w:r>
      <w:r>
        <w:rPr>
          <w:rFonts w:ascii="Times New Roman;serif" w:hAnsi="Times New Roman;serif"/>
          <w:b w:val="false"/>
          <w:color w:val="000000"/>
          <w:sz w:val="22"/>
        </w:rPr>
        <w:t>, “</w:t>
      </w:r>
      <w:r>
        <w:rPr>
          <w:rFonts w:ascii="Times New Roman;serif" w:hAnsi="Times New Roman;serif"/>
          <w:b/>
          <w:i/>
          <w:color w:val="000000"/>
          <w:sz w:val="22"/>
        </w:rPr>
        <w:t>holder of Securities</w:t>
      </w:r>
      <w:r>
        <w:rPr>
          <w:color w:val="000000"/>
        </w:rPr>
        <w:t>”</w:t>
      </w:r>
      <w:r>
        <w:rPr>
          <w:rFonts w:ascii="Times New Roman;serif" w:hAnsi="Times New Roman;serif"/>
          <w:b w:val="false"/>
          <w:color w:val="000000"/>
          <w:sz w:val="22"/>
        </w:rPr>
        <w:t>, “</w:t>
      </w:r>
      <w:r>
        <w:rPr>
          <w:rFonts w:ascii="Times New Roman;serif" w:hAnsi="Times New Roman;serif"/>
          <w:b/>
          <w:i/>
          <w:color w:val="000000"/>
          <w:sz w:val="22"/>
        </w:rPr>
        <w:t>registered holder</w:t>
      </w:r>
      <w:r>
        <w:rPr>
          <w:color w:val="000000"/>
        </w:rPr>
        <w:t>”</w:t>
      </w:r>
      <w:r>
        <w:rPr>
          <w:rFonts w:ascii="Times New Roman;serif" w:hAnsi="Times New Roman;serif"/>
          <w:b w:val="false"/>
          <w:color w:val="000000"/>
          <w:sz w:val="22"/>
        </w:rPr>
        <w:t>, or other similar term, means the Person or Persons in whose name or names a particular Security is registered on the Security Register kept for that purpose in accordance with the terms of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Security Register</w:t>
      </w:r>
      <w:r>
        <w:rPr>
          <w:color w:val="000000"/>
        </w:rPr>
        <w:t xml:space="preserve">” </w:t>
      </w:r>
      <w:r>
        <w:rPr>
          <w:rFonts w:ascii="Times New Roman;serif" w:hAnsi="Times New Roman;serif"/>
          <w:b w:val="false"/>
          <w:color w:val="000000"/>
          <w:sz w:val="22"/>
        </w:rPr>
        <w:t>and “</w:t>
      </w:r>
      <w:r>
        <w:rPr>
          <w:rFonts w:ascii="Times New Roman;serif" w:hAnsi="Times New Roman;serif"/>
          <w:b/>
          <w:i/>
          <w:color w:val="000000"/>
          <w:sz w:val="22"/>
        </w:rPr>
        <w:t>Security Registrar</w:t>
      </w:r>
      <w:r>
        <w:rPr>
          <w:color w:val="000000"/>
        </w:rPr>
        <w:t xml:space="preserve">” </w:t>
      </w:r>
      <w:r>
        <w:rPr>
          <w:rFonts w:ascii="Times New Roman;serif" w:hAnsi="Times New Roman;serif"/>
          <w:b w:val="false"/>
          <w:color w:val="000000"/>
          <w:sz w:val="22"/>
        </w:rPr>
        <w:t>shall have the meanings as set forth in Section 2.05.</w:t>
      </w:r>
    </w:p>
    <w:p>
      <w:pPr>
        <w:pStyle w:val="TextBody"/>
        <w:bidi w:val="0"/>
        <w:spacing w:lineRule="auto" w:line="288" w:before="0" w:after="240"/>
        <w:ind w:left="0" w:right="0" w:firstLine="720"/>
        <w:jc w:val="left"/>
        <w:rPr/>
      </w:pPr>
      <w:r>
        <w:rPr>
          <w:color w:val="000000"/>
        </w:rPr>
        <w:t>“</w:t>
      </w:r>
      <w:r>
        <w:rPr>
          <w:rFonts w:ascii="Times New Roman;serif" w:hAnsi="Times New Roman;serif"/>
          <w:b/>
          <w:i/>
          <w:color w:val="000000"/>
          <w:sz w:val="22"/>
        </w:rPr>
        <w:t>Subsidiary</w:t>
      </w:r>
      <w:r>
        <w:rPr>
          <w:color w:val="000000"/>
        </w:rPr>
        <w:t xml:space="preserve">” </w:t>
      </w:r>
      <w:r>
        <w:rPr>
          <w:rFonts w:ascii="Times New Roman;serif" w:hAnsi="Times New Roman;serif"/>
          <w:b w:val="false"/>
          <w:color w:val="000000"/>
          <w:sz w:val="22"/>
        </w:rPr>
        <w:t>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Trustee</w:t>
      </w:r>
      <w:r>
        <w:rPr>
          <w:color w:val="000000"/>
        </w:rPr>
        <w:t xml:space="preserve">” </w:t>
      </w:r>
      <w:r>
        <w:rPr>
          <w:rFonts w:ascii="Times New Roman;serif" w:hAnsi="Times New Roman;serif"/>
          <w:b w:val="false"/>
          <w:color w:val="000000"/>
          <w:sz w:val="22"/>
        </w:rPr>
        <w:t>means _________________________,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Trust Indenture Act</w:t>
      </w:r>
      <w:r>
        <w:rPr>
          <w:color w:val="000000"/>
        </w:rPr>
        <w:t xml:space="preserve">” </w:t>
      </w:r>
      <w:r>
        <w:rPr>
          <w:rFonts w:ascii="Times New Roman;serif" w:hAnsi="Times New Roman;serif"/>
          <w:b w:val="false"/>
          <w:color w:val="000000"/>
          <w:sz w:val="22"/>
        </w:rPr>
        <w:t>means the Trust Indenture Act of 1939,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U.S.A. Patriot Act”</w:t>
      </w:r>
      <w:r>
        <w:rPr>
          <w:color w:val="000000"/>
        </w:rPr>
        <w:t xml:space="preserve"> </w:t>
      </w:r>
      <w:r>
        <w:rPr>
          <w:rFonts w:ascii="Times New Roman;serif" w:hAnsi="Times New Roman;serif"/>
          <w:b w:val="false"/>
          <w:color w:val="000000"/>
          <w:sz w:val="22"/>
        </w:rPr>
        <w:t xml:space="preserve">means the Uniting and Strengthening America by Providing Appropriate Tools Required to Intercept and Obstruct Terrorism Act of 2001, Pub. L. 107-56, as amended and signed into law October 26, 2001.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1"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2</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ISSUE, DESCRIPTION, TERMS, EXECUTION, REGISTRATION AND EXCHANGE OF SECURITIES</w:t>
      </w:r>
    </w:p>
    <w:p>
      <w:pPr>
        <w:pStyle w:val="TextBody"/>
        <w:bidi w:val="0"/>
        <w:spacing w:lineRule="auto" w:line="288" w:before="0" w:after="240"/>
        <w:ind w:left="0" w:right="0" w:firstLine="720"/>
        <w:jc w:val="both"/>
        <w:rPr/>
      </w:pPr>
      <w:r>
        <w:rPr>
          <w:rFonts w:ascii="Times New Roman;serif" w:hAnsi="Times New Roman;serif"/>
          <w:b/>
          <w:color w:val="000000"/>
          <w:sz w:val="22"/>
        </w:rPr>
        <w:t>Section 2.01    Designation and Terms of Securities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lineRule="auto" w:line="288" w:before="0" w:after="240"/>
        <w:ind w:left="0" w:right="0" w:firstLine="2160"/>
        <w:jc w:val="both"/>
        <w:rPr/>
      </w:pPr>
      <w:r>
        <w:rPr>
          <w:rFonts w:ascii="Times New Roman;serif" w:hAnsi="Times New Roman;serif"/>
          <w:b/>
          <w:color w:val="000000"/>
          <w:sz w:val="22"/>
        </w:rPr>
        <w:t>(1)    </w:t>
      </w:r>
      <w:r>
        <w:rPr>
          <w:rFonts w:ascii="Times New Roman;serif" w:hAnsi="Times New Roman;serif"/>
          <w:b w:val="false"/>
          <w:color w:val="000000"/>
          <w:sz w:val="22"/>
        </w:rPr>
        <w:t xml:space="preserve">the title of the Securities of the series (which shall distinguish the Securities of that series from all other Securities); </w:t>
      </w:r>
    </w:p>
    <w:p>
      <w:pPr>
        <w:pStyle w:val="TextBody"/>
        <w:bidi w:val="0"/>
        <w:spacing w:lineRule="auto" w:line="288" w:before="0" w:after="240"/>
        <w:ind w:left="0" w:right="0" w:firstLine="2160"/>
        <w:jc w:val="both"/>
        <w:rPr/>
      </w:pPr>
      <w:r>
        <w:rPr>
          <w:rFonts w:ascii="Times New Roman;serif" w:hAnsi="Times New Roman;serif"/>
          <w:b/>
          <w:color w:val="000000"/>
          <w:sz w:val="22"/>
        </w:rPr>
        <w:t>(2)    </w:t>
      </w:r>
      <w:r>
        <w:rPr>
          <w:rFonts w:ascii="Times New Roman;serif" w:hAnsi="Times New Roman;serif"/>
          <w:b w:val="false"/>
          <w:color w:val="000000"/>
          <w:sz w:val="22"/>
        </w:rPr>
        <w:t xml:space="preserve">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lineRule="auto" w:line="288" w:before="0" w:after="240"/>
        <w:ind w:left="0" w:right="0" w:firstLine="2160"/>
        <w:jc w:val="both"/>
        <w:rPr/>
      </w:pPr>
      <w:r>
        <w:rPr>
          <w:rFonts w:ascii="Times New Roman;serif" w:hAnsi="Times New Roman;serif"/>
          <w:b/>
          <w:color w:val="000000"/>
          <w:sz w:val="22"/>
        </w:rPr>
        <w:t>(3)    </w:t>
      </w:r>
      <w:r>
        <w:rPr>
          <w:rFonts w:ascii="Times New Roman;serif" w:hAnsi="Times New Roman;serif"/>
          <w:b w:val="false"/>
          <w:color w:val="000000"/>
          <w:sz w:val="22"/>
        </w:rPr>
        <w:t xml:space="preserve">the maturity date or dates on which the principal of the Securities of the series is payable; </w:t>
      </w:r>
    </w:p>
    <w:p>
      <w:pPr>
        <w:pStyle w:val="TextBody"/>
        <w:bidi w:val="0"/>
        <w:spacing w:lineRule="auto" w:line="288" w:before="0" w:after="240"/>
        <w:ind w:left="0" w:right="0" w:firstLine="2160"/>
        <w:jc w:val="both"/>
        <w:rPr/>
      </w:pPr>
      <w:r>
        <w:rPr>
          <w:rFonts w:ascii="Times New Roman;serif" w:hAnsi="Times New Roman;serif"/>
          <w:b/>
          <w:color w:val="000000"/>
          <w:sz w:val="22"/>
        </w:rPr>
        <w:t>(4)    </w:t>
      </w:r>
      <w:r>
        <w:rPr>
          <w:rFonts w:ascii="Times New Roman;serif" w:hAnsi="Times New Roman;serif"/>
          <w:b w:val="false"/>
          <w:color w:val="000000"/>
          <w:sz w:val="22"/>
        </w:rPr>
        <w:t xml:space="preserve">the form of the Securities of the series including the form of the certificate of authentication for such series; </w:t>
      </w:r>
    </w:p>
    <w:p>
      <w:pPr>
        <w:pStyle w:val="TextBody"/>
        <w:bidi w:val="0"/>
        <w:spacing w:lineRule="auto" w:line="288" w:before="0" w:after="240"/>
        <w:ind w:left="0" w:right="0" w:firstLine="2160"/>
        <w:jc w:val="both"/>
        <w:rPr/>
      </w:pPr>
      <w:r>
        <w:rPr>
          <w:rFonts w:ascii="Times New Roman;serif" w:hAnsi="Times New Roman;serif"/>
          <w:b/>
          <w:color w:val="000000"/>
          <w:sz w:val="22"/>
        </w:rPr>
        <w:t>(5)    </w:t>
      </w:r>
      <w:r>
        <w:rPr>
          <w:rFonts w:ascii="Times New Roman;serif" w:hAnsi="Times New Roman;serif"/>
          <w:b w:val="false"/>
          <w:color w:val="000000"/>
          <w:sz w:val="22"/>
        </w:rPr>
        <w:t>the applicability of any guarantees;</w:t>
      </w:r>
    </w:p>
    <w:p>
      <w:pPr>
        <w:pStyle w:val="TextBody"/>
        <w:bidi w:val="0"/>
        <w:spacing w:lineRule="auto" w:line="288" w:before="0" w:after="240"/>
        <w:ind w:left="0" w:right="0" w:firstLine="2160"/>
        <w:jc w:val="both"/>
        <w:rPr/>
      </w:pPr>
      <w:r>
        <w:rPr>
          <w:rFonts w:ascii="Times New Roman;serif" w:hAnsi="Times New Roman;serif"/>
          <w:b/>
          <w:color w:val="000000"/>
          <w:sz w:val="22"/>
        </w:rPr>
        <w:t>(6)    </w:t>
      </w:r>
      <w:r>
        <w:rPr>
          <w:rFonts w:ascii="Times New Roman;serif" w:hAnsi="Times New Roman;serif"/>
          <w:b w:val="false"/>
          <w:color w:val="000000"/>
          <w:sz w:val="22"/>
        </w:rPr>
        <w:t>whether or not the Securities will be secured or unsecured, and the terms of any secured debt;</w:t>
      </w:r>
    </w:p>
    <w:p>
      <w:pPr>
        <w:pStyle w:val="TextBody"/>
        <w:bidi w:val="0"/>
        <w:spacing w:lineRule="auto" w:line="288" w:before="0" w:after="240"/>
        <w:ind w:left="0" w:right="0" w:firstLine="2160"/>
        <w:jc w:val="both"/>
        <w:rPr/>
      </w:pPr>
      <w:r>
        <w:rPr>
          <w:rFonts w:ascii="Times New Roman;serif" w:hAnsi="Times New Roman;serif"/>
          <w:b/>
          <w:color w:val="000000"/>
          <w:sz w:val="22"/>
        </w:rPr>
        <w:t>(7)    </w:t>
      </w:r>
      <w:r>
        <w:rPr>
          <w:rFonts w:ascii="Times New Roman;serif" w:hAnsi="Times New Roman;serif"/>
          <w:b w:val="false"/>
          <w:color w:val="000000"/>
          <w:sz w:val="22"/>
        </w:rPr>
        <w:t>whether the Securities rank as senior debt, senior subordinated debt, subordinated debt or any combination thereof, and the terms of any subordination;</w:t>
      </w:r>
    </w:p>
    <w:p>
      <w:pPr>
        <w:pStyle w:val="TextBody"/>
        <w:bidi w:val="0"/>
        <w:spacing w:lineRule="auto" w:line="288" w:before="0" w:after="240"/>
        <w:ind w:left="0" w:right="0" w:firstLine="2160"/>
        <w:jc w:val="both"/>
        <w:rPr/>
      </w:pPr>
      <w:r>
        <w:rPr>
          <w:rFonts w:ascii="Times New Roman;serif" w:hAnsi="Times New Roman;serif"/>
          <w:b/>
          <w:color w:val="000000"/>
          <w:sz w:val="22"/>
        </w:rPr>
        <w:t>(8)    </w:t>
      </w:r>
      <w:r>
        <w:rPr>
          <w:rFonts w:ascii="Times New Roman;serif" w:hAnsi="Times New Roman;serif"/>
          <w:b w:val="false"/>
          <w:color w:val="000000"/>
          <w:sz w:val="22"/>
        </w:rPr>
        <w:t xml:space="preserve">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lineRule="auto" w:line="288" w:before="0" w:after="240"/>
        <w:ind w:left="0" w:right="0" w:firstLine="2160"/>
        <w:jc w:val="both"/>
        <w:rPr/>
      </w:pPr>
      <w:r>
        <w:rPr>
          <w:rFonts w:ascii="Times New Roman;serif" w:hAnsi="Times New Roman;serif"/>
          <w:b/>
          <w:color w:val="000000"/>
          <w:sz w:val="22"/>
        </w:rPr>
        <w:t>(9)    </w:t>
      </w:r>
      <w:r>
        <w:rPr>
          <w:rFonts w:ascii="Times New Roman;serif" w:hAnsi="Times New Roman;serif"/>
          <w:b w:val="false"/>
          <w:color w:val="000000"/>
          <w:sz w:val="22"/>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lineRule="auto" w:line="288" w:before="0" w:after="240"/>
        <w:ind w:left="0" w:right="0" w:firstLine="2160"/>
        <w:jc w:val="both"/>
        <w:rPr/>
      </w:pPr>
      <w:r>
        <w:rPr>
          <w:rFonts w:ascii="Times New Roman;serif" w:hAnsi="Times New Roman;serif"/>
          <w:b/>
          <w:color w:val="000000"/>
          <w:sz w:val="22"/>
        </w:rPr>
        <w:t>(10)    </w:t>
      </w:r>
      <w:r>
        <w:rPr>
          <w:rFonts w:ascii="Times New Roman;serif" w:hAnsi="Times New Roman;serif"/>
          <w:b w:val="false"/>
          <w:color w:val="000000"/>
          <w:sz w:val="22"/>
        </w:rPr>
        <w:t xml:space="preserve">the Company’s right, if any, to defer the payment of interest and the maximum length of any such deferral period; </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2"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color w:val="000000"/>
          <w:sz w:val="22"/>
        </w:rPr>
        <w:t>(11)    </w:t>
      </w:r>
      <w:r>
        <w:rPr>
          <w:rFonts w:ascii="Times New Roman;serif" w:hAnsi="Times New Roman;serif"/>
          <w:b w:val="false"/>
          <w:color w:val="000000"/>
          <w:sz w:val="22"/>
        </w:rPr>
        <w:t xml:space="preserve">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 </w:t>
      </w:r>
    </w:p>
    <w:p>
      <w:pPr>
        <w:pStyle w:val="TextBody"/>
        <w:bidi w:val="0"/>
        <w:spacing w:lineRule="auto" w:line="288" w:before="0" w:after="240"/>
        <w:ind w:left="0" w:right="0" w:firstLine="2160"/>
        <w:jc w:val="both"/>
        <w:rPr/>
      </w:pPr>
      <w:r>
        <w:rPr>
          <w:rFonts w:ascii="Times New Roman;serif" w:hAnsi="Times New Roman;serif"/>
          <w:b/>
          <w:color w:val="000000"/>
          <w:sz w:val="22"/>
        </w:rPr>
        <w:t>(12)    </w:t>
      </w:r>
      <w:r>
        <w:rPr>
          <w:rFonts w:ascii="Times New Roman;serif" w:hAnsi="Times New Roman;serif"/>
          <w:b w:val="false"/>
          <w:color w:val="000000"/>
          <w:sz w:val="22"/>
        </w:rPr>
        <w:t xml:space="preserve">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 </w:t>
      </w:r>
    </w:p>
    <w:p>
      <w:pPr>
        <w:pStyle w:val="TextBody"/>
        <w:bidi w:val="0"/>
        <w:spacing w:lineRule="auto" w:line="288" w:before="0" w:after="240"/>
        <w:ind w:left="0" w:right="0" w:firstLine="2160"/>
        <w:jc w:val="both"/>
        <w:rPr/>
      </w:pPr>
      <w:r>
        <w:rPr>
          <w:rFonts w:ascii="Times New Roman;serif" w:hAnsi="Times New Roman;serif"/>
          <w:b/>
          <w:color w:val="000000"/>
          <w:sz w:val="22"/>
        </w:rPr>
        <w:t>(13)    </w:t>
      </w:r>
      <w:r>
        <w:rPr>
          <w:rFonts w:ascii="Times New Roman;serif" w:hAnsi="Times New Roman;serif"/>
          <w:b w:val="false"/>
          <w:color w:val="000000"/>
          <w:sz w:val="22"/>
        </w:rPr>
        <w:t xml:space="preserve">the denominations in which the Securities of the series shall be issuable, if other than denominations of one thousand U.S. dollars ($1,000) or any integral multiple thereof; </w:t>
      </w:r>
    </w:p>
    <w:p>
      <w:pPr>
        <w:pStyle w:val="TextBody"/>
        <w:bidi w:val="0"/>
        <w:spacing w:lineRule="auto" w:line="288" w:before="0" w:after="240"/>
        <w:ind w:left="0" w:right="0" w:firstLine="2160"/>
        <w:jc w:val="both"/>
        <w:rPr/>
      </w:pPr>
      <w:r>
        <w:rPr>
          <w:rFonts w:ascii="Times New Roman;serif" w:hAnsi="Times New Roman;serif"/>
          <w:b/>
          <w:color w:val="000000"/>
          <w:sz w:val="22"/>
        </w:rPr>
        <w:t>(14)    </w:t>
      </w:r>
      <w:r>
        <w:rPr>
          <w:rFonts w:ascii="Times New Roman;serif" w:hAnsi="Times New Roman;serif"/>
          <w:b w:val="false"/>
          <w:color w:val="000000"/>
          <w:sz w:val="22"/>
        </w:rPr>
        <w:t xml:space="preserve">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 </w:t>
      </w:r>
    </w:p>
    <w:p>
      <w:pPr>
        <w:pStyle w:val="TextBody"/>
        <w:bidi w:val="0"/>
        <w:spacing w:lineRule="auto" w:line="288" w:before="0" w:after="240"/>
        <w:ind w:left="0" w:right="0" w:firstLine="2160"/>
        <w:jc w:val="both"/>
        <w:rPr/>
      </w:pPr>
      <w:r>
        <w:rPr>
          <w:rFonts w:ascii="Times New Roman;serif" w:hAnsi="Times New Roman;serif"/>
          <w:b/>
          <w:color w:val="000000"/>
          <w:sz w:val="22"/>
        </w:rPr>
        <w:t>(15)    </w:t>
      </w:r>
      <w:r>
        <w:rPr>
          <w:rFonts w:ascii="Times New Roman;serif" w:hAnsi="Times New Roman;serif"/>
          <w:b w:val="false"/>
          <w:color w:val="000000"/>
          <w:sz w:val="22"/>
        </w:rPr>
        <w:t xml:space="preserve">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lineRule="auto" w:line="288" w:before="0" w:after="240"/>
        <w:ind w:left="0" w:right="0" w:firstLine="2160"/>
        <w:jc w:val="both"/>
        <w:rPr/>
      </w:pPr>
      <w:r>
        <w:rPr>
          <w:rFonts w:ascii="Times New Roman;serif" w:hAnsi="Times New Roman;serif"/>
          <w:b/>
          <w:color w:val="000000"/>
          <w:sz w:val="22"/>
        </w:rPr>
        <w:t>(16)    </w:t>
      </w:r>
      <w:r>
        <w:rPr>
          <w:rFonts w:ascii="Times New Roman;serif" w:hAnsi="Times New Roman;serif"/>
          <w:b w:val="false"/>
          <w:color w:val="000000"/>
          <w:sz w:val="22"/>
        </w:rPr>
        <w:t xml:space="preserve">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 </w:t>
      </w:r>
    </w:p>
    <w:p>
      <w:pPr>
        <w:pStyle w:val="TextBody"/>
        <w:bidi w:val="0"/>
        <w:spacing w:lineRule="auto" w:line="288" w:before="0" w:after="240"/>
        <w:ind w:left="0" w:right="0" w:firstLine="2160"/>
        <w:jc w:val="both"/>
        <w:rPr/>
      </w:pPr>
      <w:r>
        <w:rPr>
          <w:rFonts w:ascii="Times New Roman;serif" w:hAnsi="Times New Roman;serif"/>
          <w:b/>
          <w:color w:val="000000"/>
          <w:sz w:val="22"/>
        </w:rPr>
        <w:t>(17)    </w:t>
      </w:r>
      <w:r>
        <w:rPr>
          <w:rFonts w:ascii="Times New Roman;serif" w:hAnsi="Times New Roman;serif"/>
          <w:b w:val="false"/>
          <w:color w:val="000000"/>
          <w:sz w:val="22"/>
        </w:rPr>
        <w:t xml:space="preserve">if other than the full principal amount thereof, the portion of the principal amount of Securities of the series which shall be payable upon declaration of acceleration of the maturity thereof pursuant to Section 6.01; </w:t>
      </w:r>
    </w:p>
    <w:p>
      <w:pPr>
        <w:pStyle w:val="TextBody"/>
        <w:bidi w:val="0"/>
        <w:spacing w:lineRule="auto" w:line="288" w:before="0" w:after="240"/>
        <w:ind w:left="0" w:right="0" w:firstLine="2160"/>
        <w:jc w:val="both"/>
        <w:rPr/>
      </w:pPr>
      <w:r>
        <w:rPr>
          <w:rFonts w:ascii="Times New Roman;serif" w:hAnsi="Times New Roman;serif"/>
          <w:b/>
          <w:color w:val="000000"/>
          <w:sz w:val="22"/>
        </w:rPr>
        <w:t>(18)    </w:t>
      </w:r>
      <w:r>
        <w:rPr>
          <w:rFonts w:ascii="Times New Roman;serif" w:hAnsi="Times New Roman;serif"/>
          <w:b w:val="false"/>
          <w:color w:val="000000"/>
          <w:sz w:val="22"/>
        </w:rPr>
        <w:t>additions to or changes in the covenants applicable to the series of Securities being issued, including, among others, the consolidation, merger or sale covenant;</w:t>
      </w:r>
    </w:p>
    <w:p>
      <w:pPr>
        <w:pStyle w:val="TextBody"/>
        <w:bidi w:val="0"/>
        <w:spacing w:lineRule="auto" w:line="288" w:before="0" w:after="240"/>
        <w:ind w:left="0" w:right="0" w:firstLine="2160"/>
        <w:jc w:val="both"/>
        <w:rPr/>
      </w:pPr>
      <w:r>
        <w:rPr>
          <w:rFonts w:ascii="Times New Roman;serif" w:hAnsi="Times New Roman;serif"/>
          <w:b/>
          <w:color w:val="000000"/>
          <w:sz w:val="22"/>
        </w:rPr>
        <w:t>(19)    </w:t>
      </w:r>
      <w:r>
        <w:rPr>
          <w:rFonts w:ascii="Times New Roman;serif" w:hAnsi="Times New Roman;serif"/>
          <w:b w:val="false"/>
          <w:color w:val="000000"/>
          <w:sz w:val="22"/>
        </w:rPr>
        <w:t xml:space="preserve">additions to or changes in the Events of Default with respect to the Securities and any change in the right of the Trustee or the Securityholders to declare the principal, premium, if any, and interest, if any, with respect to such Securities to be due and payable; </w:t>
      </w:r>
    </w:p>
    <w:p>
      <w:pPr>
        <w:pStyle w:val="TextBody"/>
        <w:bidi w:val="0"/>
        <w:spacing w:lineRule="auto" w:line="288" w:before="0" w:after="240"/>
        <w:ind w:left="0" w:right="0" w:firstLine="2160"/>
        <w:jc w:val="both"/>
        <w:rPr/>
      </w:pPr>
      <w:r>
        <w:rPr>
          <w:rFonts w:ascii="Times New Roman;serif" w:hAnsi="Times New Roman;serif"/>
          <w:b/>
          <w:color w:val="000000"/>
          <w:sz w:val="22"/>
        </w:rPr>
        <w:t>(20)    </w:t>
      </w:r>
      <w:r>
        <w:rPr>
          <w:rFonts w:ascii="Times New Roman;serif" w:hAnsi="Times New Roman;serif"/>
          <w:b w:val="false"/>
          <w:color w:val="000000"/>
          <w:sz w:val="22"/>
        </w:rPr>
        <w:t xml:space="preserve">additions to or changes in or deletions of the provisions relating to covenant defeasance and legal defeasance; </w:t>
      </w:r>
    </w:p>
    <w:p>
      <w:pPr>
        <w:pStyle w:val="TextBody"/>
        <w:bidi w:val="0"/>
        <w:spacing w:lineRule="auto" w:line="288" w:before="0" w:after="240"/>
        <w:ind w:left="0" w:right="0" w:firstLine="2160"/>
        <w:jc w:val="both"/>
        <w:rPr/>
      </w:pPr>
      <w:r>
        <w:rPr>
          <w:rFonts w:ascii="Times New Roman;serif" w:hAnsi="Times New Roman;serif"/>
          <w:b/>
          <w:color w:val="000000"/>
          <w:sz w:val="22"/>
        </w:rPr>
        <w:t>(21)    </w:t>
      </w:r>
      <w:r>
        <w:rPr>
          <w:rFonts w:ascii="Times New Roman;serif" w:hAnsi="Times New Roman;serif"/>
          <w:b w:val="false"/>
          <w:color w:val="000000"/>
          <w:sz w:val="22"/>
        </w:rPr>
        <w:t xml:space="preserve">additions to or changes in the provisions relating to satisfaction and discharge of this Indenture;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3"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color w:val="000000"/>
          <w:sz w:val="22"/>
        </w:rPr>
        <w:t>(22)    </w:t>
      </w:r>
      <w:r>
        <w:rPr>
          <w:rFonts w:ascii="Times New Roman;serif" w:hAnsi="Times New Roman;serif"/>
          <w:b w:val="false"/>
          <w:color w:val="000000"/>
          <w:sz w:val="22"/>
        </w:rPr>
        <w:t>additions to or changes in the provisions relating to the modification of this Indenture both with and without the consent of Securityholders of Securities issued under this Indenture;</w:t>
      </w:r>
    </w:p>
    <w:p>
      <w:pPr>
        <w:pStyle w:val="TextBody"/>
        <w:bidi w:val="0"/>
        <w:spacing w:lineRule="auto" w:line="288" w:before="0" w:after="240"/>
        <w:ind w:left="0" w:right="0" w:firstLine="2160"/>
        <w:jc w:val="both"/>
        <w:rPr/>
      </w:pPr>
      <w:r>
        <w:rPr>
          <w:rFonts w:ascii="Times New Roman;serif" w:hAnsi="Times New Roman;serif"/>
          <w:b/>
          <w:color w:val="000000"/>
          <w:sz w:val="22"/>
        </w:rPr>
        <w:t>(23)    </w:t>
      </w:r>
      <w:r>
        <w:rPr>
          <w:rFonts w:ascii="Times New Roman;serif" w:hAnsi="Times New Roman;serif"/>
          <w:b w:val="false"/>
          <w:color w:val="000000"/>
          <w:sz w:val="22"/>
        </w:rPr>
        <w:t>the currency of payment of Securities if other than U.S. dollars and the manner of determining the equivalent amount in U.S. dollars;</w:t>
      </w:r>
    </w:p>
    <w:p>
      <w:pPr>
        <w:pStyle w:val="TextBody"/>
        <w:bidi w:val="0"/>
        <w:spacing w:lineRule="auto" w:line="288" w:before="0" w:after="240"/>
        <w:ind w:left="0" w:right="0" w:firstLine="2160"/>
        <w:jc w:val="both"/>
        <w:rPr/>
      </w:pPr>
      <w:r>
        <w:rPr>
          <w:rFonts w:ascii="Times New Roman;serif" w:hAnsi="Times New Roman;serif"/>
          <w:b/>
          <w:color w:val="000000"/>
          <w:sz w:val="22"/>
        </w:rPr>
        <w:t>(24)    </w:t>
      </w:r>
      <w:r>
        <w:rPr>
          <w:rFonts w:ascii="Times New Roman;serif" w:hAnsi="Times New Roman;serif"/>
          <w:b w:val="false"/>
          <w:color w:val="000000"/>
          <w:sz w:val="22"/>
        </w:rPr>
        <w:t>whether interest will be payable in cash or additional Securities at the Company’s or the Securityholders’ option and the terms and conditions upon which the election may be made;</w:t>
      </w:r>
    </w:p>
    <w:p>
      <w:pPr>
        <w:pStyle w:val="TextBody"/>
        <w:bidi w:val="0"/>
        <w:spacing w:lineRule="auto" w:line="288" w:before="0" w:after="240"/>
        <w:ind w:left="0" w:right="0" w:firstLine="2160"/>
        <w:jc w:val="both"/>
        <w:rPr/>
      </w:pPr>
      <w:r>
        <w:rPr>
          <w:rFonts w:ascii="Times New Roman;serif" w:hAnsi="Times New Roman;serif"/>
          <w:b/>
          <w:color w:val="000000"/>
          <w:sz w:val="22"/>
        </w:rPr>
        <w:t>(25)    </w:t>
      </w:r>
      <w:r>
        <w:rPr>
          <w:rFonts w:ascii="Times New Roman;serif" w:hAnsi="Times New Roman;serif"/>
          <w:b w:val="false"/>
          <w:color w:val="000000"/>
          <w:sz w:val="22"/>
        </w:rPr>
        <w:t xml:space="preserve">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lineRule="auto" w:line="288" w:before="0" w:after="240"/>
        <w:ind w:left="0" w:right="0" w:firstLine="2160"/>
        <w:jc w:val="both"/>
        <w:rPr/>
      </w:pPr>
      <w:r>
        <w:rPr>
          <w:rFonts w:ascii="Times New Roman;serif" w:hAnsi="Times New Roman;serif"/>
          <w:b/>
          <w:color w:val="000000"/>
          <w:sz w:val="22"/>
        </w:rPr>
        <w:t>(26)    </w:t>
      </w:r>
      <w:r>
        <w:rPr>
          <w:rFonts w:ascii="Times New Roman;serif" w:hAnsi="Times New Roman;serif"/>
          <w:b w:val="false"/>
          <w:color w:val="000000"/>
          <w:sz w:val="22"/>
        </w:rPr>
        <w:t>any restrictions on transfer, sale or assignment of the Securities of the series;</w:t>
      </w:r>
      <w:r>
        <w:rPr>
          <w:color w:val="000000"/>
        </w:rPr>
        <w:t xml:space="preserve"> </w:t>
      </w:r>
      <w:r>
        <w:rPr>
          <w:rFonts w:ascii="Times New Roman;serif" w:hAnsi="Times New Roman;serif"/>
          <w:b w:val="false"/>
          <w:color w:val="000000"/>
          <w:sz w:val="22"/>
        </w:rPr>
        <w:t>and</w:t>
      </w:r>
    </w:p>
    <w:p>
      <w:pPr>
        <w:pStyle w:val="TextBody"/>
        <w:bidi w:val="0"/>
        <w:spacing w:lineRule="auto" w:line="288" w:before="0" w:after="240"/>
        <w:ind w:left="0" w:right="0" w:firstLine="2160"/>
        <w:jc w:val="both"/>
        <w:rPr/>
      </w:pPr>
      <w:r>
        <w:rPr>
          <w:rFonts w:ascii="Times New Roman;serif" w:hAnsi="Times New Roman;serif"/>
          <w:b/>
          <w:color w:val="000000"/>
          <w:sz w:val="22"/>
        </w:rPr>
        <w:t>(27)    </w:t>
      </w:r>
      <w:r>
        <w:rPr>
          <w:rFonts w:ascii="Times New Roman;serif" w:hAnsi="Times New Roman;serif"/>
          <w:b w:val="false"/>
          <w:color w:val="000000"/>
          <w:sz w:val="22"/>
        </w:rPr>
        <w:t>any other specific terms, preferences, rights or limitations of, or restrictions on, the Securities, any other additions or changes in the provisions of this Indenture, and any terms that may be required by us or advisable under applicable laws or regulations.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Securities of any one series shall be substantially identical except as may otherwise be provided in or pursuant to any such Board Resolution or in any indentures supplemental 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lineRule="auto" w:line="288" w:before="0" w:after="240"/>
        <w:ind w:left="0" w:right="0" w:firstLine="720"/>
        <w:jc w:val="both"/>
        <w:rPr/>
      </w:pPr>
      <w:r>
        <w:rPr>
          <w:rFonts w:ascii="Times New Roman;serif" w:hAnsi="Times New Roman;serif"/>
          <w:b/>
          <w:color w:val="000000"/>
          <w:sz w:val="22"/>
        </w:rPr>
        <w:t>Section 2.02    Form of Securities and Trustee’s Certificate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lineRule="auto" w:line="288" w:before="0" w:after="240"/>
        <w:ind w:left="0" w:right="0" w:firstLine="720"/>
        <w:jc w:val="both"/>
        <w:rPr/>
      </w:pPr>
      <w:r>
        <w:rPr>
          <w:rFonts w:ascii="Times New Roman;serif" w:hAnsi="Times New Roman;serif"/>
          <w:b/>
          <w:color w:val="000000"/>
          <w:sz w:val="22"/>
        </w:rPr>
        <w:t>Section 2.03    Denominations: Provisions for Payment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Securities shall be issuable as registered Securities and in the denominations of one thousand U.S. dollars ($1,000) or any integral multiple thereof, subject to Section 2.01(a)(13). The Securities of a </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4"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lineRule="auto" w:line="288" w:before="0" w:after="240"/>
        <w:ind w:left="0" w:right="0" w:firstLine="2160"/>
        <w:jc w:val="both"/>
        <w:rPr/>
      </w:pPr>
      <w:r>
        <w:rPr>
          <w:rFonts w:ascii="Times New Roman;serif" w:hAnsi="Times New Roman;serif"/>
          <w:b/>
          <w:color w:val="000000"/>
          <w:sz w:val="22"/>
        </w:rPr>
        <w:t>(1)    </w:t>
      </w:r>
      <w:r>
        <w:rPr>
          <w:rFonts w:ascii="Times New Roman;serif" w:hAnsi="Times New Roman;serif"/>
          <w:b w:val="false"/>
          <w:color w:val="000000"/>
          <w:sz w:val="22"/>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pStyle w:val="TextBody"/>
        <w:bidi w:val="0"/>
        <w:spacing w:lineRule="auto" w:line="288" w:before="0" w:after="240"/>
        <w:ind w:left="0" w:right="0" w:firstLine="2160"/>
        <w:jc w:val="both"/>
        <w:rPr/>
      </w:pPr>
      <w:r>
        <w:rPr>
          <w:rFonts w:ascii="Times New Roman;serif" w:hAnsi="Times New Roman;serif"/>
          <w:b/>
          <w:color w:val="000000"/>
          <w:sz w:val="22"/>
        </w:rPr>
        <w:t>(2)    </w:t>
      </w:r>
      <w:r>
        <w:rPr>
          <w:rFonts w:ascii="Times New Roman;serif" w:hAnsi="Times New Roman;serif"/>
          <w:b w:val="false"/>
          <w:color w:val="000000"/>
          <w:sz w:val="22"/>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5"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lineRule="auto" w:line="288" w:before="0" w:after="240"/>
        <w:ind w:left="0" w:right="0" w:firstLine="720"/>
        <w:jc w:val="both"/>
        <w:rPr/>
      </w:pPr>
      <w:r>
        <w:rPr>
          <w:rFonts w:ascii="Times New Roman;serif" w:hAnsi="Times New Roman;serif"/>
          <w:b/>
          <w:color w:val="000000"/>
          <w:sz w:val="22"/>
        </w:rPr>
        <w:t>Section 2.04    Execution and Authentications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Securities shall be signed on behalf of the Company by one of its Officers. Signatures may be in the form of a manual or facsimile signature.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lineRule="auto" w:line="288" w:before="0" w:after="240"/>
        <w:ind w:left="0" w:right="0" w:firstLine="720"/>
        <w:jc w:val="both"/>
        <w:rPr/>
      </w:pPr>
      <w:r>
        <w:rPr>
          <w:rFonts w:ascii="Times New Roman;serif" w:hAnsi="Times New Roman;serif"/>
          <w:b/>
          <w:color w:val="000000"/>
          <w:sz w:val="22"/>
        </w:rPr>
        <w:t>Section 2.05    Registration of Transfer and Exchange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6"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initially appoints the Trustee as Security Registrar for each series of Securities.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7"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2.06    Temporary Securities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lineRule="auto" w:line="288" w:before="0" w:after="240"/>
        <w:ind w:left="0" w:right="0" w:firstLine="720"/>
        <w:jc w:val="both"/>
        <w:rPr/>
      </w:pPr>
      <w:r>
        <w:rPr>
          <w:rFonts w:ascii="Times New Roman;serif" w:hAnsi="Times New Roman;serif"/>
          <w:b/>
          <w:color w:val="000000"/>
          <w:sz w:val="22"/>
        </w:rPr>
        <w:t>Section 2.07    Mutilated, Destroyed, Lost or Stolen Securities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8"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lineRule="auto" w:line="288" w:before="0" w:after="240"/>
        <w:ind w:left="0" w:right="0" w:firstLine="720"/>
        <w:jc w:val="both"/>
        <w:rPr/>
      </w:pPr>
      <w:r>
        <w:rPr>
          <w:rFonts w:ascii="Times New Roman;serif" w:hAnsi="Times New Roman;serif"/>
          <w:b/>
          <w:color w:val="000000"/>
          <w:sz w:val="22"/>
        </w:rPr>
        <w:t>Section 2.08    Cancellation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lineRule="auto" w:line="288" w:before="0" w:after="240"/>
        <w:ind w:left="0" w:right="0" w:firstLine="720"/>
        <w:jc w:val="both"/>
        <w:rPr/>
      </w:pPr>
      <w:r>
        <w:rPr>
          <w:rFonts w:ascii="Times New Roman;serif" w:hAnsi="Times New Roman;serif"/>
          <w:b/>
          <w:color w:val="000000"/>
          <w:sz w:val="22"/>
        </w:rPr>
        <w:t>Section 2.09    Benefits of Indenture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lineRule="auto" w:line="288" w:before="0" w:after="240"/>
        <w:ind w:left="0" w:right="0" w:firstLine="720"/>
        <w:jc w:val="both"/>
        <w:rPr/>
      </w:pPr>
      <w:r>
        <w:rPr>
          <w:rFonts w:ascii="Times New Roman;serif" w:hAnsi="Times New Roman;serif"/>
          <w:b/>
          <w:color w:val="000000"/>
          <w:sz w:val="22"/>
        </w:rPr>
        <w:t>Section 2.10    Authenticating Agent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9"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shall become vested with all the rights, powers and duties of its predecessor hereunder as if originally named as an Authenticating Agent pursuant hereto.</w:t>
      </w:r>
    </w:p>
    <w:p>
      <w:pPr>
        <w:pStyle w:val="TextBody"/>
        <w:bidi w:val="0"/>
        <w:spacing w:lineRule="auto" w:line="288" w:before="0" w:after="240"/>
        <w:ind w:left="0" w:right="0" w:firstLine="720"/>
        <w:jc w:val="both"/>
        <w:rPr/>
      </w:pPr>
      <w:r>
        <w:rPr>
          <w:rFonts w:ascii="Times New Roman;serif" w:hAnsi="Times New Roman;serif"/>
          <w:b/>
          <w:color w:val="000000"/>
          <w:sz w:val="22"/>
        </w:rPr>
        <w:t>Section 2.11    Global Securities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0"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2.12    CUSIP Numbers</w:t>
      </w:r>
      <w:r>
        <w:rPr>
          <w:rFonts w:ascii="Times New Roman;serif" w:hAnsi="Times New Roman;serif"/>
          <w:b w:val="false"/>
          <w:color w:val="000000"/>
          <w:sz w:val="22"/>
        </w:rPr>
        <w:t>.</w:t>
      </w:r>
    </w:p>
    <w:p>
      <w:pPr>
        <w:pStyle w:val="TextBody"/>
        <w:bidi w:val="0"/>
        <w:spacing w:lineRule="auto" w:line="288" w:before="0" w:after="7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3</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REDEMPTION OF SECURITIES AND SINKING FUND PROVISIONS</w:t>
      </w:r>
    </w:p>
    <w:p>
      <w:pPr>
        <w:pStyle w:val="TextBody"/>
        <w:bidi w:val="0"/>
        <w:spacing w:lineRule="auto" w:line="288" w:before="0" w:after="240"/>
        <w:ind w:left="0" w:right="0" w:firstLine="720"/>
        <w:jc w:val="both"/>
        <w:rPr/>
      </w:pPr>
      <w:r>
        <w:rPr>
          <w:rFonts w:ascii="Times New Roman;serif" w:hAnsi="Times New Roman;serif"/>
          <w:b/>
          <w:color w:val="000000"/>
          <w:sz w:val="22"/>
        </w:rPr>
        <w:t>Section 3.01    Redemption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redeem the Securities of any series issued hereunder on and after the dates and in accordance with the terms established for such series pursuant to Section 2.01 hereof.</w:t>
      </w:r>
    </w:p>
    <w:p>
      <w:pPr>
        <w:pStyle w:val="TextBody"/>
        <w:bidi w:val="0"/>
        <w:spacing w:lineRule="auto" w:line="288" w:before="0" w:after="240"/>
        <w:ind w:left="0" w:right="0" w:firstLine="720"/>
        <w:jc w:val="both"/>
        <w:rPr/>
      </w:pPr>
      <w:r>
        <w:rPr>
          <w:rFonts w:ascii="Times New Roman;serif" w:hAnsi="Times New Roman;serif"/>
          <w:b/>
          <w:color w:val="000000"/>
          <w:sz w:val="22"/>
        </w:rPr>
        <w:t>Section 3.02    Notice of Redemption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1"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lineRule="auto" w:line="288" w:before="0" w:after="240"/>
        <w:ind w:left="0" w:right="0" w:firstLine="720"/>
        <w:jc w:val="both"/>
        <w:rPr/>
      </w:pPr>
      <w:r>
        <w:rPr>
          <w:rFonts w:ascii="Times New Roman;serif" w:hAnsi="Times New Roman;serif"/>
          <w:b/>
          <w:color w:val="000000"/>
          <w:sz w:val="22"/>
        </w:rPr>
        <w:t>Section 3.03    Payment Upon Redemption</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2"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3.04    Sinking Fund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provisions of Sections 3.04, 3.05 and 3.06 shall be applicable to any sinking fund for the retirement of Securities of a series, except as otherwise specified as contemplated by Section 2.01 for Securities of such series.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lineRule="auto" w:line="288" w:before="0" w:after="240"/>
        <w:ind w:left="0" w:right="0" w:firstLine="720"/>
        <w:jc w:val="both"/>
        <w:rPr/>
      </w:pPr>
      <w:r>
        <w:rPr>
          <w:rFonts w:ascii="Times New Roman;serif" w:hAnsi="Times New Roman;serif"/>
          <w:b/>
          <w:color w:val="000000"/>
          <w:sz w:val="22"/>
        </w:rPr>
        <w:t>Section 3.05    Satisfaction of Sinking Fund Payments with Securities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lineRule="auto" w:line="288" w:before="0" w:after="240"/>
        <w:ind w:left="0" w:right="0" w:firstLine="720"/>
        <w:jc w:val="both"/>
        <w:rPr/>
      </w:pPr>
      <w:r>
        <w:rPr>
          <w:rFonts w:ascii="Times New Roman;serif" w:hAnsi="Times New Roman;serif"/>
          <w:b/>
          <w:color w:val="000000"/>
          <w:sz w:val="22"/>
        </w:rPr>
        <w:t>Section 3.06    Redemption of Securities for Sinking Fund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COVENANTS</w:t>
      </w:r>
    </w:p>
    <w:p>
      <w:pPr>
        <w:pStyle w:val="TextBody"/>
        <w:bidi w:val="0"/>
        <w:spacing w:lineRule="auto" w:line="288" w:before="0" w:after="240"/>
        <w:ind w:left="0" w:right="0" w:firstLine="720"/>
        <w:jc w:val="both"/>
        <w:rPr/>
      </w:pPr>
      <w:r>
        <w:rPr>
          <w:rFonts w:ascii="Times New Roman;serif" w:hAnsi="Times New Roman;serif"/>
          <w:b/>
          <w:color w:val="000000"/>
          <w:sz w:val="22"/>
        </w:rPr>
        <w:t>Section 4.01    Payment of Principal, Premium and Interest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3"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 </w:t>
      </w:r>
    </w:p>
    <w:p>
      <w:pPr>
        <w:pStyle w:val="TextBody"/>
        <w:bidi w:val="0"/>
        <w:spacing w:lineRule="auto" w:line="288" w:before="0" w:after="240"/>
        <w:ind w:left="0" w:right="0" w:firstLine="720"/>
        <w:jc w:val="both"/>
        <w:rPr/>
      </w:pPr>
      <w:r>
        <w:rPr>
          <w:rFonts w:ascii="Times New Roman;serif" w:hAnsi="Times New Roman;serif"/>
          <w:b/>
          <w:color w:val="000000"/>
          <w:sz w:val="22"/>
        </w:rPr>
        <w:t>Section 4.02    Maintenance of Office or Agency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pStyle w:val="TextBody"/>
        <w:bidi w:val="0"/>
        <w:spacing w:lineRule="auto" w:line="288" w:before="0" w:after="240"/>
        <w:ind w:left="0" w:right="0" w:firstLine="720"/>
        <w:jc w:val="both"/>
        <w:rPr/>
      </w:pPr>
      <w:r>
        <w:rPr>
          <w:rFonts w:ascii="Times New Roman;serif" w:hAnsi="Times New Roman;serif"/>
          <w:b/>
          <w:color w:val="000000"/>
          <w:sz w:val="22"/>
        </w:rPr>
        <w:t>Section 4.03    Paying Agents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lineRule="auto" w:line="288" w:before="0" w:after="240"/>
        <w:ind w:left="0" w:right="0" w:firstLine="2160"/>
        <w:jc w:val="both"/>
        <w:rPr/>
      </w:pPr>
      <w:r>
        <w:rPr>
          <w:rFonts w:ascii="Times New Roman;serif" w:hAnsi="Times New Roman;serif"/>
          <w:b/>
          <w:color w:val="000000"/>
          <w:sz w:val="22"/>
        </w:rPr>
        <w:t>(1)    </w:t>
      </w:r>
      <w:r>
        <w:rPr>
          <w:rFonts w:ascii="Times New Roman;serif" w:hAnsi="Times New Roman;serif"/>
          <w:b w:val="false"/>
          <w:color w:val="000000"/>
          <w:sz w:val="22"/>
        </w:rPr>
        <w:t xml:space="preserve">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lineRule="auto" w:line="288" w:before="0" w:after="240"/>
        <w:ind w:left="0" w:right="0" w:firstLine="2160"/>
        <w:jc w:val="both"/>
        <w:rPr/>
      </w:pPr>
      <w:r>
        <w:rPr>
          <w:rFonts w:ascii="Times New Roman;serif" w:hAnsi="Times New Roman;serif"/>
          <w:b/>
          <w:color w:val="000000"/>
          <w:sz w:val="22"/>
        </w:rPr>
        <w:t>(2)    </w:t>
      </w:r>
      <w:r>
        <w:rPr>
          <w:rFonts w:ascii="Times New Roman;serif" w:hAnsi="Times New Roman;serif"/>
          <w:b w:val="false"/>
          <w:color w:val="000000"/>
          <w:sz w:val="22"/>
        </w:rPr>
        <w:t xml:space="preserve">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lineRule="auto" w:line="288" w:before="0" w:after="240"/>
        <w:ind w:left="0" w:right="0" w:firstLine="2160"/>
        <w:jc w:val="both"/>
        <w:rPr/>
      </w:pPr>
      <w:r>
        <w:rPr>
          <w:rFonts w:ascii="Times New Roman;serif" w:hAnsi="Times New Roman;serif"/>
          <w:b/>
          <w:color w:val="000000"/>
          <w:sz w:val="22"/>
        </w:rPr>
        <w:t>(3)    </w:t>
      </w:r>
      <w:r>
        <w:rPr>
          <w:rFonts w:ascii="Times New Roman;serif" w:hAnsi="Times New Roman;serif"/>
          <w:b w:val="false"/>
          <w:color w:val="000000"/>
          <w:sz w:val="22"/>
        </w:rPr>
        <w:t xml:space="preserve">that it will, at any time during the continuance of any failure referred to in the preceding paragraph (a)(2) above, upon the written request of the Trustee, forthwith pay to the Trustee all sums so held in trust by such paying agent; and </w:t>
      </w:r>
    </w:p>
    <w:p>
      <w:pPr>
        <w:pStyle w:val="TextBody"/>
        <w:bidi w:val="0"/>
        <w:spacing w:lineRule="auto" w:line="288" w:before="0" w:after="240"/>
        <w:ind w:left="0" w:right="0" w:firstLine="2160"/>
        <w:jc w:val="both"/>
        <w:rPr/>
      </w:pPr>
      <w:r>
        <w:rPr>
          <w:rFonts w:ascii="Times New Roman;serif" w:hAnsi="Times New Roman;serif"/>
          <w:b/>
          <w:color w:val="000000"/>
          <w:sz w:val="22"/>
        </w:rPr>
        <w:t>(4)    </w:t>
      </w:r>
      <w:r>
        <w:rPr>
          <w:rFonts w:ascii="Times New Roman;serif" w:hAnsi="Times New Roman;serif"/>
          <w:b w:val="false"/>
          <w:color w:val="000000"/>
          <w:sz w:val="22"/>
        </w:rPr>
        <w:t>that it will perform all other duties of paying agent as set forth in this Indenture.</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 xml:space="preserve">If the Company shall act as its own paying agent with respect to any series of the Securities, it will on or before each due date of the principal of (and premium, if any) or interest on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4"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lineRule="auto" w:line="288" w:before="0" w:after="240"/>
        <w:ind w:left="0" w:right="0" w:firstLine="720"/>
        <w:jc w:val="both"/>
        <w:rPr/>
      </w:pPr>
      <w:r>
        <w:rPr>
          <w:rFonts w:ascii="Times New Roman;serif" w:hAnsi="Times New Roman;serif"/>
          <w:b/>
          <w:color w:val="000000"/>
          <w:sz w:val="22"/>
        </w:rPr>
        <w:t>Section 4.04    Appointment to Fill Vacancy in Office of Trustee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whenever necessary to avoid or fill a vacancy in the office of Trustee, will appoint, in the manner provided in Section 7.10, a Trustee, so that there shall at all times be a Trustee hereunder.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5</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SECURITYHOLDERS’ LISTS AND REPORTS BY THE COMPANY AND THE TRUSTEE</w:t>
      </w:r>
    </w:p>
    <w:p>
      <w:pPr>
        <w:pStyle w:val="TextBody"/>
        <w:bidi w:val="0"/>
        <w:spacing w:lineRule="auto" w:line="288" w:before="0" w:after="240"/>
        <w:ind w:left="0" w:right="0" w:firstLine="720"/>
        <w:jc w:val="both"/>
        <w:rPr/>
      </w:pPr>
      <w:r>
        <w:rPr>
          <w:rFonts w:ascii="Times New Roman;serif" w:hAnsi="Times New Roman;serif"/>
          <w:b/>
          <w:color w:val="000000"/>
          <w:sz w:val="22"/>
        </w:rPr>
        <w:t>Section 5.01    Company to Furnish Trustee Names and Addresses of Securityholders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lineRule="auto" w:line="288" w:before="0" w:after="240"/>
        <w:ind w:left="0" w:right="0" w:firstLine="720"/>
        <w:jc w:val="both"/>
        <w:rPr/>
      </w:pPr>
      <w:r>
        <w:rPr>
          <w:rFonts w:ascii="Times New Roman;serif" w:hAnsi="Times New Roman;serif"/>
          <w:b/>
          <w:color w:val="000000"/>
          <w:sz w:val="22"/>
        </w:rPr>
        <w:t>Section 5.02    Preservation Of Information; Communications With Securityholders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5"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The Trustee may destroy any list furnished to it as provided in Section 5.01 upon receipt of a new list so furnished.</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lineRule="auto" w:line="288" w:before="0" w:after="240"/>
        <w:ind w:left="0" w:right="0" w:firstLine="720"/>
        <w:jc w:val="both"/>
        <w:rPr/>
      </w:pPr>
      <w:r>
        <w:rPr>
          <w:rFonts w:ascii="Times New Roman;serif" w:hAnsi="Times New Roman;serif"/>
          <w:b/>
          <w:color w:val="000000"/>
          <w:sz w:val="22"/>
        </w:rPr>
        <w:t>Section 5.03    Reports by the Company</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 </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pStyle w:val="TextBody"/>
        <w:bidi w:val="0"/>
        <w:spacing w:lineRule="auto" w:line="288" w:before="0" w:after="240"/>
        <w:ind w:left="0" w:right="0" w:firstLine="720"/>
        <w:jc w:val="both"/>
        <w:rPr/>
      </w:pPr>
      <w:r>
        <w:rPr>
          <w:rFonts w:ascii="Times New Roman;serif" w:hAnsi="Times New Roman;serif"/>
          <w:b/>
          <w:color w:val="000000"/>
          <w:sz w:val="22"/>
        </w:rPr>
        <w:t>Section 5.04    Reports by the Trustee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If required by Section 313(a) of the Trust Indenture Act, the Trustee, within sixty (60) days after each May 1, shall send to the Securityholders a brief report dated as of such May 1, which complies with Section 313(a) of the Trust Indenture Act.</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The Trustee shall comply with Section 313(b) and 313(c) of the Trust Indenture Act.</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6"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6</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REMEDIES OF THE TRUSTEE AND SECURITYHOLDERS ON EVENT OF DEFAULT</w:t>
      </w:r>
    </w:p>
    <w:p>
      <w:pPr>
        <w:pStyle w:val="TextBody"/>
        <w:bidi w:val="0"/>
        <w:spacing w:lineRule="auto" w:line="288" w:before="0" w:after="240"/>
        <w:ind w:left="0" w:right="0" w:firstLine="720"/>
        <w:jc w:val="both"/>
        <w:rPr/>
      </w:pPr>
      <w:r>
        <w:rPr>
          <w:rFonts w:ascii="Times New Roman;serif" w:hAnsi="Times New Roman;serif"/>
          <w:b/>
          <w:color w:val="000000"/>
          <w:sz w:val="22"/>
        </w:rPr>
        <w:t>Section 6.01    Events of Default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Whenever used herein with respect to Securities of a particular series, “Event of Default” means any one or more of the following events that has occurred and is continuing: </w:t>
      </w:r>
    </w:p>
    <w:p>
      <w:pPr>
        <w:pStyle w:val="TextBody"/>
        <w:bidi w:val="0"/>
        <w:spacing w:lineRule="auto" w:line="288" w:before="0" w:after="240"/>
        <w:ind w:left="0" w:right="0" w:firstLine="2160"/>
        <w:jc w:val="both"/>
        <w:rPr/>
      </w:pPr>
      <w:r>
        <w:rPr>
          <w:rFonts w:ascii="Times New Roman;serif" w:hAnsi="Times New Roman;serif"/>
          <w:b/>
          <w:color w:val="000000"/>
          <w:sz w:val="22"/>
        </w:rPr>
        <w:t>(1)    </w:t>
      </w:r>
      <w:r>
        <w:rPr>
          <w:rFonts w:ascii="Times New Roman;serif" w:hAnsi="Times New Roman;serif"/>
          <w:b w:val="false"/>
          <w:color w:val="000000"/>
          <w:sz w:val="22"/>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lineRule="auto" w:line="288" w:before="0" w:after="240"/>
        <w:ind w:left="0" w:right="0" w:firstLine="2160"/>
        <w:jc w:val="both"/>
        <w:rPr/>
      </w:pPr>
      <w:r>
        <w:rPr>
          <w:rFonts w:ascii="Times New Roman;serif" w:hAnsi="Times New Roman;serif"/>
          <w:b/>
          <w:color w:val="000000"/>
          <w:sz w:val="22"/>
        </w:rPr>
        <w:t>(2)    </w:t>
      </w:r>
      <w:r>
        <w:rPr>
          <w:rFonts w:ascii="Times New Roman;serif" w:hAnsi="Times New Roman;serif"/>
          <w:b w:val="false"/>
          <w:color w:val="000000"/>
          <w:sz w:val="22"/>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lineRule="auto" w:line="288" w:before="0" w:after="240"/>
        <w:ind w:left="0" w:right="0" w:firstLine="2160"/>
        <w:jc w:val="both"/>
        <w:rPr/>
      </w:pPr>
      <w:r>
        <w:rPr>
          <w:rFonts w:ascii="Times New Roman;serif" w:hAnsi="Times New Roman;serif"/>
          <w:b/>
          <w:color w:val="000000"/>
          <w:sz w:val="22"/>
        </w:rPr>
        <w:t>(3)    </w:t>
      </w:r>
      <w:r>
        <w:rPr>
          <w:rFonts w:ascii="Times New Roman;serif" w:hAnsi="Times New Roman;serif"/>
          <w:b w:val="false"/>
          <w:color w:val="000000"/>
          <w:sz w:val="22"/>
        </w:rPr>
        <w:t xml:space="preserve">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lineRule="auto" w:line="288" w:before="0" w:after="240"/>
        <w:ind w:left="0" w:right="0" w:firstLine="2160"/>
        <w:jc w:val="both"/>
        <w:rPr/>
      </w:pPr>
      <w:r>
        <w:rPr>
          <w:rFonts w:ascii="Times New Roman;serif" w:hAnsi="Times New Roman;serif"/>
          <w:b/>
          <w:color w:val="000000"/>
          <w:sz w:val="22"/>
        </w:rPr>
        <w:t>(4)    </w:t>
      </w:r>
      <w:r>
        <w:rPr>
          <w:rFonts w:ascii="Times New Roman;serif" w:hAnsi="Times New Roman;serif"/>
          <w:b w:val="false"/>
          <w:color w:val="000000"/>
          <w:sz w:val="22"/>
        </w:rPr>
        <w:t xml:space="preserve">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lineRule="auto" w:line="288" w:before="0" w:after="240"/>
        <w:ind w:left="0" w:right="0" w:firstLine="2160"/>
        <w:jc w:val="both"/>
        <w:rPr/>
      </w:pPr>
      <w:r>
        <w:rPr>
          <w:rFonts w:ascii="Times New Roman;serif" w:hAnsi="Times New Roman;serif"/>
          <w:b/>
          <w:color w:val="000000"/>
          <w:sz w:val="22"/>
        </w:rPr>
        <w:t>(5)    </w:t>
      </w:r>
      <w:r>
        <w:rPr>
          <w:rFonts w:ascii="Times New Roman;serif" w:hAnsi="Times New Roman;serif"/>
          <w:b w:val="false"/>
          <w:color w:val="000000"/>
          <w:sz w:val="22"/>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 xml:space="preserve">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7"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interest on all the Securities of that series shall automatically be immediately due and payable without any declaration or other act on the part of the Trustee or the holders of the Securities.</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such rescission and annulment shall extend to or shall affect any subsequent default or impair any right consequent thereon.</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lineRule="auto" w:line="288" w:before="0" w:after="240"/>
        <w:ind w:left="0" w:right="0" w:firstLine="720"/>
        <w:jc w:val="both"/>
        <w:rPr/>
      </w:pPr>
      <w:r>
        <w:rPr>
          <w:rFonts w:ascii="Times New Roman;serif" w:hAnsi="Times New Roman;serif"/>
          <w:b/>
          <w:color w:val="000000"/>
          <w:sz w:val="22"/>
        </w:rPr>
        <w:t>Section 6.02    Collection of Indebtedness and Suits for Enforcement by Trustee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 xml:space="preserve">If the Company shall fail to pay such amounts forthwith upon such demand, the Trustee, in its own name and as trustee of an express trust, shall be entitled and empowered to institute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8"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pStyle w:val="TextBody"/>
        <w:bidi w:val="0"/>
        <w:spacing w:lineRule="auto" w:line="288" w:before="0" w:after="240"/>
        <w:ind w:left="0" w:right="0" w:firstLine="720"/>
        <w:jc w:val="both"/>
        <w:rPr/>
      </w:pPr>
      <w:r>
        <w:rPr>
          <w:rFonts w:ascii="Times New Roman;serif" w:hAnsi="Times New Roman;serif"/>
          <w:b/>
          <w:color w:val="000000"/>
          <w:sz w:val="22"/>
        </w:rPr>
        <w:t>Section 6.03    Application of Moneys Collected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9"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FIRST: To the payment of costs and expenses of collection and of all amounts payable to the Trustee under Section 7.06;</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THIRD: To the payment of the remainder, if any, to the Company or any other Person lawfully entitled thereto.</w:t>
      </w:r>
    </w:p>
    <w:p>
      <w:pPr>
        <w:pStyle w:val="TextBody"/>
        <w:bidi w:val="0"/>
        <w:spacing w:lineRule="auto" w:line="288" w:before="0" w:after="240"/>
        <w:ind w:left="0" w:right="0" w:firstLine="720"/>
        <w:jc w:val="both"/>
        <w:rPr/>
      </w:pPr>
      <w:r>
        <w:rPr>
          <w:rFonts w:ascii="Times New Roman;serif" w:hAnsi="Times New Roman;serif"/>
          <w:b/>
          <w:color w:val="000000"/>
          <w:sz w:val="22"/>
        </w:rPr>
        <w:t>Section 6.04    Limitation on Suits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lineRule="auto" w:line="288" w:before="0" w:after="240"/>
        <w:ind w:left="0" w:right="0" w:firstLine="720"/>
        <w:jc w:val="both"/>
        <w:rPr/>
      </w:pPr>
      <w:r>
        <w:rPr>
          <w:rFonts w:ascii="Times New Roman;serif" w:hAnsi="Times New Roman;serif"/>
          <w:b/>
          <w:color w:val="000000"/>
          <w:sz w:val="22"/>
        </w:rPr>
        <w:t>Section 6.05    Rights and Remedies Cumulative; Delay or Omission Not Waiver</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0"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covenants and agreements contained in this Indenture or otherwise established with respect to such Securities.</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lineRule="auto" w:line="288" w:before="0" w:after="240"/>
        <w:ind w:left="0" w:right="0" w:firstLine="720"/>
        <w:jc w:val="both"/>
        <w:rPr/>
      </w:pPr>
      <w:r>
        <w:rPr>
          <w:rFonts w:ascii="Times New Roman;serif" w:hAnsi="Times New Roman;serif"/>
          <w:b/>
          <w:color w:val="000000"/>
          <w:sz w:val="22"/>
        </w:rPr>
        <w:t>Section 6.06    Control by Securityholders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lineRule="auto" w:line="288" w:before="0" w:after="240"/>
        <w:ind w:left="0" w:right="0" w:firstLine="720"/>
        <w:jc w:val="both"/>
        <w:rPr/>
      </w:pPr>
      <w:r>
        <w:rPr>
          <w:rFonts w:ascii="Times New Roman;serif" w:hAnsi="Times New Roman;serif"/>
          <w:b/>
          <w:color w:val="000000"/>
          <w:sz w:val="22"/>
        </w:rPr>
        <w:t>Section 6.07    Undertaking to Pay Costs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1"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7</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CONCERNING THE TRUSTEE</w:t>
      </w:r>
    </w:p>
    <w:p>
      <w:pPr>
        <w:pStyle w:val="TextBody"/>
        <w:bidi w:val="0"/>
        <w:spacing w:lineRule="auto" w:line="288" w:before="0" w:after="240"/>
        <w:ind w:left="0" w:right="0" w:firstLine="720"/>
        <w:jc w:val="both"/>
        <w:rPr/>
      </w:pPr>
      <w:r>
        <w:rPr>
          <w:rFonts w:ascii="Times New Roman;serif" w:hAnsi="Times New Roman;serif"/>
          <w:b/>
          <w:color w:val="000000"/>
          <w:sz w:val="22"/>
        </w:rPr>
        <w:t>Section 7.01    Certain Duties and Responsibilities of Trustee</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 xml:space="preserve">No provision of this Indenture shall be construed to relieve the Trustee from liability for its own negligent action, its own negligent failure to act, or its own willful misconduct, except that: </w:t>
      </w:r>
    </w:p>
    <w:p>
      <w:pPr>
        <w:pStyle w:val="TextBody"/>
        <w:bidi w:val="0"/>
        <w:spacing w:lineRule="auto" w:line="288" w:before="0" w:after="240"/>
        <w:ind w:left="0" w:right="0" w:firstLine="1440"/>
        <w:jc w:val="both"/>
        <w:rPr/>
      </w:pPr>
      <w:r>
        <w:rPr>
          <w:rFonts w:ascii="Times New Roman;serif" w:hAnsi="Times New Roman;serif"/>
          <w:b/>
          <w:color w:val="000000"/>
          <w:sz w:val="22"/>
        </w:rPr>
        <w:t>(i)    </w:t>
      </w:r>
      <w:r>
        <w:rPr>
          <w:rFonts w:ascii="Times New Roman;serif" w:hAnsi="Times New Roman;serif"/>
          <w:b w:val="false"/>
          <w:color w:val="000000"/>
          <w:sz w:val="22"/>
        </w:rPr>
        <w:t xml:space="preserve">prior to the occurrence of an Event of Default with respect to the Securities of a series and after the curing or waiving of all such Events of Default with respect to that series that may have occurred: </w:t>
      </w:r>
    </w:p>
    <w:p>
      <w:pPr>
        <w:pStyle w:val="TextBody"/>
        <w:bidi w:val="0"/>
        <w:spacing w:lineRule="auto" w:line="288" w:before="0" w:after="240"/>
        <w:ind w:left="0" w:right="0" w:firstLine="2160"/>
        <w:jc w:val="both"/>
        <w:rPr/>
      </w:pPr>
      <w:r>
        <w:rPr>
          <w:rFonts w:ascii="Times New Roman;serif" w:hAnsi="Times New Roman;serif"/>
          <w:b/>
          <w:color w:val="000000"/>
          <w:sz w:val="22"/>
        </w:rPr>
        <w:t>(A)    </w:t>
      </w:r>
      <w:r>
        <w:rPr>
          <w:rFonts w:ascii="Times New Roman;serif" w:hAnsi="Times New Roman;serif"/>
          <w:b w:val="false"/>
          <w:color w:val="000000"/>
          <w:sz w:val="22"/>
        </w:rPr>
        <w:t xml:space="preserve">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lineRule="auto" w:line="288" w:before="0" w:after="240"/>
        <w:ind w:left="0" w:right="0" w:firstLine="2160"/>
        <w:jc w:val="both"/>
        <w:rPr/>
      </w:pPr>
      <w:r>
        <w:rPr>
          <w:rFonts w:ascii="Times New Roman;serif" w:hAnsi="Times New Roman;serif"/>
          <w:b/>
          <w:color w:val="000000"/>
          <w:sz w:val="22"/>
        </w:rPr>
        <w:t>(B)    </w:t>
      </w:r>
      <w:r>
        <w:rPr>
          <w:rFonts w:ascii="Times New Roman;serif" w:hAnsi="Times New Roman;serif"/>
          <w:b w:val="false"/>
          <w:color w:val="000000"/>
          <w:sz w:val="22"/>
        </w:rPr>
        <w:t xml:space="preserve">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lineRule="auto" w:line="288" w:before="0" w:after="240"/>
        <w:ind w:left="0" w:right="0" w:firstLine="1440"/>
        <w:jc w:val="both"/>
        <w:rPr/>
      </w:pPr>
      <w:r>
        <w:rPr>
          <w:rFonts w:ascii="Times New Roman;serif" w:hAnsi="Times New Roman;serif"/>
          <w:b/>
          <w:color w:val="000000"/>
          <w:sz w:val="22"/>
        </w:rPr>
        <w:t>(ii)    </w:t>
      </w:r>
      <w:r>
        <w:rPr>
          <w:rFonts w:ascii="Times New Roman;serif" w:hAnsi="Times New Roman;serif"/>
          <w:b w:val="false"/>
          <w:color w:val="000000"/>
          <w:sz w:val="22"/>
        </w:rPr>
        <w:t xml:space="preserve">the Trustee shall not be liable to any Securityholder or to any other Person for any error of judgment made in good faith by a Responsible Officer or Responsible Officers of the Trustee, unless it shall be proved that the Trustee was negligent in ascertaining the pertinent facts; </w:t>
      </w:r>
    </w:p>
    <w:p>
      <w:pPr>
        <w:pStyle w:val="TextBody"/>
        <w:bidi w:val="0"/>
        <w:spacing w:lineRule="auto" w:line="288" w:before="0" w:after="240"/>
        <w:ind w:left="0" w:right="0" w:firstLine="1440"/>
        <w:jc w:val="both"/>
        <w:rPr/>
      </w:pPr>
      <w:r>
        <w:rPr>
          <w:rFonts w:ascii="Times New Roman;serif" w:hAnsi="Times New Roman;serif"/>
          <w:b/>
          <w:color w:val="000000"/>
          <w:sz w:val="22"/>
        </w:rPr>
        <w:t>(iii)    </w:t>
      </w:r>
      <w:r>
        <w:rPr>
          <w:rFonts w:ascii="Times New Roman;serif" w:hAnsi="Times New Roman;serif"/>
          <w:b w:val="false"/>
          <w:color w:val="000000"/>
          <w:sz w:val="22"/>
        </w:rPr>
        <w:t xml:space="preserve">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w:t>
      </w:r>
    </w:p>
    <w:p>
      <w:pPr>
        <w:pStyle w:val="TextBody"/>
        <w:bidi w:val="0"/>
        <w:spacing w:lineRule="auto" w:line="288" w:before="0" w:after="240"/>
        <w:ind w:left="0" w:right="0" w:firstLine="1440"/>
        <w:jc w:val="both"/>
        <w:rPr/>
      </w:pPr>
      <w:r>
        <w:rPr>
          <w:rFonts w:ascii="Times New Roman;serif" w:hAnsi="Times New Roman;serif"/>
          <w:b/>
          <w:color w:val="000000"/>
          <w:sz w:val="22"/>
        </w:rPr>
        <w:t>(iv)    </w:t>
      </w:r>
      <w:r>
        <w:rPr>
          <w:rFonts w:ascii="Times New Roman;serif" w:hAnsi="Times New Roman;serif"/>
          <w:b w:val="false"/>
          <w:color w:val="000000"/>
          <w:sz w:val="22"/>
        </w:rPr>
        <w:t xml:space="preserve">none of the provisions contained in this Indenture shall require the Trustee to expend or risk its own funds or otherwise incur personal financial liability in the performance of any of its </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2"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lineRule="auto" w:line="288" w:before="0" w:after="240"/>
        <w:ind w:left="0" w:right="0" w:firstLine="1440"/>
        <w:jc w:val="both"/>
        <w:rPr/>
      </w:pPr>
      <w:r>
        <w:rPr>
          <w:rFonts w:ascii="Times New Roman;serif" w:hAnsi="Times New Roman;serif"/>
          <w:b/>
          <w:color w:val="000000"/>
          <w:sz w:val="22"/>
        </w:rPr>
        <w:t>(v)    </w:t>
      </w:r>
      <w:r>
        <w:rPr>
          <w:rFonts w:ascii="Times New Roman;serif" w:hAnsi="Times New Roman;serif"/>
          <w:b w:val="false"/>
          <w:color w:val="000000"/>
          <w:sz w:val="22"/>
        </w:rPr>
        <w:t>The Trustee shall not be required to give any bond or surety in respect of the performance of its powers or duties hereunder;</w:t>
      </w:r>
    </w:p>
    <w:p>
      <w:pPr>
        <w:pStyle w:val="TextBody"/>
        <w:bidi w:val="0"/>
        <w:spacing w:lineRule="auto" w:line="288" w:before="0" w:after="240"/>
        <w:ind w:left="0" w:right="0" w:firstLine="1440"/>
        <w:jc w:val="both"/>
        <w:rPr/>
      </w:pPr>
      <w:r>
        <w:rPr>
          <w:rFonts w:ascii="Times New Roman;serif" w:hAnsi="Times New Roman;serif"/>
          <w:b/>
          <w:color w:val="000000"/>
          <w:sz w:val="22"/>
        </w:rPr>
        <w:t>(vi)    </w:t>
      </w:r>
      <w:r>
        <w:rPr>
          <w:rFonts w:ascii="Times New Roman;serif" w:hAnsi="Times New Roman;serif"/>
          <w:b w:val="false"/>
          <w:color w:val="000000"/>
          <w:sz w:val="22"/>
        </w:rPr>
        <w:t>The permissive right of the Trustee to do things enumerated in this Indenture shall not be construed as a duty of the Trustee; and</w:t>
      </w:r>
    </w:p>
    <w:p>
      <w:pPr>
        <w:pStyle w:val="TextBody"/>
        <w:bidi w:val="0"/>
        <w:spacing w:lineRule="auto" w:line="288" w:before="0" w:after="240"/>
        <w:ind w:left="0" w:right="0" w:firstLine="1440"/>
        <w:jc w:val="both"/>
        <w:rPr/>
      </w:pPr>
      <w:r>
        <w:rPr>
          <w:rFonts w:ascii="Times New Roman;serif" w:hAnsi="Times New Roman;serif"/>
          <w:b/>
          <w:color w:val="000000"/>
          <w:sz w:val="22"/>
        </w:rPr>
        <w:t>(vii)    </w:t>
      </w:r>
      <w:r>
        <w:rPr>
          <w:rFonts w:ascii="Times New Roman;serif" w:hAnsi="Times New Roman;serif"/>
          <w:b w:val="false"/>
          <w:color w:val="000000"/>
          <w:sz w:val="22"/>
        </w:rPr>
        <w:t>No Trustee shall have any duty or responsibility for any act or omission of any other Trustee appointed with respect to a series of Securities hereunder.</w:t>
      </w:r>
    </w:p>
    <w:p>
      <w:pPr>
        <w:pStyle w:val="TextBody"/>
        <w:bidi w:val="0"/>
        <w:spacing w:lineRule="auto" w:line="288" w:before="0" w:after="240"/>
        <w:ind w:left="0" w:right="0" w:firstLine="720"/>
        <w:jc w:val="both"/>
        <w:rPr/>
      </w:pPr>
      <w:r>
        <w:rPr>
          <w:rFonts w:ascii="Times New Roman;serif" w:hAnsi="Times New Roman;serif"/>
          <w:b/>
          <w:color w:val="000000"/>
          <w:sz w:val="22"/>
        </w:rPr>
        <w:t>Section 7.02    Certain Rights of Trustee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Except as otherwise provided in Section 7.01: </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 xml:space="preserve">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 xml:space="preserve">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 xml:space="preserve">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 </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 xml:space="preserve">The Trustee shall not be liable for any action taken or omitted to be taken by it in good faith and believed by it to be authorized or within the discretion or rights or powers conferred upon it by this Indenture; </w:t>
      </w:r>
    </w:p>
    <w:p>
      <w:pPr>
        <w:pStyle w:val="TextBody"/>
        <w:bidi w:val="0"/>
        <w:spacing w:lineRule="auto" w:line="288" w:before="0" w:after="240"/>
        <w:ind w:left="0" w:right="0" w:firstLine="1440"/>
        <w:jc w:val="both"/>
        <w:rPr/>
      </w:pPr>
      <w:r>
        <w:rPr>
          <w:rFonts w:ascii="Times New Roman;serif" w:hAnsi="Times New Roman;serif"/>
          <w:b/>
          <w:color w:val="000000"/>
          <w:sz w:val="22"/>
        </w:rPr>
        <w:t>(f)    </w:t>
      </w:r>
      <w:r>
        <w:rPr>
          <w:rFonts w:ascii="Times New Roman;serif" w:hAnsi="Times New Roman;serif"/>
          <w:b w:val="false"/>
          <w:color w:val="000000"/>
          <w:sz w:val="22"/>
        </w:rPr>
        <w:t xml:space="preserve">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3"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lineRule="auto" w:line="288" w:before="0" w:after="240"/>
        <w:ind w:left="0" w:right="0" w:firstLine="1440"/>
        <w:jc w:val="both"/>
        <w:rPr/>
      </w:pPr>
      <w:r>
        <w:rPr>
          <w:rFonts w:ascii="Times New Roman;serif" w:hAnsi="Times New Roman;serif"/>
          <w:b/>
          <w:color w:val="000000"/>
          <w:sz w:val="22"/>
        </w:rPr>
        <w:t>(g)</w:t>
      </w:r>
      <w:r>
        <w:rPr>
          <w:color w:val="000000"/>
        </w:rPr>
        <w:t>    </w:t>
      </w:r>
      <w:r>
        <w:rPr>
          <w:rFonts w:ascii="Times New Roman;serif" w:hAnsi="Times New Roman;serif"/>
          <w:b w:val="false"/>
          <w:color w:val="000000"/>
          <w:sz w:val="22"/>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lineRule="auto" w:line="288" w:before="0" w:after="240"/>
        <w:ind w:left="0" w:right="0" w:firstLine="1440"/>
        <w:jc w:val="both"/>
        <w:rPr/>
      </w:pPr>
      <w:r>
        <w:rPr>
          <w:rFonts w:ascii="Times New Roman;serif" w:hAnsi="Times New Roman;serif"/>
          <w:b/>
          <w:color w:val="000000"/>
          <w:sz w:val="22"/>
        </w:rPr>
        <w:t>(h)    </w:t>
      </w:r>
      <w:r>
        <w:rPr>
          <w:rFonts w:ascii="Times New Roman;serif" w:hAnsi="Times New Roman;serif"/>
          <w:b w:val="false"/>
          <w:color w:val="000000"/>
          <w:sz w:val="22"/>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lineRule="auto" w:line="288" w:before="0" w:after="240"/>
        <w:ind w:left="0" w:right="0" w:firstLine="1440"/>
        <w:jc w:val="both"/>
        <w:rPr/>
      </w:pPr>
      <w:r>
        <w:rPr>
          <w:rFonts w:ascii="Times New Roman;serif" w:hAnsi="Times New Roman;serif"/>
          <w:b/>
          <w:color w:val="000000"/>
          <w:sz w:val="22"/>
        </w:rPr>
        <w:t>(i)    </w:t>
      </w:r>
      <w:r>
        <w:rPr>
          <w:rFonts w:ascii="Times New Roman;serif" w:hAnsi="Times New Roman;serif"/>
          <w:b w:val="false"/>
          <w:color w:val="000000"/>
          <w:sz w:val="22"/>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pStyle w:val="TextBody"/>
        <w:bidi w:val="0"/>
        <w:spacing w:lineRule="auto" w:line="288" w:before="0" w:after="240"/>
        <w:ind w:left="0" w:right="0" w:firstLine="1440"/>
        <w:jc w:val="both"/>
        <w:rPr/>
      </w:pPr>
      <w:r>
        <w:rPr>
          <w:rFonts w:ascii="Times New Roman;serif" w:hAnsi="Times New Roman;serif"/>
          <w:b/>
          <w:color w:val="000000"/>
          <w:sz w:val="22"/>
        </w:rPr>
        <w:t>(j)    </w:t>
      </w:r>
      <w:r>
        <w:rPr>
          <w:rFonts w:ascii="Times New Roman;serif" w:hAnsi="Times New Roman;serif"/>
          <w:b w:val="false"/>
          <w:color w:val="000000"/>
          <w:sz w:val="22"/>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pStyle w:val="TextBody"/>
        <w:bidi w:val="0"/>
        <w:spacing w:lineRule="auto" w:line="288" w:before="0" w:after="240"/>
        <w:ind w:left="0" w:right="0" w:firstLine="1440"/>
        <w:jc w:val="both"/>
        <w:rPr/>
      </w:pPr>
      <w:r>
        <w:rPr>
          <w:rFonts w:ascii="Times New Roman;serif" w:hAnsi="Times New Roman;serif"/>
          <w:b/>
          <w:color w:val="000000"/>
          <w:sz w:val="22"/>
        </w:rPr>
        <w:t>(k)    </w:t>
      </w:r>
      <w:r>
        <w:rPr>
          <w:rFonts w:ascii="Times New Roman;serif" w:hAnsi="Times New Roman;serif"/>
          <w:b w:val="false"/>
          <w:color w:val="000000"/>
          <w:sz w:val="22"/>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pStyle w:val="TextBody"/>
        <w:bidi w:val="0"/>
        <w:spacing w:lineRule="auto" w:line="288" w:before="0" w:after="240"/>
        <w:ind w:left="0" w:right="0" w:firstLine="1440"/>
        <w:jc w:val="both"/>
        <w:rPr/>
      </w:pPr>
      <w:r>
        <w:rPr>
          <w:rFonts w:ascii="Times New Roman;serif" w:hAnsi="Times New Roman;serif"/>
          <w:b/>
          <w:color w:val="000000"/>
          <w:sz w:val="22"/>
        </w:rPr>
        <w:t>(l)    </w:t>
      </w:r>
      <w:r>
        <w:rPr>
          <w:rFonts w:ascii="Times New Roman;serif" w:hAnsi="Times New Roman;serif"/>
          <w:b w:val="false"/>
          <w:color w:val="000000"/>
          <w:sz w:val="22"/>
        </w:rPr>
        <w:t xml:space="preserve">The Trustee shall not be deemed to have knowledge of any Default or Event of Default (other than an Event of Default constituting the failure to pay the interest on, or the principal of,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4"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Securities if the Trustee also serves as the paying agent for such Securities) until the Trustee shall have received written notification in the manner set forth in this Indenture or a Responsible Officer of the Trustee shall have obtained actual knowledge. </w:t>
      </w:r>
    </w:p>
    <w:p>
      <w:pPr>
        <w:pStyle w:val="TextBody"/>
        <w:bidi w:val="0"/>
        <w:spacing w:lineRule="auto" w:line="288" w:before="0" w:after="240"/>
        <w:ind w:left="0" w:right="0" w:firstLine="720"/>
        <w:jc w:val="both"/>
        <w:rPr/>
      </w:pPr>
      <w:r>
        <w:rPr>
          <w:rFonts w:ascii="Times New Roman;serif" w:hAnsi="Times New Roman;serif"/>
          <w:b/>
          <w:color w:val="000000"/>
          <w:sz w:val="22"/>
        </w:rPr>
        <w:t>Section 7.03    Trustee Not Responsible for Recitals or Issuance or Securities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 xml:space="preserve">The Trustee makes no representations as to the validity or sufficiency of this Indenture or of the Securities. </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lineRule="auto" w:line="288" w:before="0" w:after="240"/>
        <w:ind w:left="0" w:right="0" w:firstLine="720"/>
        <w:jc w:val="both"/>
        <w:rPr/>
      </w:pPr>
      <w:r>
        <w:rPr>
          <w:rFonts w:ascii="Times New Roman;serif" w:hAnsi="Times New Roman;serif"/>
          <w:b/>
          <w:color w:val="000000"/>
          <w:sz w:val="22"/>
        </w:rPr>
        <w:t>Section 7.04    May Hold Securities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lineRule="auto" w:line="288" w:before="0" w:after="240"/>
        <w:ind w:left="0" w:right="0" w:firstLine="720"/>
        <w:jc w:val="both"/>
        <w:rPr/>
      </w:pPr>
      <w:r>
        <w:rPr>
          <w:rFonts w:ascii="Times New Roman;serif" w:hAnsi="Times New Roman;serif"/>
          <w:b/>
          <w:color w:val="000000"/>
          <w:sz w:val="22"/>
        </w:rPr>
        <w:t>Section 7.05    Moneys Held in Trust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lineRule="auto" w:line="288" w:before="0" w:after="240"/>
        <w:ind w:left="0" w:right="0" w:firstLine="720"/>
        <w:jc w:val="both"/>
        <w:rPr/>
      </w:pPr>
      <w:r>
        <w:rPr>
          <w:rFonts w:ascii="Times New Roman;serif" w:hAnsi="Times New Roman;serif"/>
          <w:b/>
          <w:color w:val="000000"/>
          <w:sz w:val="22"/>
        </w:rPr>
        <w:t>Section 7.06    Compensation and Reimbursement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 xml:space="preserve">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5"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The Company need not reimburse any expense or indemnify against any loss or liability incurred by the Trustee or by any officer, director, employee, shareholder or agent of the Trustee through negligence or bad faith.</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pStyle w:val="TextBody"/>
        <w:bidi w:val="0"/>
        <w:spacing w:lineRule="auto" w:line="288" w:before="0" w:after="240"/>
        <w:ind w:left="0" w:right="0" w:firstLine="720"/>
        <w:jc w:val="both"/>
        <w:rPr/>
      </w:pPr>
      <w:r>
        <w:rPr>
          <w:rFonts w:ascii="Times New Roman;serif" w:hAnsi="Times New Roman;serif"/>
          <w:b/>
          <w:color w:val="000000"/>
          <w:sz w:val="22"/>
        </w:rPr>
        <w:t>Section 7.07    Reliance on Officer’s Certificate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lineRule="auto" w:line="288" w:before="0" w:after="240"/>
        <w:ind w:left="0" w:right="0" w:firstLine="720"/>
        <w:jc w:val="both"/>
        <w:rPr/>
      </w:pPr>
      <w:r>
        <w:rPr>
          <w:rFonts w:ascii="Times New Roman;serif" w:hAnsi="Times New Roman;serif"/>
          <w:b/>
          <w:color w:val="000000"/>
          <w:sz w:val="22"/>
        </w:rPr>
        <w:t>Section 7.08    Disqualification; Conflicting Interests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lineRule="auto" w:line="288" w:before="0" w:after="240"/>
        <w:ind w:left="0" w:right="0" w:firstLine="720"/>
        <w:jc w:val="left"/>
        <w:rPr/>
      </w:pPr>
      <w:r>
        <w:rPr>
          <w:rFonts w:ascii="Times New Roman;serif" w:hAnsi="Times New Roman;serif"/>
          <w:b/>
          <w:color w:val="000000"/>
          <w:sz w:val="22"/>
        </w:rPr>
        <w:t>Section 7.09    Corporate Trustee Required; Eligibility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6"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accordance with the provisions of this Section, the Trustee shall resign immediately in the manner and with the effect specified in Section 7.10.</w:t>
      </w:r>
    </w:p>
    <w:p>
      <w:pPr>
        <w:pStyle w:val="TextBody"/>
        <w:bidi w:val="0"/>
        <w:spacing w:lineRule="auto" w:line="288" w:before="0" w:after="240"/>
        <w:ind w:left="0" w:right="0" w:firstLine="720"/>
        <w:jc w:val="both"/>
        <w:rPr/>
      </w:pPr>
      <w:r>
        <w:rPr>
          <w:rFonts w:ascii="Times New Roman;serif" w:hAnsi="Times New Roman;serif"/>
          <w:b/>
          <w:color w:val="000000"/>
          <w:sz w:val="22"/>
        </w:rPr>
        <w:t>Section 7.10    Resignation and Removal; Appointment of Successor</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 xml:space="preserve">In case at any time any one of the following shall occur: </w:t>
      </w:r>
    </w:p>
    <w:p>
      <w:pPr>
        <w:pStyle w:val="TextBody"/>
        <w:bidi w:val="0"/>
        <w:spacing w:lineRule="auto" w:line="288" w:before="0" w:after="240"/>
        <w:ind w:left="0" w:right="0" w:firstLine="2160"/>
        <w:jc w:val="both"/>
        <w:rPr/>
      </w:pPr>
      <w:r>
        <w:rPr>
          <w:rFonts w:ascii="Times New Roman;serif" w:hAnsi="Times New Roman;serif"/>
          <w:b/>
          <w:color w:val="000000"/>
          <w:sz w:val="22"/>
        </w:rPr>
        <w:t>(i)    </w:t>
      </w:r>
      <w:r>
        <w:rPr>
          <w:rFonts w:ascii="Times New Roman;serif" w:hAnsi="Times New Roman;serif"/>
          <w:b w:val="false"/>
          <w:color w:val="000000"/>
          <w:sz w:val="22"/>
        </w:rPr>
        <w:t xml:space="preserve">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lineRule="auto" w:line="288" w:before="0" w:after="240"/>
        <w:ind w:left="0" w:right="0" w:firstLine="2160"/>
        <w:jc w:val="both"/>
        <w:rPr/>
      </w:pPr>
      <w:r>
        <w:rPr>
          <w:rFonts w:ascii="Times New Roman;serif" w:hAnsi="Times New Roman;serif"/>
          <w:b/>
          <w:color w:val="000000"/>
          <w:sz w:val="22"/>
        </w:rPr>
        <w:t>(ii)    </w:t>
      </w:r>
      <w:r>
        <w:rPr>
          <w:rFonts w:ascii="Times New Roman;serif" w:hAnsi="Times New Roman;serif"/>
          <w:b w:val="false"/>
          <w:color w:val="000000"/>
          <w:sz w:val="22"/>
        </w:rPr>
        <w:t xml:space="preserve">the Trustee shall cease to be eligible in accordance with the provisions of Section 7.09 and shall fail to resign after written request therefor by the Company or by any such Securityholder; or </w:t>
      </w:r>
    </w:p>
    <w:p>
      <w:pPr>
        <w:pStyle w:val="TextBody"/>
        <w:bidi w:val="0"/>
        <w:spacing w:lineRule="auto" w:line="288" w:before="0" w:after="240"/>
        <w:ind w:left="0" w:right="0" w:firstLine="2160"/>
        <w:jc w:val="both"/>
        <w:rPr/>
      </w:pPr>
      <w:r>
        <w:rPr>
          <w:rFonts w:ascii="Times New Roman;serif" w:hAnsi="Times New Roman;serif"/>
          <w:b/>
          <w:color w:val="000000"/>
          <w:sz w:val="22"/>
        </w:rPr>
        <w:t>(iii)    </w:t>
      </w:r>
      <w:r>
        <w:rPr>
          <w:rFonts w:ascii="Times New Roman;serif" w:hAnsi="Times New Roman;serif"/>
          <w:b w:val="false"/>
          <w:color w:val="000000"/>
          <w:sz w:val="22"/>
        </w:rPr>
        <w:t xml:space="preserve">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7"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lineRule="auto" w:line="288" w:before="0" w:after="240"/>
        <w:ind w:left="0" w:right="0" w:firstLine="720"/>
        <w:jc w:val="both"/>
        <w:rPr/>
      </w:pPr>
      <w:r>
        <w:rPr>
          <w:rFonts w:ascii="Times New Roman;serif" w:hAnsi="Times New Roman;serif"/>
          <w:b/>
          <w:color w:val="000000"/>
          <w:sz w:val="22"/>
        </w:rPr>
        <w:t>Section 7.11    Acceptance of Appointment By Successor</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8"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No successor trustee shall accept its appointment unless at the time of such acceptance such successor trustee shall be qualified and eligible under this Article.</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pStyle w:val="TextBody"/>
        <w:bidi w:val="0"/>
        <w:spacing w:lineRule="auto" w:line="288" w:before="0" w:after="240"/>
        <w:ind w:left="0" w:right="0" w:firstLine="720"/>
        <w:jc w:val="both"/>
        <w:rPr/>
      </w:pPr>
      <w:r>
        <w:rPr>
          <w:rFonts w:ascii="Times New Roman;serif" w:hAnsi="Times New Roman;serif"/>
          <w:b/>
          <w:color w:val="000000"/>
          <w:sz w:val="22"/>
        </w:rPr>
        <w:t>Section 7.12    Merger, Conversion, Consolidation or Succession to Business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lineRule="auto" w:line="288" w:before="0" w:after="240"/>
        <w:ind w:left="0" w:right="0" w:firstLine="720"/>
        <w:jc w:val="both"/>
        <w:rPr/>
      </w:pPr>
      <w:r>
        <w:rPr>
          <w:rFonts w:ascii="Times New Roman;serif" w:hAnsi="Times New Roman;serif"/>
          <w:b/>
          <w:color w:val="000000"/>
          <w:sz w:val="22"/>
        </w:rPr>
        <w:t>Section 7.13    Preferential Collection of Claims Against the Company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lineRule="auto" w:line="288" w:before="0" w:after="240"/>
        <w:ind w:left="0" w:right="0" w:firstLine="720"/>
        <w:jc w:val="both"/>
        <w:rPr/>
      </w:pPr>
      <w:r>
        <w:rPr>
          <w:rFonts w:ascii="Times New Roman;serif" w:hAnsi="Times New Roman;serif"/>
          <w:b/>
          <w:color w:val="000000"/>
          <w:sz w:val="22"/>
        </w:rPr>
        <w:t>Section 7.14    Notice of Default</w:t>
      </w:r>
      <w:r>
        <w:rPr>
          <w:rFonts w:ascii="Times New Roman;serif" w:hAnsi="Times New Roman;serif"/>
          <w:b w:val="false"/>
          <w:color w:val="000000"/>
          <w:sz w:val="22"/>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serif" w:hAnsi="Times New Roman;serif"/>
          <w:b w:val="false"/>
          <w:i/>
          <w:color w:val="000000"/>
          <w:sz w:val="22"/>
        </w:rPr>
        <w:t>provided, however</w:t>
      </w:r>
      <w:r>
        <w:rPr>
          <w:rFonts w:ascii="Times New Roman;serif" w:hAnsi="Times New Roman;serif"/>
          <w:b w:val="false"/>
          <w:color w:val="000000"/>
          <w:sz w:val="22"/>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8</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CONCERNING THE SECURITYHOLDERS</w:t>
      </w:r>
    </w:p>
    <w:p>
      <w:pPr>
        <w:pStyle w:val="TextBody"/>
        <w:bidi w:val="0"/>
        <w:spacing w:lineRule="auto" w:line="288" w:before="0" w:after="240"/>
        <w:ind w:left="0" w:right="0" w:firstLine="720"/>
        <w:jc w:val="both"/>
        <w:rPr/>
      </w:pPr>
      <w:r>
        <w:rPr>
          <w:rFonts w:ascii="Times New Roman;serif" w:hAnsi="Times New Roman;serif"/>
          <w:b/>
          <w:color w:val="000000"/>
          <w:sz w:val="22"/>
        </w:rPr>
        <w:t>Section 8.01    Evidence of Action by Securityholders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9"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lineRule="auto" w:line="288" w:before="0" w:after="240"/>
        <w:ind w:left="0" w:right="0" w:firstLine="720"/>
        <w:jc w:val="both"/>
        <w:rPr/>
      </w:pPr>
      <w:r>
        <w:rPr>
          <w:rFonts w:ascii="Times New Roman;serif" w:hAnsi="Times New Roman;serif"/>
          <w:b/>
          <w:color w:val="000000"/>
          <w:sz w:val="22"/>
        </w:rPr>
        <w:t>Section 8.02    Proof of Execution by Securityholders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The fact and date of the execution by any such Person of any instrument may be proved in any reasonable manner acceptable to the Trustee. </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The ownership of Securities shall be proved by the Security Register of such Securities or by a certificate of the Security Registrar thereof.</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Trustee may require such additional proof of any matter referred to in this Section as it shall deem necessary.</w:t>
      </w:r>
    </w:p>
    <w:p>
      <w:pPr>
        <w:pStyle w:val="TextBody"/>
        <w:bidi w:val="0"/>
        <w:spacing w:lineRule="auto" w:line="288" w:before="0" w:after="240"/>
        <w:ind w:left="0" w:right="0" w:firstLine="720"/>
        <w:jc w:val="both"/>
        <w:rPr/>
      </w:pPr>
      <w:r>
        <w:rPr>
          <w:rFonts w:ascii="Times New Roman;serif" w:hAnsi="Times New Roman;serif"/>
          <w:b/>
          <w:color w:val="000000"/>
          <w:sz w:val="22"/>
        </w:rPr>
        <w:t>Section 8.03    Who May be Deemed Owners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lineRule="auto" w:line="288" w:before="0" w:after="240"/>
        <w:ind w:left="0" w:right="0" w:firstLine="720"/>
        <w:jc w:val="both"/>
        <w:rPr/>
      </w:pPr>
      <w:r>
        <w:rPr>
          <w:rFonts w:ascii="Times New Roman;serif" w:hAnsi="Times New Roman;serif"/>
          <w:b/>
          <w:color w:val="000000"/>
          <w:sz w:val="22"/>
        </w:rPr>
        <w:t>Section 8.04    Certain Securities Owned by Company Disregarded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0"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lineRule="auto" w:line="288" w:before="0" w:after="240"/>
        <w:ind w:left="0" w:right="0" w:firstLine="720"/>
        <w:jc w:val="both"/>
        <w:rPr/>
      </w:pPr>
      <w:r>
        <w:rPr>
          <w:rFonts w:ascii="Times New Roman;serif" w:hAnsi="Times New Roman;serif"/>
          <w:b/>
          <w:color w:val="000000"/>
          <w:sz w:val="22"/>
        </w:rPr>
        <w:t>Section 8.05    Actions Binding on Future Securityholders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9</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SUPPLEMENTAL INDENTURES</w:t>
      </w:r>
    </w:p>
    <w:p>
      <w:pPr>
        <w:pStyle w:val="TextBody"/>
        <w:bidi w:val="0"/>
        <w:spacing w:lineRule="auto" w:line="288" w:before="0" w:after="240"/>
        <w:ind w:left="0" w:right="0" w:firstLine="720"/>
        <w:jc w:val="both"/>
        <w:rPr/>
      </w:pPr>
      <w:r>
        <w:rPr>
          <w:rFonts w:ascii="Times New Roman;serif" w:hAnsi="Times New Roman;serif"/>
          <w:b/>
          <w:color w:val="000000"/>
          <w:sz w:val="22"/>
        </w:rPr>
        <w:t>Section 9.01    Supplemental Indentures Without the Consent of Securityholders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to cure any ambiguity, defect, or inconsistency herein or in the Securities of any series; </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 xml:space="preserve">to comply with Article Ten; </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 xml:space="preserve">to provide for uncertificated Securities in addition to or in place of certificated Securities; </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 xml:space="preserve">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1"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 xml:space="preserve">to add to, delete from, or revise the conditions, limitations, and restrictions on the authorized amount, terms, or purposes of issue, authentication, and delivery of Securities, as herein set forth; </w:t>
      </w:r>
    </w:p>
    <w:p>
      <w:pPr>
        <w:pStyle w:val="TextBody"/>
        <w:bidi w:val="0"/>
        <w:spacing w:lineRule="auto" w:line="288" w:before="0" w:after="240"/>
        <w:ind w:left="0" w:right="0" w:firstLine="1440"/>
        <w:jc w:val="both"/>
        <w:rPr/>
      </w:pPr>
      <w:r>
        <w:rPr>
          <w:rFonts w:ascii="Times New Roman;serif" w:hAnsi="Times New Roman;serif"/>
          <w:b/>
          <w:color w:val="000000"/>
          <w:sz w:val="22"/>
        </w:rPr>
        <w:t>(f)    </w:t>
      </w:r>
      <w:r>
        <w:rPr>
          <w:rFonts w:ascii="Times New Roman;serif" w:hAnsi="Times New Roman;serif"/>
          <w:b w:val="false"/>
          <w:color w:val="000000"/>
          <w:sz w:val="22"/>
        </w:rPr>
        <w:t xml:space="preserve">to make any change that does not adversely affect the rights of any Securityholder in any material respect; </w:t>
      </w:r>
    </w:p>
    <w:p>
      <w:pPr>
        <w:pStyle w:val="TextBody"/>
        <w:bidi w:val="0"/>
        <w:spacing w:lineRule="auto" w:line="288" w:before="0" w:after="240"/>
        <w:ind w:left="0" w:right="0" w:firstLine="1440"/>
        <w:jc w:val="both"/>
        <w:rPr/>
      </w:pPr>
      <w:r>
        <w:rPr>
          <w:rFonts w:ascii="Times New Roman;serif" w:hAnsi="Times New Roman;serif"/>
          <w:b/>
          <w:color w:val="000000"/>
          <w:sz w:val="22"/>
        </w:rPr>
        <w:t>(g)    </w:t>
      </w:r>
      <w:r>
        <w:rPr>
          <w:rFonts w:ascii="Times New Roman;serif" w:hAnsi="Times New Roman;serif"/>
          <w:b w:val="false"/>
          <w:color w:val="000000"/>
          <w:sz w:val="22"/>
        </w:rPr>
        <w:t xml:space="preserve">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lineRule="auto" w:line="288" w:before="0" w:after="240"/>
        <w:ind w:left="0" w:right="0" w:firstLine="1440"/>
        <w:jc w:val="both"/>
        <w:rPr/>
      </w:pPr>
      <w:r>
        <w:rPr>
          <w:rFonts w:ascii="Times New Roman;serif" w:hAnsi="Times New Roman;serif"/>
          <w:b/>
          <w:color w:val="000000"/>
          <w:sz w:val="22"/>
        </w:rPr>
        <w:t>(h)    </w:t>
      </w:r>
      <w:r>
        <w:rPr>
          <w:rFonts w:ascii="Times New Roman;serif" w:hAnsi="Times New Roman;serif"/>
          <w:b w:val="false"/>
          <w:color w:val="000000"/>
          <w:sz w:val="22"/>
        </w:rPr>
        <w:t xml:space="preserve">to evidence and provide for the acceptance of appointment hereunder by a successor trustee; or </w:t>
      </w:r>
    </w:p>
    <w:p>
      <w:pPr>
        <w:pStyle w:val="TextBody"/>
        <w:bidi w:val="0"/>
        <w:spacing w:lineRule="auto" w:line="288" w:before="0" w:after="240"/>
        <w:ind w:left="0" w:right="0" w:firstLine="1440"/>
        <w:jc w:val="both"/>
        <w:rPr/>
      </w:pPr>
      <w:r>
        <w:rPr>
          <w:rFonts w:ascii="Times New Roman;serif" w:hAnsi="Times New Roman;serif"/>
          <w:b/>
          <w:color w:val="000000"/>
          <w:sz w:val="22"/>
        </w:rPr>
        <w:t>(i)    </w:t>
      </w:r>
      <w:r>
        <w:rPr>
          <w:rFonts w:ascii="Times New Roman;serif" w:hAnsi="Times New Roman;serif"/>
          <w:b w:val="false"/>
          <w:color w:val="000000"/>
          <w:sz w:val="22"/>
        </w:rPr>
        <w:t>to comply with any requirements of the Commission or any successor in connection with the qualification of this Indenture under the Trust Indenture Act.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lineRule="auto" w:line="288" w:before="0" w:after="240"/>
        <w:ind w:left="0" w:right="0" w:firstLine="720"/>
        <w:jc w:val="both"/>
        <w:rPr/>
      </w:pPr>
      <w:r>
        <w:rPr>
          <w:rFonts w:ascii="Times New Roman;serif" w:hAnsi="Times New Roman;serif"/>
          <w:b/>
          <w:color w:val="000000"/>
          <w:sz w:val="22"/>
        </w:rPr>
        <w:t>Section 9.02    Supplemental Indentures With Consent of Securityholders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2"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9.03    Effect of Supplemental Indentures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lineRule="auto" w:line="288" w:before="0" w:after="240"/>
        <w:ind w:left="0" w:right="0" w:firstLine="720"/>
        <w:jc w:val="both"/>
        <w:rPr/>
      </w:pPr>
      <w:r>
        <w:rPr>
          <w:rFonts w:ascii="Times New Roman;serif" w:hAnsi="Times New Roman;serif"/>
          <w:b/>
          <w:color w:val="000000"/>
          <w:sz w:val="22"/>
        </w:rPr>
        <w:t>Section 9.04    Securities Affected by Supplemental Indentures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lineRule="auto" w:line="288" w:before="0" w:after="240"/>
        <w:ind w:left="0" w:right="0" w:firstLine="720"/>
        <w:jc w:val="both"/>
        <w:rPr/>
      </w:pPr>
      <w:r>
        <w:rPr>
          <w:rFonts w:ascii="Times New Roman;serif" w:hAnsi="Times New Roman;serif"/>
          <w:b/>
          <w:color w:val="000000"/>
          <w:sz w:val="22"/>
        </w:rPr>
        <w:t>Section 9.05    Execution of Supplemental Indentures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3"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10</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SUCCESSOR ENTITY</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Section 10.01    Company May Consolidate, Etc.</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lineRule="auto" w:line="288" w:before="0" w:after="240"/>
        <w:ind w:left="0" w:right="0" w:firstLine="720"/>
        <w:jc w:val="both"/>
        <w:rPr/>
      </w:pPr>
      <w:r>
        <w:rPr>
          <w:rFonts w:ascii="Times New Roman;serif" w:hAnsi="Times New Roman;serif"/>
          <w:b/>
          <w:color w:val="000000"/>
          <w:sz w:val="22"/>
        </w:rPr>
        <w:t>Section 10.02    Successor Entity Substituted</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11</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SATISFACTION AND DISCHARGE</w:t>
      </w:r>
    </w:p>
    <w:p>
      <w:pPr>
        <w:pStyle w:val="TextBody"/>
        <w:bidi w:val="0"/>
        <w:spacing w:lineRule="auto" w:line="288" w:before="0" w:after="240"/>
        <w:ind w:left="0" w:right="0" w:firstLine="720"/>
        <w:jc w:val="both"/>
        <w:rPr/>
      </w:pPr>
      <w:r>
        <w:rPr>
          <w:rFonts w:ascii="Times New Roman;serif" w:hAnsi="Times New Roman;serif"/>
          <w:b/>
          <w:color w:val="000000"/>
          <w:sz w:val="22"/>
        </w:rPr>
        <w:t>Section 11.01    Satisfaction and Discharge of Indenture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lineRule="auto" w:line="288" w:before="0" w:after="240"/>
        <w:ind w:left="0" w:right="0" w:firstLine="720"/>
        <w:jc w:val="both"/>
        <w:rPr/>
      </w:pPr>
      <w:r>
        <w:rPr>
          <w:rFonts w:ascii="Times New Roman;serif" w:hAnsi="Times New Roman;serif"/>
          <w:b/>
          <w:color w:val="000000"/>
          <w:sz w:val="22"/>
        </w:rPr>
        <w:t>Section 11.02    Discharge of Obligations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Thereafter, Sections 7.06 and 11.05 shall survive.</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11.03    Deposited Moneys to be Held in Trust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lineRule="auto" w:line="288" w:before="0" w:after="240"/>
        <w:ind w:left="0" w:right="0" w:firstLine="720"/>
        <w:jc w:val="both"/>
        <w:rPr/>
      </w:pPr>
      <w:r>
        <w:rPr>
          <w:rFonts w:ascii="Times New Roman;serif" w:hAnsi="Times New Roman;serif"/>
          <w:b/>
          <w:color w:val="000000"/>
          <w:sz w:val="22"/>
        </w:rPr>
        <w:t>Section 11.04    Payment of Moneys Held by Paying Agents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lineRule="auto" w:line="288" w:before="0" w:after="240"/>
        <w:ind w:left="0" w:right="0" w:firstLine="720"/>
        <w:jc w:val="both"/>
        <w:rPr/>
      </w:pPr>
      <w:r>
        <w:rPr>
          <w:rFonts w:ascii="Times New Roman;serif" w:hAnsi="Times New Roman;serif"/>
          <w:b/>
          <w:color w:val="000000"/>
          <w:sz w:val="22"/>
        </w:rPr>
        <w:t>Section 11.05    Repayment to Company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12</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IMMUNITY OF INCORPORATORS, STOCKHOLDERS, OFFICERS AND DIRECTORS</w:t>
      </w:r>
    </w:p>
    <w:p>
      <w:pPr>
        <w:pStyle w:val="TextBody"/>
        <w:bidi w:val="0"/>
        <w:spacing w:lineRule="auto" w:line="288" w:before="0" w:after="240"/>
        <w:ind w:left="0" w:right="0" w:firstLine="720"/>
        <w:jc w:val="both"/>
        <w:rPr/>
      </w:pPr>
      <w:r>
        <w:rPr>
          <w:rFonts w:ascii="Times New Roman;serif" w:hAnsi="Times New Roman;serif"/>
          <w:b/>
          <w:color w:val="000000"/>
          <w:sz w:val="22"/>
        </w:rPr>
        <w:t>Section 12.01    No Recourse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therefrom, are hereby expressly waived and released as a condition of, and as a consideration for, the execution of this Indenture and the issuance of such Securities.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13</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MISCELLANEOUS PROVISIONS</w:t>
      </w:r>
    </w:p>
    <w:p>
      <w:pPr>
        <w:pStyle w:val="TextBody"/>
        <w:bidi w:val="0"/>
        <w:spacing w:lineRule="auto" w:line="288" w:before="0" w:after="240"/>
        <w:ind w:left="0" w:right="0" w:firstLine="720"/>
        <w:jc w:val="both"/>
        <w:rPr/>
      </w:pPr>
      <w:r>
        <w:rPr>
          <w:rFonts w:ascii="Times New Roman;serif" w:hAnsi="Times New Roman;serif"/>
          <w:b/>
          <w:color w:val="000000"/>
          <w:sz w:val="22"/>
        </w:rPr>
        <w:t>Section 13.01    Effect on Successors and Assigns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the covenants, stipulations, promises and agreements in this Indenture made by or on behalf of the Company shall bind its successors and assigns, whether so expressed or not.</w:t>
      </w:r>
    </w:p>
    <w:p>
      <w:pPr>
        <w:pStyle w:val="TextBody"/>
        <w:bidi w:val="0"/>
        <w:spacing w:lineRule="auto" w:line="288" w:before="0" w:after="240"/>
        <w:ind w:left="0" w:right="0" w:firstLine="720"/>
        <w:jc w:val="both"/>
        <w:rPr/>
      </w:pPr>
      <w:r>
        <w:rPr>
          <w:rFonts w:ascii="Times New Roman;serif" w:hAnsi="Times New Roman;serif"/>
          <w:b/>
          <w:color w:val="000000"/>
          <w:sz w:val="22"/>
        </w:rPr>
        <w:t>Section 13.02    Actions by Successor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lineRule="auto" w:line="288" w:before="0" w:after="240"/>
        <w:ind w:left="0" w:right="0" w:firstLine="720"/>
        <w:jc w:val="both"/>
        <w:rPr/>
      </w:pPr>
      <w:r>
        <w:rPr>
          <w:rFonts w:ascii="Times New Roman;serif" w:hAnsi="Times New Roman;serif"/>
          <w:b/>
          <w:color w:val="000000"/>
          <w:sz w:val="22"/>
        </w:rPr>
        <w:t>Section 13.03    Surrender of Company Powers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lineRule="auto" w:line="288" w:before="0" w:after="240"/>
        <w:ind w:left="0" w:right="0" w:firstLine="720"/>
        <w:jc w:val="both"/>
        <w:rPr/>
      </w:pPr>
      <w:r>
        <w:rPr>
          <w:rFonts w:ascii="Times New Roman;serif" w:hAnsi="Times New Roman;serif"/>
          <w:b/>
          <w:color w:val="000000"/>
          <w:sz w:val="22"/>
        </w:rPr>
        <w:t>Section 13.04    Notices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follows:______________________________________________________________.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lineRule="auto" w:line="288" w:before="0" w:after="240"/>
        <w:ind w:left="0" w:right="0" w:firstLine="720"/>
        <w:jc w:val="both"/>
        <w:rPr/>
      </w:pPr>
      <w:r>
        <w:rPr>
          <w:rFonts w:ascii="Times New Roman;serif" w:hAnsi="Times New Roman;serif"/>
          <w:b/>
          <w:color w:val="000000"/>
          <w:sz w:val="22"/>
        </w:rPr>
        <w:t>Section 13.05    Governing Law; Jury Trial Waiver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Indenture and each Security shall be governed by, and construed in accordance with, the internal laws of the State of New York, except to the extent that the Trust Indenture Act is applicable.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7"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13.06    Treatment of Securities as Debt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is intended that the Securities will be treated as indebtedness and not as equity for federal income tax purposes. The provisions of this Indenture shall be interpreted to further this intention.</w:t>
      </w:r>
    </w:p>
    <w:p>
      <w:pPr>
        <w:pStyle w:val="TextBody"/>
        <w:bidi w:val="0"/>
        <w:spacing w:lineRule="auto" w:line="288" w:before="0" w:after="240"/>
        <w:ind w:left="0" w:right="0" w:firstLine="720"/>
        <w:jc w:val="both"/>
        <w:rPr/>
      </w:pPr>
      <w:r>
        <w:rPr>
          <w:rFonts w:ascii="Times New Roman;serif" w:hAnsi="Times New Roman;serif"/>
          <w:b/>
          <w:color w:val="000000"/>
          <w:sz w:val="22"/>
        </w:rPr>
        <w:t>Section 13.07    Certificates and Opinions as to Conditions Precedent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lineRule="auto" w:line="288" w:before="0" w:after="240"/>
        <w:ind w:left="0" w:right="0" w:firstLine="720"/>
        <w:jc w:val="both"/>
        <w:rPr/>
      </w:pPr>
      <w:r>
        <w:rPr>
          <w:rFonts w:ascii="Times New Roman;serif" w:hAnsi="Times New Roman;serif"/>
          <w:b/>
          <w:color w:val="000000"/>
          <w:sz w:val="22"/>
        </w:rPr>
        <w:t>Section 13.08    Payments on Business Days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lineRule="auto" w:line="288" w:before="0" w:after="240"/>
        <w:ind w:left="0" w:right="0" w:firstLine="720"/>
        <w:jc w:val="both"/>
        <w:rPr/>
      </w:pPr>
      <w:r>
        <w:rPr>
          <w:rFonts w:ascii="Times New Roman;serif" w:hAnsi="Times New Roman;serif"/>
          <w:b/>
          <w:color w:val="000000"/>
          <w:sz w:val="22"/>
        </w:rPr>
        <w:t>Section 13.09    Conflict with Trust Indenture Act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and to the extent that any provision of this Indenture limits, qualifies or conflicts with the duties imposed by Section 318(c) of the Trust Indenture Act, such imposed duties shall control.</w:t>
      </w:r>
    </w:p>
    <w:p>
      <w:pPr>
        <w:pStyle w:val="TextBody"/>
        <w:bidi w:val="0"/>
        <w:spacing w:lineRule="auto" w:line="288" w:before="0" w:after="240"/>
        <w:ind w:left="0" w:right="0" w:firstLine="720"/>
        <w:jc w:val="both"/>
        <w:rPr/>
      </w:pPr>
      <w:r>
        <w:rPr>
          <w:rFonts w:ascii="Times New Roman;serif" w:hAnsi="Times New Roman;serif"/>
          <w:b/>
          <w:color w:val="000000"/>
          <w:sz w:val="22"/>
        </w:rPr>
        <w:t>Section 13.10    Counterparts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8"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Section 13.11    Separability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lineRule="auto" w:line="288" w:before="0" w:after="240"/>
        <w:ind w:left="0" w:right="0" w:firstLine="720"/>
        <w:jc w:val="both"/>
        <w:rPr/>
      </w:pPr>
      <w:r>
        <w:rPr>
          <w:rFonts w:ascii="Times New Roman;serif" w:hAnsi="Times New Roman;serif"/>
          <w:b/>
          <w:color w:val="000000"/>
          <w:sz w:val="22"/>
        </w:rPr>
        <w:t>Section 13.12    Compliance Certificates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pStyle w:val="TextBody"/>
        <w:bidi w:val="0"/>
        <w:spacing w:lineRule="auto" w:line="288" w:before="0" w:after="240"/>
        <w:ind w:left="0" w:right="0" w:firstLine="720"/>
        <w:jc w:val="both"/>
        <w:rPr/>
      </w:pPr>
      <w:r>
        <w:rPr>
          <w:rFonts w:ascii="Times New Roman;serif" w:hAnsi="Times New Roman;serif"/>
          <w:b/>
          <w:color w:val="000000"/>
          <w:sz w:val="22"/>
        </w:rPr>
        <w:t>Section 13.13    U.S.A Patriot Act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lineRule="auto" w:line="288" w:before="0" w:after="240"/>
        <w:ind w:left="0" w:right="0" w:firstLine="720"/>
        <w:jc w:val="both"/>
        <w:rPr/>
      </w:pPr>
      <w:r>
        <w:rPr>
          <w:rFonts w:ascii="Times New Roman;serif" w:hAnsi="Times New Roman;serif"/>
          <w:b/>
          <w:color w:val="000000"/>
          <w:sz w:val="22"/>
        </w:rPr>
        <w:t>Section 13.14    Force Majeure</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Section 13.15    Table of Contents; Headings.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table of contents and headings of the articles and sections of this Indenture have been inserted for convenience of reference only, are not intended to be considered a part hereof, and will not modify or restrict any of the terms or provisions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9"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Indenture to be duly executed all as of the day and year first above written.</w:t>
      </w:r>
    </w:p>
    <w:tbl>
      <w:tblPr>
        <w:tblW w:w="3723" w:type="dxa"/>
        <w:jc w:val="left"/>
        <w:tblInd w:w="0" w:type="dxa"/>
        <w:tblLayout w:type="fixed"/>
        <w:tblCellMar>
          <w:top w:w="28" w:type="dxa"/>
          <w:left w:w="28" w:type="dxa"/>
          <w:bottom w:w="28" w:type="dxa"/>
          <w:right w:w="28" w:type="dxa"/>
        </w:tblCellMar>
      </w:tblPr>
      <w:tblGrid>
        <w:gridCol w:w="124"/>
        <w:gridCol w:w="109"/>
        <w:gridCol w:w="109"/>
        <w:gridCol w:w="271"/>
        <w:gridCol w:w="271"/>
        <w:gridCol w:w="271"/>
        <w:gridCol w:w="271"/>
        <w:gridCol w:w="271"/>
        <w:gridCol w:w="271"/>
        <w:gridCol w:w="271"/>
        <w:gridCol w:w="271"/>
        <w:gridCol w:w="271"/>
        <w:gridCol w:w="271"/>
        <w:gridCol w:w="271"/>
        <w:gridCol w:w="4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KEROS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12"/>
            <w:tcBorders/>
            <w:tcMar>
              <w:top w:w="0" w:type="dxa"/>
              <w:left w:w="0" w:type="dxa"/>
              <w:bottom w:w="0" w:type="dxa"/>
              <w:right w:w="0" w:type="dxa"/>
            </w:tcMar>
            <w:vAlign w:val="center"/>
          </w:tcPr>
          <w:p>
            <w:pPr>
              <w:pStyle w:val="TableContents"/>
              <w:bidi w:val="0"/>
              <w:spacing w:lineRule="auto" w:line="240" w:before="53" w:after="30"/>
              <w:jc w:val="left"/>
              <w:rPr/>
            </w:pPr>
            <w:r>
              <w:rPr>
                <w:rFonts w:ascii="Times New Roman;serif" w:hAnsi="Times New Roman;serif"/>
                <w:b/>
                <w:color w:val="000000"/>
                <w:sz w:val="22"/>
              </w:rPr>
              <w:t>[TRUSTEE]</w:t>
            </w:r>
            <w:r>
              <w:rPr>
                <w:rFonts w:ascii="Times New Roman;serif" w:hAnsi="Times New Roman;serif"/>
                <w:b w:val="false"/>
                <w:color w:val="000000"/>
                <w:sz w:val="22"/>
              </w:rPr>
              <w:t xml:space="preserve">, as Trustee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8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0"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480"/>
        <w:jc w:val="both"/>
        <w:rPr>
          <w:rFonts w:ascii="Times New Roman;serif" w:hAnsi="Times New Roman;serif"/>
          <w:b/>
          <w:color w:val="000000"/>
          <w:sz w:val="22"/>
        </w:rPr>
      </w:pPr>
      <w:r>
        <w:rPr>
          <w:rFonts w:ascii="Times New Roman;serif" w:hAnsi="Times New Roman;serif"/>
          <w:b/>
          <w:color w:val="000000"/>
          <w:sz w:val="22"/>
        </w:rPr>
        <w:t>CROSS-REFERENCE TABLE (1)</w:t>
      </w:r>
    </w:p>
    <w:tbl>
      <w:tblPr>
        <w:tblW w:w="7662" w:type="dxa"/>
        <w:jc w:val="left"/>
        <w:tblInd w:w="0" w:type="dxa"/>
        <w:tblLayout w:type="fixed"/>
        <w:tblCellMar>
          <w:top w:w="28" w:type="dxa"/>
          <w:left w:w="28" w:type="dxa"/>
          <w:bottom w:w="28" w:type="dxa"/>
          <w:right w:w="28" w:type="dxa"/>
        </w:tblCellMar>
      </w:tblPr>
      <w:tblGrid>
        <w:gridCol w:w="1883"/>
        <w:gridCol w:w="1656"/>
        <w:gridCol w:w="1666"/>
        <w:gridCol w:w="109"/>
        <w:gridCol w:w="109"/>
        <w:gridCol w:w="109"/>
        <w:gridCol w:w="623"/>
        <w:gridCol w:w="623"/>
        <w:gridCol w:w="884"/>
      </w:tblGrid>
      <w:tr>
        <w:trPr/>
        <w:tc>
          <w:tcPr>
            <w:tcW w:w="1883"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Section of Trust Indenture Act of 1939,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Section of Indenture</w:t>
            </w:r>
          </w:p>
        </w:tc>
      </w:tr>
      <w:tr>
        <w:trPr/>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7.09</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310(b)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7.08</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7.10</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310(c)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Inapplicable</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7.13</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7.13</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Inapplicable</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5.01</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5.02(a)</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312(b)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5.02(c)</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312(c)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5.02(c)</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5.04(a)</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5.04(b)</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5.04(a)</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5.04(b)</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313(d)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5.04(c)</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5.03</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13.12</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Inapplicable</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13.07(a)</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Inapplicable</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13.07(b)</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314(f)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Inapplicable</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7.01(a)</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7.01(b)</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315(b)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7.14</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315(c)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7.01</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315(d)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7.01(b)</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315(e)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6.07</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316(a)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6.06</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8.04</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316(b)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6.04</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316(c)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8.01</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6.02</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317(b)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4.03</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318(a)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13.09</w:t>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_________________</w:t>
      </w:r>
    </w:p>
    <w:p>
      <w:pPr>
        <w:pStyle w:val="TextBody"/>
        <w:bidi w:val="0"/>
        <w:spacing w:lineRule="auto" w:line="288" w:before="0" w:after="240"/>
        <w:ind w:left="0" w:right="0" w:hanging="450"/>
        <w:jc w:val="both"/>
        <w:rPr>
          <w:rFonts w:ascii="Times New Roman;serif" w:hAnsi="Times New Roman;serif"/>
          <w:b w:val="false"/>
          <w:color w:val="000000"/>
          <w:sz w:val="22"/>
        </w:rPr>
      </w:pPr>
      <w:r>
        <w:rPr>
          <w:rFonts w:ascii="Times New Roman;serif" w:hAnsi="Times New Roman;serif"/>
          <w:b w:val="false"/>
          <w:color w:val="000000"/>
          <w:sz w:val="22"/>
        </w:rPr>
        <w:t>(1)This Cross-Reference Table does not constitute part of the Indenture and shall not have any bearing on the interpretation of any of its terms or provisions.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4.6</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1"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KEROS THERAPEUTICS,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_____________, AS WARRANT AGENT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COMMON STOCK</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DATED AS OF 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2"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KEROS THERAPEUTICS, INC. FORM OF COMMON STOCK WARRANT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COMMON STOCK WARRANT AGREEMENT </w:t>
      </w:r>
      <w:r>
        <w:rPr>
          <w:rFonts w:ascii="Times New Roman;serif" w:hAnsi="Times New Roman;serif"/>
          <w:b w:val="false"/>
          <w:color w:val="000000"/>
          <w:sz w:val="22"/>
        </w:rPr>
        <w:t>(this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dated as of [●], between </w:t>
      </w:r>
      <w:r>
        <w:rPr>
          <w:rFonts w:ascii="Times New Roman;serif" w:hAnsi="Times New Roman;serif"/>
          <w:b/>
          <w:color w:val="000000"/>
          <w:sz w:val="22"/>
        </w:rPr>
        <w:t>KEROS THERAPEUTICS, INC.</w:t>
      </w:r>
      <w:r>
        <w:rPr>
          <w:rFonts w:ascii="Times New Roman;serif" w:hAnsi="Times New Roman;serif"/>
          <w:b w:val="false"/>
          <w:color w:val="000000"/>
          <w:sz w:val="22"/>
        </w:rPr>
        <w:t>,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 a [corporation] [national banking association] organized and existing under the laws of [●] and having a corporate trust office in [●],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color w:val="000000"/>
        </w:rPr>
        <w:t xml:space="preserve"> </w:t>
      </w:r>
      <w:r>
        <w:rPr>
          <w:rFonts w:ascii="Times New Roman;serif" w:hAnsi="Times New Roman;serif"/>
          <w:b w:val="false"/>
          <w:color w:val="000000"/>
          <w:sz w:val="22"/>
        </w:rPr>
        <w:t>the Company proposes to sell [If Warrants are sold with other securities —[title of such other securities being offered] (the “</w:t>
      </w:r>
      <w:r>
        <w:rPr>
          <w:rFonts w:ascii="Times New Roman;serif" w:hAnsi="Times New Roman;serif"/>
          <w:b/>
          <w:i/>
          <w:color w:val="000000"/>
          <w:sz w:val="22"/>
        </w:rPr>
        <w:t>Other Securities</w:t>
      </w:r>
      <w:r>
        <w:rPr>
          <w:color w:val="000000"/>
        </w:rPr>
        <w:t>”</w:t>
      </w:r>
      <w:r>
        <w:rPr>
          <w:rFonts w:ascii="Times New Roman;serif" w:hAnsi="Times New Roman;serif"/>
          <w:b w:val="false"/>
          <w:color w:val="000000"/>
          <w:sz w:val="22"/>
        </w:rPr>
        <w:t>) with] warrant certificates evidencing one or more warrants (the “</w:t>
      </w:r>
      <w:r>
        <w:rPr>
          <w:rFonts w:ascii="Times New Roman;serif" w:hAnsi="Times New Roman;serif"/>
          <w:b/>
          <w:i/>
          <w:color w:val="000000"/>
          <w:sz w:val="22"/>
        </w:rPr>
        <w:t>Warrants</w:t>
      </w:r>
      <w:r>
        <w:rPr>
          <w:color w:val="000000"/>
        </w:rPr>
        <w:t xml:space="preserve">” </w:t>
      </w:r>
      <w:r>
        <w:rPr>
          <w:rFonts w:ascii="Times New Roman;serif" w:hAnsi="Times New Roman;serif"/>
          <w:b w:val="false"/>
          <w:color w:val="000000"/>
          <w:sz w:val="22"/>
        </w:rPr>
        <w:t>or, individually, a “</w:t>
      </w:r>
      <w:r>
        <w:rPr>
          <w:rFonts w:ascii="Times New Roman;serif" w:hAnsi="Times New Roman;serif"/>
          <w:b/>
          <w:i/>
          <w:color w:val="000000"/>
          <w:sz w:val="22"/>
        </w:rPr>
        <w:t>Warrant</w:t>
      </w:r>
      <w:r>
        <w:rPr>
          <w:color w:val="000000"/>
        </w:rPr>
        <w:t>”</w:t>
      </w:r>
      <w:r>
        <w:rPr>
          <w:rFonts w:ascii="Times New Roman;serif" w:hAnsi="Times New Roman;serif"/>
          <w:b w:val="false"/>
          <w:color w:val="000000"/>
          <w:sz w:val="22"/>
        </w:rPr>
        <w:t>) representing the right to purchase Common Stock of the Company, par value $0.0001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such warrant certificates and other warrant certificates issued pursuant to this Agreement being herein called the “</w:t>
      </w:r>
      <w:r>
        <w:rPr>
          <w:rFonts w:ascii="Times New Roman;serif" w:hAnsi="Times New Roman;serif"/>
          <w:b/>
          <w:i/>
          <w:color w:val="000000"/>
          <w:sz w:val="22"/>
        </w:rPr>
        <w:t>Warrant Certificates</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color w:val="000000"/>
        </w:rPr>
        <w:t xml:space="preserve"> </w:t>
      </w:r>
      <w:r>
        <w:rPr>
          <w:rFonts w:ascii="Times New Roman;serif" w:hAnsi="Times New Roman;serif"/>
          <w:b w:val="false"/>
          <w:color w:val="000000"/>
          <w:sz w:val="22"/>
        </w:rPr>
        <w:t>in consideration of the premises and of the mutual agreements herein contained, the parties hereto agree as follows: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ISSUANCE OF WARRANTS AND EXECUTION 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DELIVERY OF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1.1    Issuance of Warrants. </w:t>
      </w:r>
      <w:r>
        <w:rPr>
          <w:rFonts w:ascii="Times New Roman;serif" w:hAnsi="Times New Roman;serif"/>
          <w:b w:val="false"/>
          <w:color w:val="000000"/>
          <w:sz w:val="22"/>
        </w:rPr>
        <w:t>[</w:t>
      </w:r>
      <w:r>
        <w:rPr>
          <w:rFonts w:ascii="Times New Roman;serif" w:hAnsi="Times New Roman;serif"/>
          <w:b/>
          <w:i/>
          <w:color w:val="000000"/>
          <w:sz w:val="22"/>
        </w:rPr>
        <w:t>If Warrants alone</w:t>
      </w:r>
      <w:r>
        <w:rPr>
          <w:color w:val="000000"/>
        </w:rPr>
        <w:t xml:space="preserve"> —</w:t>
      </w:r>
      <w:r>
        <w:rPr>
          <w:rFonts w:ascii="Times New Roman;serif" w:hAnsi="Times New Roman;serif"/>
          <w:b w:val="false"/>
          <w:color w:val="000000"/>
          <w:sz w:val="22"/>
        </w:rPr>
        <w:t>Upon issuance, each Warrant Certificate shall evidence one or more Warrants.] [</w:t>
      </w:r>
      <w:r>
        <w:rPr>
          <w:rFonts w:ascii="Times New Roman;serif" w:hAnsi="Times New Roman;serif"/>
          <w:b/>
          <w:i/>
          <w:color w:val="000000"/>
          <w:sz w:val="22"/>
        </w:rPr>
        <w:t>If Other Securities and Warrants</w:t>
      </w:r>
      <w:r>
        <w:rPr>
          <w:color w:val="000000"/>
        </w:rPr>
        <w:t xml:space="preserve"> —</w:t>
      </w:r>
      <w:r>
        <w:rPr>
          <w:rFonts w:ascii="Times New Roman;serif" w:hAnsi="Times New Roman;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w:t>
      </w:r>
      <w:r>
        <w:rPr>
          <w:color w:val="000000"/>
        </w:rPr>
        <w:t xml:space="preserve"> </w:t>
      </w:r>
      <w:r>
        <w:rPr>
          <w:rFonts w:ascii="Times New Roman;serif" w:hAnsi="Times New Roman;serif"/>
          <w:b w:val="false"/>
          <w:color w:val="000000"/>
          <w:sz w:val="22"/>
        </w:rPr>
        <w:t>[</w:t>
      </w:r>
      <w:r>
        <w:rPr>
          <w:rFonts w:ascii="Times New Roman;serif" w:hAnsi="Times New Roman;serif"/>
          <w:b/>
          <w:i/>
          <w:color w:val="000000"/>
          <w:sz w:val="22"/>
        </w:rPr>
        <w:t>If Other Securities and Warrants</w:t>
      </w:r>
      <w:r>
        <w:rPr>
          <w:color w:val="000000"/>
        </w:rPr>
        <w:t xml:space="preserve"> —</w:t>
      </w:r>
      <w:r>
        <w:rPr>
          <w:rFonts w:ascii="Times New Roman;serif" w:hAnsi="Times New Roman;serif"/>
          <w:b w:val="false"/>
          <w:color w:val="000000"/>
          <w:sz w:val="22"/>
        </w:rPr>
        <w:t>Warrant Certificates will be issued with the Other Securities and each Warrant Certificate will evidence [●] Warrants for each [$[●] principal amount] [[●] shares] of Other Securities issued.]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    Execution and Delivery of Warrant Certificates. </w:t>
      </w:r>
      <w:r>
        <w:rPr>
          <w:rFonts w:ascii="Times New Roman;serif" w:hAnsi="Times New Roman;serif"/>
          <w:b w:val="false"/>
          <w:color w:val="000000"/>
          <w:sz w:val="22"/>
        </w:rPr>
        <w:t xml:space="preserve">Each Warrant Certificate, whenever issued, shall be in registered form substantially in the form set forth in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Certificates. The seal of the Company may be in the form of a facsimile thereof and may be impressed, affixed, imprinted or otherwise reproduced on the Warrant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holder of a Warrant Certificate</w:t>
      </w:r>
      <w:r>
        <w:rPr>
          <w:color w:val="000000"/>
        </w:rPr>
        <w:t xml:space="preserve">” </w:t>
      </w:r>
      <w:r>
        <w:rPr>
          <w:rFonts w:ascii="Times New Roman;serif" w:hAnsi="Times New Roman;serif"/>
          <w:b w:val="false"/>
          <w:color w:val="000000"/>
          <w:sz w:val="22"/>
        </w:rPr>
        <w:t xml:space="preserve">as used herein shall mean any person in whose name at the time any Warrant Certificate shall be registered upon the books to be maintained by the Warrant Agent for that purpose. </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1.3    Issuance of Warrant Certificates. </w:t>
      </w:r>
      <w:r>
        <w:rPr>
          <w:rFonts w:ascii="Times New Roman;serif" w:hAnsi="Times New Roman;serif"/>
          <w:b w:val="false"/>
          <w:color w:val="000000"/>
          <w:sz w:val="22"/>
        </w:rPr>
        <w:t>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2</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PRICE, DURATION AND EXERCISE OF WARRANTS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2.1    Warrant Price. </w:t>
      </w:r>
      <w:r>
        <w:rPr>
          <w:rFonts w:ascii="Times New Roman;serif" w:hAnsi="Times New Roman;serif"/>
          <w:b w:val="false"/>
          <w:color w:val="000000"/>
          <w:sz w:val="22"/>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serif" w:hAnsi="Times New Roman;serif"/>
          <w:b/>
          <w:i/>
          <w:color w:val="000000"/>
          <w:sz w:val="22"/>
        </w:rPr>
        <w:t>Warrant Price.</w:t>
      </w:r>
      <w:r>
        <w:rPr>
          <w:color w:val="000000"/>
        </w:rPr>
        <w: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2.2    Duration of Warrants. </w:t>
      </w:r>
      <w:r>
        <w:rPr>
          <w:rFonts w:ascii="Times New Roman;serif" w:hAnsi="Times New Roman;serif"/>
          <w:b w:val="false"/>
          <w:color w:val="000000"/>
          <w:sz w:val="22"/>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serif" w:hAnsi="Times New Roman;serif"/>
          <w:b/>
          <w:i/>
          <w:color w:val="000000"/>
          <w:sz w:val="22"/>
        </w:rPr>
        <w:t>Expiration Date</w:t>
      </w:r>
      <w:r>
        <w:rPr>
          <w:color w:val="000000"/>
        </w:rPr>
        <w:t>”</w:t>
      </w:r>
      <w:r>
        <w:rPr>
          <w:rFonts w:ascii="Times New Roman;serif" w:hAnsi="Times New Roman;serif"/>
          <w:b w:val="false"/>
          <w:color w:val="000000"/>
          <w:sz w:val="22"/>
        </w:rPr>
        <w:t>). Each Warrant not exercised at or before [●] p.m., [City] time, on the Expiration Date shall become void, and all rights of the holder of the Warrant Certificate evidencing such Warrant under this Agreement shall cease.</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2.3    Exercise of Warrants.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5"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3</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OTHER PROVISIONS RELATING TO RIGHTS OF HOLDERS OF</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3.1    No Rights as Warrant Securityholder Conferred by Warrants or Warrant Certificates. </w:t>
      </w:r>
      <w:r>
        <w:rPr>
          <w:rFonts w:ascii="Times New Roman;serif" w:hAnsi="Times New Roman;serif"/>
          <w:b w:val="false"/>
          <w:color w:val="000000"/>
          <w:sz w:val="22"/>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3.2    Lost, Stolen, Mutilated or Destroyed Warrant Certificates. </w:t>
      </w:r>
      <w:r>
        <w:rPr>
          <w:rFonts w:ascii="Times New Roman;serif" w:hAnsi="Times New Roman;serif"/>
          <w:b w:val="false"/>
          <w:color w:val="000000"/>
          <w:sz w:val="22"/>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3.3    Holder of Warrant Certificate May Enforce Rights. </w:t>
      </w:r>
      <w:r>
        <w:rPr>
          <w:rFonts w:ascii="Times New Roman;serif" w:hAnsi="Times New Roman;serif"/>
          <w:b w:val="false"/>
          <w:color w:val="000000"/>
          <w:sz w:val="22"/>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3.4    Adjustments.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6"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If at any time or from time to time the holders of Common Stock (or any shares of stock or other securities at the time receivable upon the exercise of the Warrants) shall have received or become entitled to receive, without payment therefor,</w:t>
      </w:r>
    </w:p>
    <w:p>
      <w:pPr>
        <w:pStyle w:val="TextBody"/>
        <w:bidi w:val="0"/>
        <w:spacing w:lineRule="auto" w:line="288" w:before="0" w:after="240"/>
        <w:ind w:left="0" w:right="0" w:firstLine="2160"/>
        <w:jc w:val="both"/>
        <w:rPr/>
      </w:pPr>
      <w:r>
        <w:rPr>
          <w:rFonts w:ascii="Times New Roman;serif" w:hAnsi="Times New Roman;serif"/>
          <w:b/>
          <w:color w:val="000000"/>
          <w:sz w:val="22"/>
        </w:rPr>
        <w:t>(i)    </w:t>
      </w:r>
      <w:r>
        <w:rPr>
          <w:rFonts w:ascii="Times New Roman;serif" w:hAnsi="Times New Roman;serif"/>
          <w:b w:val="false"/>
          <w:color w:val="000000"/>
          <w:sz w:val="22"/>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pStyle w:val="TextBody"/>
        <w:bidi w:val="0"/>
        <w:spacing w:lineRule="auto" w:line="288" w:before="0" w:after="240"/>
        <w:ind w:left="0" w:right="0" w:firstLine="2160"/>
        <w:jc w:val="both"/>
        <w:rPr/>
      </w:pPr>
      <w:r>
        <w:rPr>
          <w:rFonts w:ascii="Times New Roman;serif" w:hAnsi="Times New Roman;serif"/>
          <w:b/>
          <w:color w:val="000000"/>
          <w:sz w:val="22"/>
        </w:rPr>
        <w:t>(ii)    </w:t>
      </w:r>
      <w:r>
        <w:rPr>
          <w:rFonts w:ascii="Times New Roman;serif" w:hAnsi="Times New Roman;serif"/>
          <w:b w:val="false"/>
          <w:color w:val="000000"/>
          <w:sz w:val="22"/>
        </w:rPr>
        <w:t>any cash paid or payable otherwise than as a cash dividend paid or payable out of the Company’s current or retained earnings;</w:t>
      </w:r>
    </w:p>
    <w:p>
      <w:pPr>
        <w:pStyle w:val="TextBody"/>
        <w:bidi w:val="0"/>
        <w:spacing w:lineRule="auto" w:line="288" w:before="0" w:after="240"/>
        <w:ind w:left="0" w:right="0" w:firstLine="2160"/>
        <w:jc w:val="both"/>
        <w:rPr/>
      </w:pPr>
      <w:r>
        <w:rPr>
          <w:rFonts w:ascii="Times New Roman;serif" w:hAnsi="Times New Roman;serif"/>
          <w:b/>
          <w:color w:val="000000"/>
          <w:sz w:val="22"/>
        </w:rPr>
        <w:t>(iii)    </w:t>
      </w:r>
      <w:r>
        <w:rPr>
          <w:rFonts w:ascii="Times New Roman;serif" w:hAnsi="Times New Roman;serif"/>
          <w:b w:val="false"/>
          <w:color w:val="000000"/>
          <w:sz w:val="22"/>
        </w:rPr>
        <w:t>any evidence of the Company’s indebtedness or rights to subscribe for or purchase the Company’s indebtedness; or</w:t>
      </w:r>
    </w:p>
    <w:p>
      <w:pPr>
        <w:pStyle w:val="TextBody"/>
        <w:bidi w:val="0"/>
        <w:spacing w:lineRule="auto" w:line="288" w:before="0" w:after="240"/>
        <w:ind w:left="0" w:right="0" w:firstLine="2160"/>
        <w:jc w:val="both"/>
        <w:rPr/>
      </w:pPr>
      <w:r>
        <w:rPr>
          <w:rFonts w:ascii="Times New Roman;serif" w:hAnsi="Times New Roman;serif"/>
          <w:b/>
          <w:color w:val="000000"/>
          <w:sz w:val="22"/>
        </w:rPr>
        <w:t>(iv)    </w:t>
      </w:r>
      <w:r>
        <w:rPr>
          <w:rFonts w:ascii="Times New Roman;serif" w:hAnsi="Times New Roman;serif"/>
          <w:b w:val="false"/>
          <w:color w:val="000000"/>
          <w:sz w:val="22"/>
        </w:rPr>
        <w:t xml:space="preserve">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 </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Times New Roman;serif" w:hAnsi="Times New Roman;serif"/>
          <w:b/>
          <w:i/>
          <w:color w:val="000000"/>
          <w:sz w:val="22"/>
        </w:rPr>
        <w:t>Reorganization Event</w:t>
      </w:r>
      <w:r>
        <w:rPr>
          <w:color w:val="000000"/>
        </w:rPr>
        <w:t>”</w:t>
      </w:r>
      <w:r>
        <w:rPr>
          <w:rFonts w:ascii="Times New Roman;serif" w:hAnsi="Times New Roman;serif"/>
          <w:b w:val="false"/>
          <w:color w:val="000000"/>
          <w:sz w:val="22"/>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7"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pStyle w:val="TextBody"/>
        <w:bidi w:val="0"/>
        <w:spacing w:lineRule="auto" w:line="288" w:before="0" w:after="240"/>
        <w:ind w:left="0" w:right="0" w:firstLine="1440"/>
        <w:jc w:val="both"/>
        <w:rPr/>
      </w:pPr>
      <w:r>
        <w:rPr>
          <w:rFonts w:ascii="Times New Roman;serif" w:hAnsi="Times New Roman;serif"/>
          <w:b/>
          <w:color w:val="000000"/>
          <w:sz w:val="22"/>
        </w:rPr>
        <w:t>(f)    </w:t>
      </w:r>
      <w:r>
        <w:rPr>
          <w:rFonts w:ascii="Times New Roman;serif" w:hAnsi="Times New Roman;serif"/>
          <w:b w:val="false"/>
          <w:color w:val="000000"/>
          <w:sz w:val="22"/>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any U.S. quotation medium or inter-dealer quotation system on such date, or if on any such date the Warrant Securities are not listed or admitted to trading on a registered national securities exchange and are not quoted on any other U.S. quotation medium or inter-dealer quotation system, an amount equal to the same fraction of the average of the closing bid and asked prices as furnished by any Financial Industry Regulatory Authority, Inc. (“</w:t>
      </w:r>
      <w:r>
        <w:rPr>
          <w:rFonts w:ascii="Times New Roman;serif" w:hAnsi="Times New Roman;serif"/>
          <w:b/>
          <w:i/>
          <w:color w:val="000000"/>
          <w:sz w:val="22"/>
        </w:rPr>
        <w:t>FINRA</w:t>
      </w:r>
      <w:r>
        <w:rPr>
          <w:color w:val="000000"/>
        </w:rPr>
        <w:t>”</w:t>
      </w:r>
      <w:r>
        <w:rPr>
          <w:rFonts w:ascii="Times New Roman;serif" w:hAnsi="Times New Roman;serif"/>
          <w:b w:val="false"/>
          <w:color w:val="000000"/>
          <w:sz w:val="22"/>
        </w:rPr>
        <w:t>) member firm selected from time to time by the Company for that purpose at the close of business on the business day that next precedes the day of exercise.</w:t>
      </w:r>
    </w:p>
    <w:p>
      <w:pPr>
        <w:pStyle w:val="TextBody"/>
        <w:bidi w:val="0"/>
        <w:spacing w:lineRule="auto" w:line="288" w:before="0" w:after="240"/>
        <w:ind w:left="0" w:right="0" w:firstLine="1440"/>
        <w:jc w:val="both"/>
        <w:rPr/>
      </w:pPr>
      <w:r>
        <w:rPr>
          <w:rFonts w:ascii="Times New Roman;serif" w:hAnsi="Times New Roman;serif"/>
          <w:b/>
          <w:color w:val="000000"/>
          <w:sz w:val="22"/>
        </w:rPr>
        <w:t>(g)    </w:t>
      </w:r>
      <w:r>
        <w:rPr>
          <w:rFonts w:ascii="Times New Roman;serif" w:hAnsi="Times New Roman;serif"/>
          <w:b w:val="false"/>
          <w:color w:val="000000"/>
          <w:sz w:val="22"/>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8"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(h)    </w:t>
      </w:r>
      <w:r>
        <w:rPr>
          <w:rFonts w:ascii="Times New Roman;serif" w:hAnsi="Times New Roman;serif"/>
          <w:b w:val="false"/>
          <w:color w:val="000000"/>
          <w:sz w:val="22"/>
        </w:rPr>
        <w:t>Notwithstanding anything to the contrary herein, in no event shall the Warrant Price, as adjusted in accordance with the terms hereof, be less than the par value per share of Common Stock.</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3.5    Notice to Warrantholders. </w:t>
      </w:r>
      <w:r>
        <w:rPr>
          <w:rFonts w:ascii="Times New Roman;serif" w:hAnsi="Times New Roman;serif"/>
          <w:b w:val="false"/>
          <w:color w:val="000000"/>
          <w:sz w:val="22"/>
        </w:rPr>
        <w:t>In case the Company shall (a) effect any dividend or distribution described in Section 3.4(b), (b) effect any 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lineRule="auto" w:line="288" w:before="0" w:after="240"/>
        <w:ind w:left="0" w:right="0" w:firstLine="720"/>
        <w:jc w:val="both"/>
        <w:rPr/>
      </w:pPr>
      <w:r>
        <w:rPr>
          <w:rFonts w:ascii="Times New Roman;serif" w:hAnsi="Times New Roman;serif"/>
          <w:b/>
          <w:color w:val="000000"/>
          <w:sz w:val="22"/>
        </w:rPr>
        <w:t>3.6    </w:t>
      </w:r>
      <w:r>
        <w:rPr>
          <w:rFonts w:ascii="Times New Roman;serif" w:hAnsi="Times New Roman;serif"/>
          <w:b w:val="false"/>
          <w:color w:val="000000"/>
          <w:sz w:val="22"/>
        </w:rPr>
        <w:t>[If the Warrants are Subject to Acceleration by the Company, Insert — Acceleration of Warrants by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At any time on or after [●], the Company shall have the right to accelerate any or all Warrants at any time by causing them to expire at the close of business on the day next preceding a specified date (the “</w:t>
      </w:r>
      <w:r>
        <w:rPr>
          <w:rFonts w:ascii="Times New Roman;serif" w:hAnsi="Times New Roman;serif"/>
          <w:b/>
          <w:i/>
          <w:color w:val="000000"/>
          <w:sz w:val="22"/>
        </w:rPr>
        <w:t>Acceleration Date</w:t>
      </w:r>
      <w:r>
        <w:rPr>
          <w:color w:val="000000"/>
        </w:rPr>
        <w:t>”</w:t>
      </w:r>
      <w:r>
        <w:rPr>
          <w:rFonts w:ascii="Times New Roman;serif" w:hAnsi="Times New Roman;serif"/>
          <w:b w:val="false"/>
          <w:color w:val="000000"/>
          <w:sz w:val="22"/>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(b)    (b) </w:t>
      </w:r>
      <w:r>
        <w:rPr>
          <w:color w:val="000000"/>
        </w:rPr>
        <w:t>“</w:t>
      </w:r>
      <w:r>
        <w:rPr>
          <w:rFonts w:ascii="Times New Roman;serif" w:hAnsi="Times New Roman;serif"/>
          <w:b/>
          <w:i/>
          <w:color w:val="000000"/>
          <w:sz w:val="22"/>
        </w:rPr>
        <w:t>Market Price</w:t>
      </w:r>
      <w:r>
        <w:rPr>
          <w:color w:val="000000"/>
        </w:rPr>
        <w:t xml:space="preserve">” </w:t>
      </w:r>
      <w:r>
        <w:rPr>
          <w:rFonts w:ascii="Times New Roman;serif" w:hAnsi="Times New Roman;serif"/>
          <w:b w:val="false"/>
          <w:color w:val="000000"/>
          <w:sz w:val="22"/>
        </w:rPr>
        <w:t>for each Trading Day shall be, if the Common Stock is listed or admitted to trading on any registered national 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any U.S. quotation medium or inter-dealer quotation system, or if on any such date the shares of Common Stock are not listed or admitted to trading on a registered national securities exchange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 xml:space="preserve">Notice of an acceleration specifying the Acceleration Date shall be sent by mail first class, postage prepaid, to each registered holder of a Warrant Certificate representing a Warrant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19"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Any Warrant accelerated may be exercised until [●] p.m., [City] time, on the business day next preceding the Acceleration Date. The Warrant Price shall be payable as provided in Section 2.]</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EXCHANGE AND TRANSFER OF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4.1    </w:t>
      </w:r>
      <w:r>
        <w:rPr>
          <w:rFonts w:ascii="Times New Roman;serif" w:hAnsi="Times New Roman;serif"/>
          <w:b w:val="false"/>
          <w:color w:val="000000"/>
          <w:sz w:val="22"/>
        </w:rPr>
        <w:t>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4.2    Treatment of Holders of Warrant Certificates.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4.3    Cancellation of Warrant Certificates. </w:t>
      </w:r>
      <w:r>
        <w:rPr>
          <w:rFonts w:ascii="Times New Roman;serif" w:hAnsi="Times New Roman;serif"/>
          <w:b w:val="false"/>
          <w:color w:val="000000"/>
          <w:sz w:val="22"/>
        </w:rPr>
        <w:t xml:space="preserve">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0"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exchange therefor or in lieu thereof. The Warrant Agent shall deliver to the Company from time to time or otherwise dispose of canceled Warrant Certificates in a manner satisfactory to the Company.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5</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CONCERNING THE WARRANT AGENT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5.1    Warrant Agent. </w:t>
      </w:r>
      <w:r>
        <w:rPr>
          <w:rFonts w:ascii="Times New Roman;serif" w:hAnsi="Times New Roman;serif"/>
          <w:b w:val="false"/>
          <w:color w:val="000000"/>
          <w:sz w:val="22"/>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5.2    Conditions of Warrant Agent’s Obligations. </w:t>
      </w:r>
      <w:r>
        <w:rPr>
          <w:rFonts w:ascii="Times New Roman;serif" w:hAnsi="Times New Roman;serif"/>
          <w:b w:val="false"/>
          <w:color w:val="000000"/>
          <w:sz w:val="22"/>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(a)    Compensation and Indemnification. </w:t>
      </w:r>
      <w:r>
        <w:rPr>
          <w:rFonts w:ascii="Times New Roman;serif" w:hAnsi="Times New Roman;serif"/>
          <w:b w:val="false"/>
          <w:color w:val="000000"/>
          <w:sz w:val="22"/>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(b)    Agent for the Company. </w:t>
      </w:r>
      <w:r>
        <w:rPr>
          <w:rFonts w:ascii="Times New Roman;serif" w:hAnsi="Times New Roman;serif"/>
          <w:b w:val="false"/>
          <w:color w:val="000000"/>
          <w:sz w:val="22"/>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(c)    Counsel. </w:t>
      </w:r>
      <w:r>
        <w:rPr>
          <w:rFonts w:ascii="Times New Roman;serif" w:hAnsi="Times New Roman;serif"/>
          <w:b w:val="false"/>
          <w:color w:val="000000"/>
          <w:sz w:val="22"/>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(d)    Documents. </w:t>
      </w:r>
      <w:r>
        <w:rPr>
          <w:rFonts w:ascii="Times New Roman;serif" w:hAnsi="Times New Roman;serif"/>
          <w:b w:val="false"/>
          <w:color w:val="000000"/>
          <w:sz w:val="22"/>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(e)    Certain Transactions. </w:t>
      </w:r>
      <w:r>
        <w:rPr>
          <w:rFonts w:ascii="Times New Roman;serif" w:hAnsi="Times New Roman;serif"/>
          <w:b w:val="false"/>
          <w:color w:val="000000"/>
          <w:sz w:val="22"/>
        </w:rPr>
        <w:t xml:space="preserve">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1"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other obligations of the Company as freely as if it were not the Warrant Agent hereunder. Nothing in this Agreement shall be deemed to prevent the Warrant Agent from acting as trustee under any indenture to which the Company is a party.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(f)    No Liability for Interest. </w:t>
      </w:r>
      <w:r>
        <w:rPr>
          <w:rFonts w:ascii="Times New Roman;serif" w:hAnsi="Times New Roman;serif"/>
          <w:b w:val="false"/>
          <w:color w:val="000000"/>
          <w:sz w:val="22"/>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(g)    No Liability for Invalidity. </w:t>
      </w:r>
      <w:r>
        <w:rPr>
          <w:rFonts w:ascii="Times New Roman;serif" w:hAnsi="Times New Roman;serif"/>
          <w:b w:val="false"/>
          <w:color w:val="000000"/>
          <w:sz w:val="22"/>
        </w:rPr>
        <w:t>The Warrant Agent shall have no liability with respect to any invalidity of this Agreement or any of the Warrant Certificates (except as to the Warrant Agent’s countersignature thereon).</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(h)    No Responsibility for Representations. </w:t>
      </w:r>
      <w:r>
        <w:rPr>
          <w:rFonts w:ascii="Times New Roman;serif" w:hAnsi="Times New Roman;serif"/>
          <w:b w:val="false"/>
          <w:color w:val="000000"/>
          <w:sz w:val="22"/>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(i)    No Implied Obligations. </w:t>
      </w:r>
      <w:r>
        <w:rPr>
          <w:rFonts w:ascii="Times New Roman;serif" w:hAnsi="Times New Roman;serif"/>
          <w:b w:val="false"/>
          <w:color w:val="000000"/>
          <w:sz w:val="22"/>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5.3    Resignation, Removal and Appointment of Successors.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2"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 xml:space="preserve">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6</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MISCELLANEOUS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    Amendment. </w:t>
      </w:r>
      <w:r>
        <w:rPr>
          <w:rFonts w:ascii="Times New Roman;serif" w:hAnsi="Times New Roman;serif"/>
          <w:b w:val="false"/>
          <w:color w:val="000000"/>
          <w:sz w:val="22"/>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6.2    Notices and Demands to the Company and Warrant Agent. </w:t>
      </w:r>
      <w:r>
        <w:rPr>
          <w:rFonts w:ascii="Times New Roman;serif" w:hAnsi="Times New Roman;serif"/>
          <w:b w:val="false"/>
          <w:color w:val="000000"/>
          <w:sz w:val="22"/>
        </w:rPr>
        <w:t xml:space="preserve">If the Warrant Agent shall receive any notice or demand addressed to the Company by the holder of a Warrant Certificate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3"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pursuant to the provisions of the Warrant Certificates, the Warrant Agent shall promptly forward such notice or demand to the Company.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6.3    Addresses. </w:t>
      </w:r>
      <w:r>
        <w:rPr>
          <w:rFonts w:ascii="Times New Roman;serif" w:hAnsi="Times New Roman;serif"/>
          <w:b w:val="false"/>
          <w:color w:val="000000"/>
          <w:sz w:val="22"/>
        </w:rPr>
        <w:t>Any communication from the Company to the Warrant Agent with respect to this Agreement shall be addressed to [●], Attention: [●] and any communication from the Warrant Agent to the Company with respect to this Agreement shall be addressed to Keros Therapeutics, Inc. at 1050 Waltham Street, Suite 302, Lexington, Massachusetts 02421, Attention: [●] (or such other address as shall be specified in writing by the Warrant Agent or by the Company).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6.4    Governing Law. </w:t>
      </w:r>
      <w:r>
        <w:rPr>
          <w:rFonts w:ascii="Times New Roman;serif" w:hAnsi="Times New Roman;serif"/>
          <w:b w:val="false"/>
          <w:color w:val="000000"/>
          <w:sz w:val="22"/>
        </w:rPr>
        <w:t>This Agreement and each Warrant Certificate issued hereunder shall be governed by and construed in accordance with the laws of the State of New York.</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6.5    Delivery of Prospectus. </w:t>
      </w:r>
      <w:r>
        <w:rPr>
          <w:rFonts w:ascii="Times New Roman;serif" w:hAnsi="Times New Roman;serif"/>
          <w:b w:val="false"/>
          <w:color w:val="000000"/>
          <w:sz w:val="22"/>
        </w:rPr>
        <w:t>The Company shall furnish to the Warrant Agent sufficient copies of a prospectus meeting the requirements of the Securities Act of 1933, as amended, relating to the Warrant Securities deliverable upon exercise of the Warrants (the “</w:t>
      </w:r>
      <w:r>
        <w:rPr>
          <w:rFonts w:ascii="Times New Roman;serif" w:hAnsi="Times New Roman;serif"/>
          <w:b/>
          <w:i/>
          <w:color w:val="000000"/>
          <w:sz w:val="22"/>
        </w:rPr>
        <w:t>Prospectus</w:t>
      </w:r>
      <w:r>
        <w:rPr>
          <w:color w:val="000000"/>
        </w:rPr>
        <w:t>”</w:t>
      </w:r>
      <w:r>
        <w:rPr>
          <w:rFonts w:ascii="Times New Roman;serif" w:hAnsi="Times New Roman;serif"/>
          <w:b w:val="false"/>
          <w:color w:val="000000"/>
          <w:sz w:val="22"/>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6.6    Obtaining of Governmental Approvals. </w:t>
      </w:r>
      <w:r>
        <w:rPr>
          <w:rFonts w:ascii="Times New Roman;serif" w:hAnsi="Times New Roman;serif"/>
          <w:b w:val="false"/>
          <w:color w:val="000000"/>
          <w:sz w:val="22"/>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6.7    Persons Having Rights Under the Agreement. </w:t>
      </w:r>
      <w:r>
        <w:rPr>
          <w:rFonts w:ascii="Times New Roman;serif" w:hAnsi="Times New Roman;serif"/>
          <w:b w:val="false"/>
          <w:color w:val="000000"/>
          <w:sz w:val="22"/>
        </w:rPr>
        <w:t>Nothing in this Agreement shall give to any person other than the Company, the Warrant Agent and the holders of the Warrant Certificates any right, remedy or claim under or by reason of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6.8    Headings. </w:t>
      </w:r>
      <w:r>
        <w:rPr>
          <w:rFonts w:ascii="Times New Roman;serif" w:hAnsi="Times New Roman;serif"/>
          <w:b w:val="false"/>
          <w:color w:val="000000"/>
          <w:sz w:val="22"/>
        </w:rPr>
        <w:t>The descriptive headings of the several Articles and Sections of this Agreement are inserted for convenience only and shall not control or affect the meaning or construction of any of the provisions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6.9    Counterparts. </w:t>
      </w:r>
      <w:r>
        <w:rPr>
          <w:rFonts w:ascii="Times New Roman;serif" w:hAnsi="Times New Roman;serif"/>
          <w:b w:val="false"/>
          <w:color w:val="000000"/>
          <w:sz w:val="22"/>
        </w:rPr>
        <w:t>This Agreement may be executed in any number of counterparts, each of which as so executed shall be deemed to be an original, but such counterparts shall together constitute but one and the same instrument.</w:t>
      </w:r>
    </w:p>
    <w:p>
      <w:pPr>
        <w:pStyle w:val="TextBody"/>
        <w:bidi w:val="0"/>
        <w:spacing w:lineRule="auto" w:line="288" w:before="0" w:after="480"/>
        <w:ind w:left="0" w:right="0" w:firstLine="720"/>
        <w:jc w:val="both"/>
        <w:rPr/>
      </w:pPr>
      <w:r>
        <w:rPr>
          <w:rFonts w:ascii="Times New Roman;serif" w:hAnsi="Times New Roman;serif"/>
          <w:b/>
          <w:color w:val="000000"/>
          <w:sz w:val="22"/>
        </w:rPr>
        <w:t xml:space="preserve">6.10    Inspection of Agreement. </w:t>
      </w:r>
      <w:r>
        <w:rPr>
          <w:rFonts w:ascii="Times New Roman;serif" w:hAnsi="Times New Roman;serif"/>
          <w:b w:val="false"/>
          <w:color w:val="000000"/>
          <w:sz w:val="22"/>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4"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the parties hereto have caused this Agreement to be duly executed as of the day and year first above written.</w:t>
      </w:r>
    </w:p>
    <w:tbl>
      <w:tblPr>
        <w:tblW w:w="4403" w:type="dxa"/>
        <w:jc w:val="left"/>
        <w:tblInd w:w="0" w:type="dxa"/>
        <w:tblLayout w:type="fixed"/>
        <w:tblCellMar>
          <w:top w:w="28" w:type="dxa"/>
          <w:left w:w="28" w:type="dxa"/>
          <w:bottom w:w="28" w:type="dxa"/>
          <w:right w:w="28" w:type="dxa"/>
        </w:tblCellMar>
      </w:tblPr>
      <w:tblGrid>
        <w:gridCol w:w="124"/>
        <w:gridCol w:w="109"/>
        <w:gridCol w:w="109"/>
        <w:gridCol w:w="613"/>
        <w:gridCol w:w="613"/>
        <w:gridCol w:w="613"/>
        <w:gridCol w:w="613"/>
        <w:gridCol w:w="613"/>
        <w:gridCol w:w="6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Keros Therapeutics, Inc., as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COUNTERSIGNED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6"/>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2"/>
              </w:rPr>
              <w:t>[●]</w:t>
            </w:r>
            <w:r>
              <w:rPr>
                <w:rFonts w:ascii="Times New Roman;serif" w:hAnsi="Times New Roman;serif"/>
                <w:b w:val="false"/>
                <w:color w:val="000000"/>
                <w:sz w:val="22"/>
              </w:rPr>
              <w:t>, as Warrant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5"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 PAGE TO KEROS THERAPEUTICS, INC. COMMON STOCK WARRANT AGREEMENT]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 PAGE TO KEROS THERAPEUTICS, INC. COMMON STOCK WARRANT AGREEMENT]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WARRANT CERTIFICATE</w:t>
      </w:r>
    </w:p>
    <w:p>
      <w:pPr>
        <w:pStyle w:val="TextBody"/>
        <w:bidi w:val="0"/>
        <w:spacing w:lineRule="auto" w:line="288" w:before="0" w:after="720"/>
        <w:jc w:val="center"/>
        <w:rPr>
          <w:rFonts w:ascii="Times New Roman;serif" w:hAnsi="Times New Roman;serif"/>
          <w:b/>
          <w:color w:val="000000"/>
          <w:sz w:val="22"/>
        </w:rPr>
      </w:pPr>
      <w:r>
        <w:rPr>
          <w:rFonts w:ascii="Times New Roman;serif" w:hAnsi="Times New Roman;serif"/>
          <w:b/>
          <w:color w:val="000000"/>
          <w:sz w:val="22"/>
        </w:rPr>
        <w:t>[FACE OF WARRANT CERTIFICATE]</w:t>
      </w:r>
    </w:p>
    <w:tbl>
      <w:tblPr>
        <w:tblW w:w="10205" w:type="dxa"/>
        <w:jc w:val="left"/>
        <w:tblInd w:w="0" w:type="dxa"/>
        <w:tblLayout w:type="fixed"/>
        <w:tblCellMar>
          <w:top w:w="28" w:type="dxa"/>
          <w:left w:w="28" w:type="dxa"/>
          <w:bottom w:w="28" w:type="dxa"/>
          <w:right w:w="28" w:type="dxa"/>
        </w:tblCellMar>
      </w:tblPr>
      <w:tblGrid>
        <w:gridCol w:w="1635"/>
        <w:gridCol w:w="1436"/>
        <w:gridCol w:w="1444"/>
        <w:gridCol w:w="1666"/>
        <w:gridCol w:w="1666"/>
        <w:gridCol w:w="2358"/>
      </w:tblGrid>
      <w:tr>
        <w:trPr/>
        <w:tc>
          <w:tcPr>
            <w:tcW w:w="163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w:t>
            </w:r>
            <w:r>
              <w:rPr>
                <w:rFonts w:ascii="Times New Roman;serif" w:hAnsi="Times New Roman;serif"/>
                <w:b/>
                <w:i/>
                <w:color w:val="000000"/>
                <w:sz w:val="22"/>
              </w:rPr>
              <w:t>Form of Legend if Warrants are not immediately exercisable.</w:t>
            </w:r>
            <w:r>
              <w:rPr>
                <w:rFonts w:ascii="Times New Roman;serif" w:hAnsi="Times New Roman;serif"/>
                <w:b w:val="false"/>
                <w:color w:val="000000"/>
                <w:sz w:val="22"/>
              </w:rPr>
              <w:t>]</w:t>
            </w:r>
          </w:p>
        </w:tc>
        <w:tc>
          <w:tcPr>
            <w:tcW w:w="56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[Prior to [●], Warrants evidenced by this Warrant Certificate cannot be exercised.]</w:t>
            </w:r>
          </w:p>
        </w:tc>
      </w:tr>
    </w:tbl>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EXERCISABLE ONLY IF COUNTERSIGNED BY THE WARRANT AGENT AS PROVIDED HEREIN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VOID AFTER [●] P.M., [City] time, ON [●].</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Keros Therapeutics,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 CERTIFICATE REPRESENTING</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WARRANTS TO PURCHASE</w:t>
      </w:r>
    </w:p>
    <w:p>
      <w:pPr>
        <w:pStyle w:val="TextBody"/>
        <w:bidi w:val="0"/>
        <w:spacing w:lineRule="auto" w:line="288" w:before="0" w:after="240"/>
        <w:jc w:val="center"/>
        <w:rPr/>
      </w:pPr>
      <w:r>
        <w:rPr>
          <w:rFonts w:ascii="Times New Roman;serif" w:hAnsi="Times New Roman;serif"/>
          <w:b/>
          <w:color w:val="000000"/>
          <w:sz w:val="22"/>
        </w:rPr>
        <w:t>COMMON STOCK, PAR VALUE $</w:t>
      </w:r>
      <w:r>
        <w:rPr>
          <w:rFonts w:ascii="Times New Roman;serif" w:hAnsi="Times New Roman;serif"/>
          <w:b w:val="false"/>
          <w:color w:val="000000"/>
          <w:sz w:val="22"/>
        </w:rPr>
        <w:t xml:space="preserve">0.0001 </w:t>
      </w:r>
      <w:r>
        <w:rPr>
          <w:rFonts w:ascii="Times New Roman;serif" w:hAnsi="Times New Roman;serif"/>
          <w:b/>
          <w:color w:val="000000"/>
          <w:sz w:val="22"/>
        </w:rPr>
        <w:t>PER SHARE</w:t>
      </w:r>
    </w:p>
    <w:tbl>
      <w:tblPr>
        <w:tblW w:w="2146" w:type="dxa"/>
        <w:jc w:val="left"/>
        <w:tblInd w:w="0" w:type="dxa"/>
        <w:tblLayout w:type="fixed"/>
        <w:tblCellMar>
          <w:top w:w="28" w:type="dxa"/>
          <w:left w:w="28" w:type="dxa"/>
          <w:bottom w:w="28" w:type="dxa"/>
          <w:right w:w="28" w:type="dxa"/>
        </w:tblCellMar>
      </w:tblPr>
      <w:tblGrid>
        <w:gridCol w:w="292"/>
        <w:gridCol w:w="257"/>
        <w:gridCol w:w="261"/>
        <w:gridCol w:w="391"/>
        <w:gridCol w:w="391"/>
        <w:gridCol w:w="55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No. [●]</w:t>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2"/>
              </w:rPr>
            </w:pPr>
            <w:r>
              <w:rPr>
                <w:rFonts w:ascii="Times New Roman;serif" w:hAnsi="Times New Roman;serif"/>
                <w:b w:val="false"/>
                <w:color w:val="000000"/>
                <w:sz w:val="22"/>
              </w:rPr>
              <w:t>[●] Warrants</w:t>
            </w:r>
          </w:p>
        </w:tc>
      </w:tr>
    </w:tbl>
    <w:p>
      <w:pPr>
        <w:pStyle w:val="TextBody"/>
        <w:bidi w:val="0"/>
        <w:spacing w:lineRule="auto" w:line="288" w:before="0" w:after="240"/>
        <w:jc w:val="both"/>
        <w:rPr/>
      </w:pPr>
      <w:r>
        <w:rPr>
          <w:rFonts w:ascii="Times New Roman;serif" w:hAnsi="Times New Roman;serif"/>
          <w:b w:val="false"/>
          <w:color w:val="000000"/>
          <w:sz w:val="22"/>
        </w:rPr>
        <w:t>This certifies that [●] or registered assigns is the registered owner of the above indicated number of Warrants, each Warrant entitling such owner to purchase, at any time [after [●] p.m., [City] time, [on [●] and] on or before [●] p.m., [City] time, on [●], [●] shares of Common Stock, par value $0.0001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of Keros Therapeutics,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on the following basis: during the period from [●], through and including [●], the exercise price per Warrant Security will be $[●], subject to adjustment as provided in the Warrant Agreement (as hereinafter defined) (the “</w:t>
      </w:r>
      <w:r>
        <w:rPr>
          <w:rFonts w:ascii="Times New Roman;serif" w:hAnsi="Times New Roman;serif"/>
          <w:b/>
          <w:i/>
          <w:color w:val="000000"/>
          <w:sz w:val="22"/>
        </w:rPr>
        <w:t>Warrant Price</w:t>
      </w:r>
      <w:r>
        <w:rPr>
          <w:color w:val="000000"/>
        </w:rPr>
        <w:t>”</w:t>
      </w:r>
      <w:r>
        <w:rPr>
          <w:rFonts w:ascii="Times New Roman;serif" w:hAnsi="Times New Roman;serif"/>
          <w:b w:val="false"/>
          <w:color w:val="000000"/>
          <w:sz w:val="22"/>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bidi w:val="0"/>
        <w:spacing w:lineRule="auto" w:line="288" w:before="0" w:after="24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lineRule="auto" w:line="288" w:before="0" w:after="240"/>
        <w:jc w:val="both"/>
        <w:rPr/>
      </w:pPr>
      <w:r>
        <w:rPr>
          <w:rFonts w:ascii="Times New Roman;serif" w:hAnsi="Times New Roman;serif"/>
          <w:b w:val="false"/>
          <w:color w:val="000000"/>
          <w:sz w:val="22"/>
        </w:rPr>
        <w:t>This Warrant Certificate is issued under and in accordance with the Warrant Agreement dated as of [●] (the “</w:t>
      </w:r>
      <w:r>
        <w:rPr>
          <w:rFonts w:ascii="Times New Roman;serif" w:hAnsi="Times New Roman;serif"/>
          <w:b/>
          <w:i/>
          <w:color w:val="000000"/>
          <w:sz w:val="22"/>
        </w:rPr>
        <w:t>Warrant Agreement</w:t>
      </w:r>
      <w:r>
        <w:rPr>
          <w:color w:val="000000"/>
        </w:rPr>
        <w:t>”</w:t>
      </w:r>
      <w:r>
        <w:rPr>
          <w:rFonts w:ascii="Times New Roman;serif" w:hAnsi="Times New Roman;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This Warrant Certificate shall not entitle the Holder hereof to any of the rights of a holder of the Warrant Securities, including, without limitation, the right to receive payments of dividends or distributions, if </w:t>
      </w: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on the Warrant Securities (except to the extent set forth in the Warrant Agreement) or to exercise any voting rights.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Certificate shall not be valid or obligatory for any purpose until countersigned by the Warrant Agent.</w:t>
      </w:r>
    </w:p>
    <w:p>
      <w:pPr>
        <w:pStyle w:val="TextBody"/>
        <w:bidi w:val="0"/>
        <w:spacing w:lineRule="auto" w:line="288" w:before="0" w:after="2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Warrant to be executed in its name and on its behalf by the facsimile signatures of its duly authorized officers.</w:t>
      </w:r>
    </w:p>
    <w:tbl>
      <w:tblPr>
        <w:tblW w:w="1434"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38" w:type="dxa"/>
        <w:jc w:val="left"/>
        <w:tblInd w:w="0" w:type="dxa"/>
        <w:tblLayout w:type="fixed"/>
        <w:tblCellMar>
          <w:top w:w="28" w:type="dxa"/>
          <w:left w:w="28" w:type="dxa"/>
          <w:bottom w:w="28" w:type="dxa"/>
          <w:right w:w="28" w:type="dxa"/>
        </w:tblCellMar>
      </w:tblPr>
      <w:tblGrid>
        <w:gridCol w:w="709"/>
        <w:gridCol w:w="625"/>
        <w:gridCol w:w="625"/>
        <w:gridCol w:w="625"/>
        <w:gridCol w:w="625"/>
        <w:gridCol w:w="630"/>
        <w:gridCol w:w="109"/>
        <w:gridCol w:w="109"/>
        <w:gridCol w:w="109"/>
        <w:gridCol w:w="109"/>
        <w:gridCol w:w="109"/>
        <w:gridCol w:w="154"/>
      </w:tblGrid>
      <w:tr>
        <w:trPr/>
        <w:tc>
          <w:tcPr>
            <w:tcW w:w="7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6"/>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2"/>
              </w:rPr>
              <w:t>Keros Therapeutics, Inc.</w:t>
            </w:r>
            <w:r>
              <w:rPr>
                <w:rFonts w:ascii="Times New Roman;serif" w:hAnsi="Times New Roman;serif"/>
                <w:b w:val="false"/>
                <w:color w:val="000000"/>
                <w:sz w:val="22"/>
              </w:rPr>
              <w:t>, as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07"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07"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2207"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COUNTERSIGNED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6"/>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2"/>
              </w:rPr>
              <w:t>[●]</w:t>
            </w:r>
            <w:r>
              <w:rPr>
                <w:rFonts w:ascii="Times New Roman;serif" w:hAnsi="Times New Roman;serif"/>
                <w:b w:val="false"/>
                <w:color w:val="000000"/>
                <w:sz w:val="22"/>
              </w:rPr>
              <w:t>, as Warrant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07"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07"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207"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2207"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[REVERSE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(Instructions for Exercise of Warrant)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(To be executed upon exercise of Warrants)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undersigned hereby irrevocably elects to exercise ______ Warrants, evidenced by this Warrant Certificate, to purchase _______ shares of the Common Stock, par value $0.0001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of Keros Therapeutics,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Keros Therapeutics,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tbl>
      <w:tblPr>
        <w:tblW w:w="6534" w:type="dxa"/>
        <w:jc w:val="left"/>
        <w:tblInd w:w="0" w:type="dxa"/>
        <w:tblLayout w:type="fixed"/>
        <w:tblCellMar>
          <w:top w:w="28" w:type="dxa"/>
          <w:left w:w="28" w:type="dxa"/>
          <w:bottom w:w="28" w:type="dxa"/>
          <w:right w:w="28" w:type="dxa"/>
        </w:tblCellMar>
      </w:tblPr>
      <w:tblGrid>
        <w:gridCol w:w="553"/>
        <w:gridCol w:w="486"/>
        <w:gridCol w:w="488"/>
        <w:gridCol w:w="225"/>
        <w:gridCol w:w="225"/>
        <w:gridCol w:w="225"/>
        <w:gridCol w:w="220"/>
        <w:gridCol w:w="220"/>
        <w:gridCol w:w="220"/>
        <w:gridCol w:w="220"/>
        <w:gridCol w:w="220"/>
        <w:gridCol w:w="220"/>
        <w:gridCol w:w="484"/>
        <w:gridCol w:w="484"/>
        <w:gridCol w:w="488"/>
        <w:gridCol w:w="109"/>
        <w:gridCol w:w="109"/>
        <w:gridCol w:w="109"/>
        <w:gridCol w:w="359"/>
        <w:gridCol w:w="359"/>
        <w:gridCol w:w="511"/>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3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Please Print</w:t>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Address:</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(Insert Social Security or Other Identifying Number</w:t>
            </w:r>
          </w:p>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of 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tc>
        <w:tc>
          <w:tcPr>
            <w:tcW w:w="277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this Warrant Certificate and must bear a signature guarantee by a FINRA member firm).</w:t>
      </w: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may be exercised at the following addresses: By hand at: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mail at: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ASSIGNMENT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assignment to be executed if Warrant Holder desires to transfer Warrant]</w:t>
      </w:r>
    </w:p>
    <w:p>
      <w:pPr>
        <w:pStyle w:val="TextBody"/>
        <w:bidi w:val="0"/>
        <w:spacing w:lineRule="auto" w:line="288" w:before="0" w:after="240"/>
        <w:ind w:left="0" w:right="0" w:firstLine="720"/>
        <w:jc w:val="both"/>
        <w:rPr/>
      </w:pPr>
      <w:r>
        <w:rPr>
          <w:rFonts w:ascii="Times New Roman;serif" w:hAnsi="Times New Roman;serif"/>
          <w:b/>
          <w:color w:val="000000"/>
          <w:sz w:val="22"/>
        </w:rPr>
        <w:t>FOR VALUE RECEIVED,</w:t>
      </w:r>
      <w:r>
        <w:rPr>
          <w:color w:val="000000"/>
        </w:rPr>
        <w:t xml:space="preserve"> </w:t>
      </w:r>
      <w:r>
        <w:rPr>
          <w:rFonts w:ascii="Times New Roman;serif" w:hAnsi="Times New Roman;serif"/>
          <w:b w:val="false"/>
          <w:color w:val="000000"/>
          <w:sz w:val="22"/>
        </w:rPr>
        <w:t>______________ hereby sells, assigns and transfers unto:</w:t>
      </w:r>
    </w:p>
    <w:tbl>
      <w:tblPr>
        <w:tblW w:w="10205" w:type="dxa"/>
        <w:jc w:val="left"/>
        <w:tblInd w:w="0" w:type="dxa"/>
        <w:tblLayout w:type="fixed"/>
        <w:tblCellMar>
          <w:top w:w="28" w:type="dxa"/>
          <w:left w:w="28" w:type="dxa"/>
          <w:bottom w:w="28" w:type="dxa"/>
          <w:right w:w="28" w:type="dxa"/>
        </w:tblCellMar>
      </w:tblPr>
      <w:tblGrid>
        <w:gridCol w:w="544"/>
        <w:gridCol w:w="245"/>
        <w:gridCol w:w="245"/>
        <w:gridCol w:w="245"/>
        <w:gridCol w:w="245"/>
        <w:gridCol w:w="245"/>
        <w:gridCol w:w="245"/>
        <w:gridCol w:w="245"/>
        <w:gridCol w:w="245"/>
        <w:gridCol w:w="245"/>
        <w:gridCol w:w="245"/>
        <w:gridCol w:w="245"/>
        <w:gridCol w:w="245"/>
        <w:gridCol w:w="245"/>
        <w:gridCol w:w="245"/>
        <w:gridCol w:w="245"/>
        <w:gridCol w:w="245"/>
        <w:gridCol w:w="245"/>
        <w:gridCol w:w="150"/>
        <w:gridCol w:w="150"/>
        <w:gridCol w:w="150"/>
        <w:gridCol w:w="150"/>
        <w:gridCol w:w="150"/>
        <w:gridCol w:w="150"/>
        <w:gridCol w:w="433"/>
        <w:gridCol w:w="433"/>
        <w:gridCol w:w="433"/>
        <w:gridCol w:w="433"/>
        <w:gridCol w:w="433"/>
        <w:gridCol w:w="433"/>
        <w:gridCol w:w="915"/>
        <w:gridCol w:w="433"/>
        <w:gridCol w:w="650"/>
      </w:tblGrid>
      <w:tr>
        <w:trPr/>
        <w:tc>
          <w:tcPr>
            <w:tcW w:w="5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23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(Please print name and address including zip code)</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Please print Social Security or other identifying number</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the right represented by the within Warrant to purchase _______________ shares of [Title of Warrant Securities] of Keros Therapeutics, Inc. to which the within Warrant relates and appoints ____________________ attorney to transfer such right on the books of the Warrant Agent with full power of substitution in the premises.</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the Warrant)</w:t>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21"/>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4.7</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70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KEROS THERAPEUTICS,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_____________, AS WARRANT AGENT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PREFERRED STOCK</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DATED AS OF 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KEROS THERAPEUTICS, INC. FORM OF PREFERRED STOCK WARRANT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PREFERRED STOCK WARRANT AGREEMENT </w:t>
      </w:r>
      <w:r>
        <w:rPr>
          <w:rFonts w:ascii="Times New Roman;serif" w:hAnsi="Times New Roman;serif"/>
          <w:b w:val="false"/>
          <w:color w:val="000000"/>
          <w:sz w:val="22"/>
        </w:rPr>
        <w:t>(this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dated as of [</w:t>
      </w:r>
      <w:r>
        <w:rPr>
          <w:rFonts w:ascii="Wingdings;sans-serif" w:hAnsi="Wingdings;sans-serif"/>
          <w:b w:val="false"/>
          <w:color w:val="000000"/>
          <w:sz w:val="22"/>
        </w:rPr>
        <w:t>l</w:t>
      </w:r>
      <w:r>
        <w:rPr>
          <w:rFonts w:ascii="Times New Roman;serif" w:hAnsi="Times New Roman;serif"/>
          <w:b w:val="false"/>
          <w:color w:val="000000"/>
          <w:sz w:val="22"/>
        </w:rPr>
        <w:t xml:space="preserve">], between </w:t>
      </w:r>
      <w:r>
        <w:rPr>
          <w:rFonts w:ascii="Times New Roman;serif" w:hAnsi="Times New Roman;serif"/>
          <w:b/>
          <w:color w:val="000000"/>
          <w:sz w:val="22"/>
        </w:rPr>
        <w:t>KEROS THERAPEUTICS, INC.</w:t>
      </w:r>
      <w:r>
        <w:rPr>
          <w:rFonts w:ascii="Times New Roman;serif" w:hAnsi="Times New Roman;serif"/>
          <w:b w:val="false"/>
          <w:color w:val="000000"/>
          <w:sz w:val="22"/>
        </w:rPr>
        <w:t>,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w:t>
      </w:r>
      <w:r>
        <w:rPr>
          <w:rFonts w:ascii="Wingdings;sans-serif" w:hAnsi="Wingdings;sans-serif"/>
          <w:b w:val="false"/>
          <w:color w:val="000000"/>
          <w:sz w:val="22"/>
        </w:rPr>
        <w:t>l</w:t>
      </w:r>
      <w:r>
        <w:rPr>
          <w:rFonts w:ascii="Times New Roman;serif" w:hAnsi="Times New Roman;serif"/>
          <w:b w:val="false"/>
          <w:color w:val="000000"/>
          <w:sz w:val="22"/>
        </w:rPr>
        <w:t>], a [corporation] [national banking association] organized and existing under the laws of [</w:t>
      </w:r>
      <w:r>
        <w:rPr>
          <w:rFonts w:ascii="Wingdings;sans-serif" w:hAnsi="Wingdings;sans-serif"/>
          <w:b w:val="false"/>
          <w:color w:val="000000"/>
          <w:sz w:val="22"/>
        </w:rPr>
        <w:t>l</w:t>
      </w:r>
      <w:r>
        <w:rPr>
          <w:rFonts w:ascii="Times New Roman;serif" w:hAnsi="Times New Roman;serif"/>
          <w:b w:val="false"/>
          <w:color w:val="000000"/>
          <w:sz w:val="22"/>
        </w:rPr>
        <w:t>] and having a corporate trust office in [</w:t>
      </w:r>
      <w:r>
        <w:rPr>
          <w:rFonts w:ascii="Wingdings;sans-serif" w:hAnsi="Wingdings;sans-serif"/>
          <w:b w:val="false"/>
          <w:color w:val="000000"/>
          <w:sz w:val="22"/>
        </w:rPr>
        <w:t>l</w:t>
      </w:r>
      <w:r>
        <w:rPr>
          <w:rFonts w:ascii="Times New Roman;serif" w:hAnsi="Times New Roman;serif"/>
          <w:b w:val="false"/>
          <w:color w:val="000000"/>
          <w:sz w:val="22"/>
        </w:rPr>
        <w:t>],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color w:val="000000"/>
        </w:rPr>
        <w:t xml:space="preserve"> </w:t>
      </w:r>
      <w:r>
        <w:rPr>
          <w:rFonts w:ascii="Times New Roman;serif" w:hAnsi="Times New Roman;serif"/>
          <w:b w:val="false"/>
          <w:color w:val="000000"/>
          <w:sz w:val="22"/>
        </w:rPr>
        <w:t>the Company proposes to sell [</w:t>
      </w:r>
      <w:r>
        <w:rPr>
          <w:rFonts w:ascii="Times New Roman;serif" w:hAnsi="Times New Roman;serif"/>
          <w:b/>
          <w:i/>
          <w:color w:val="000000"/>
          <w:sz w:val="22"/>
        </w:rPr>
        <w:t xml:space="preserve">If Warrants are sold with other securities — </w:t>
      </w:r>
      <w:r>
        <w:rPr>
          <w:rFonts w:ascii="Times New Roman;serif" w:hAnsi="Times New Roman;serif"/>
          <w:b w:val="false"/>
          <w:color w:val="000000"/>
          <w:sz w:val="22"/>
        </w:rPr>
        <w:t>[title of such other securities being offered] (the “</w:t>
      </w:r>
      <w:r>
        <w:rPr>
          <w:rFonts w:ascii="Times New Roman;serif" w:hAnsi="Times New Roman;serif"/>
          <w:b/>
          <w:i/>
          <w:color w:val="000000"/>
          <w:sz w:val="22"/>
        </w:rPr>
        <w:t>Other Securities</w:t>
      </w:r>
      <w:r>
        <w:rPr>
          <w:color w:val="000000"/>
        </w:rPr>
        <w:t>”</w:t>
      </w:r>
      <w:r>
        <w:rPr>
          <w:rFonts w:ascii="Times New Roman;serif" w:hAnsi="Times New Roman;serif"/>
          <w:b w:val="false"/>
          <w:color w:val="000000"/>
          <w:sz w:val="22"/>
        </w:rPr>
        <w:t>) with] warrant certificates evidencing one or more warrants (the “</w:t>
      </w:r>
      <w:r>
        <w:rPr>
          <w:rFonts w:ascii="Times New Roman;serif" w:hAnsi="Times New Roman;serif"/>
          <w:b/>
          <w:i/>
          <w:color w:val="000000"/>
          <w:sz w:val="22"/>
        </w:rPr>
        <w:t>Warrants</w:t>
      </w:r>
      <w:r>
        <w:rPr>
          <w:color w:val="000000"/>
        </w:rPr>
        <w:t xml:space="preserve">” </w:t>
      </w:r>
      <w:r>
        <w:rPr>
          <w:rFonts w:ascii="Times New Roman;serif" w:hAnsi="Times New Roman;serif"/>
          <w:b w:val="false"/>
          <w:color w:val="000000"/>
          <w:sz w:val="22"/>
        </w:rPr>
        <w:t>or, individually, a “</w:t>
      </w:r>
      <w:r>
        <w:rPr>
          <w:rFonts w:ascii="Times New Roman;serif" w:hAnsi="Times New Roman;serif"/>
          <w:b/>
          <w:i/>
          <w:color w:val="000000"/>
          <w:sz w:val="22"/>
        </w:rPr>
        <w:t>Warrant</w:t>
      </w:r>
      <w:r>
        <w:rPr>
          <w:color w:val="000000"/>
        </w:rPr>
        <w:t>”</w:t>
      </w:r>
      <w:r>
        <w:rPr>
          <w:rFonts w:ascii="Times New Roman;serif" w:hAnsi="Times New Roman;serif"/>
          <w:b w:val="false"/>
          <w:color w:val="000000"/>
          <w:sz w:val="22"/>
        </w:rPr>
        <w:t>) representing the right to purchase [title of Preferred Stock purchasable through exercise of Warrants] of the Company, par value $0.0001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such warrant certificates and other warrant certificates issued pursuant to this Agreement being herein called the “</w:t>
      </w:r>
      <w:r>
        <w:rPr>
          <w:rFonts w:ascii="Times New Roman;serif" w:hAnsi="Times New Roman;serif"/>
          <w:b/>
          <w:i/>
          <w:color w:val="000000"/>
          <w:sz w:val="22"/>
        </w:rPr>
        <w:t>Warrant Certificates</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color w:val="000000"/>
        </w:rPr>
        <w:t xml:space="preserve"> </w:t>
      </w:r>
      <w:r>
        <w:rPr>
          <w:rFonts w:ascii="Times New Roman;serif" w:hAnsi="Times New Roman;serif"/>
          <w:b w:val="false"/>
          <w:color w:val="000000"/>
          <w:sz w:val="22"/>
        </w:rPr>
        <w:t>in consideration of the premises and of the mutual agreements herein contained, the parties hereto agree as follows: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ISSUANCE OF WARRANTS AND EXECUTION 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DELIVERY OF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1.1    Issuance of Warrants. </w:t>
      </w:r>
      <w:r>
        <w:rPr>
          <w:rFonts w:ascii="Times New Roman;serif" w:hAnsi="Times New Roman;serif"/>
          <w:b w:val="false"/>
          <w:color w:val="000000"/>
          <w:sz w:val="22"/>
        </w:rPr>
        <w:t>[</w:t>
      </w:r>
      <w:r>
        <w:rPr>
          <w:rFonts w:ascii="Times New Roman;serif" w:hAnsi="Times New Roman;serif"/>
          <w:b/>
          <w:i/>
          <w:color w:val="000000"/>
          <w:sz w:val="22"/>
        </w:rPr>
        <w:t>If Warrants alone</w:t>
      </w:r>
      <w:r>
        <w:rPr>
          <w:color w:val="000000"/>
        </w:rPr>
        <w:t xml:space="preserve"> —</w:t>
      </w:r>
      <w:r>
        <w:rPr>
          <w:rFonts w:ascii="Times New Roman;serif" w:hAnsi="Times New Roman;serif"/>
          <w:b w:val="false"/>
          <w:color w:val="000000"/>
          <w:sz w:val="22"/>
        </w:rPr>
        <w:t>Upon issuance, each Warrant Certificate shall evidence one or more Warrants.] [</w:t>
      </w:r>
      <w:r>
        <w:rPr>
          <w:rFonts w:ascii="Times New Roman;serif" w:hAnsi="Times New Roman;serif"/>
          <w:b/>
          <w:i/>
          <w:color w:val="000000"/>
          <w:sz w:val="22"/>
        </w:rPr>
        <w:t>If Other Securities and Warrants</w:t>
      </w:r>
      <w:r>
        <w:rPr>
          <w:color w:val="000000"/>
        </w:rPr>
        <w:t xml:space="preserve"> —</w:t>
      </w:r>
      <w:r>
        <w:rPr>
          <w:rFonts w:ascii="Times New Roman;serif" w:hAnsi="Times New Roman;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serif" w:hAnsi="Times New Roman;serif"/>
          <w:b/>
          <w:i/>
          <w:color w:val="000000"/>
          <w:sz w:val="22"/>
        </w:rPr>
        <w:t>If Other Securities and Warrants</w:t>
      </w:r>
      <w:r>
        <w:rPr>
          <w:color w:val="000000"/>
        </w:rPr>
        <w:t xml:space="preserve"> —</w:t>
      </w:r>
      <w:r>
        <w:rPr>
          <w:rFonts w:ascii="Times New Roman;serif" w:hAnsi="Times New Roman;serif"/>
          <w:b w:val="false"/>
          <w:color w:val="000000"/>
          <w:sz w:val="22"/>
        </w:rPr>
        <w:t>Warrant Certificates will be issued with the Other Securities and each Warrant Certificate will evidence [</w:t>
      </w:r>
      <w:r>
        <w:rPr>
          <w:rFonts w:ascii="Wingdings;sans-serif" w:hAnsi="Wingdings;sans-serif"/>
          <w:b w:val="false"/>
          <w:color w:val="000000"/>
          <w:sz w:val="22"/>
        </w:rPr>
        <w:t>l</w:t>
      </w:r>
      <w:r>
        <w:rPr>
          <w:rFonts w:ascii="Times New Roman;serif" w:hAnsi="Times New Roman;serif"/>
          <w:b w:val="false"/>
          <w:color w:val="000000"/>
          <w:sz w:val="22"/>
        </w:rPr>
        <w:t>] Warrants for each [$[</w:t>
      </w:r>
      <w:r>
        <w:rPr>
          <w:rFonts w:ascii="Wingdings;sans-serif" w:hAnsi="Wingdings;sans-serif"/>
          <w:b w:val="false"/>
          <w:color w:val="000000"/>
          <w:sz w:val="22"/>
        </w:rPr>
        <w:t>l</w:t>
      </w:r>
      <w:r>
        <w:rPr>
          <w:rFonts w:ascii="Times New Roman;serif" w:hAnsi="Times New Roman;serif"/>
          <w:b w:val="false"/>
          <w:color w:val="000000"/>
          <w:sz w:val="22"/>
        </w:rPr>
        <w:t>] principal amount] [[</w:t>
      </w:r>
      <w:r>
        <w:rPr>
          <w:rFonts w:ascii="Wingdings;sans-serif" w:hAnsi="Wingdings;sans-serif"/>
          <w:b w:val="false"/>
          <w:color w:val="000000"/>
          <w:sz w:val="22"/>
        </w:rPr>
        <w:t>l</w:t>
      </w:r>
      <w:r>
        <w:rPr>
          <w:rFonts w:ascii="Times New Roman;serif" w:hAnsi="Times New Roman;serif"/>
          <w:b w:val="false"/>
          <w:color w:val="000000"/>
          <w:sz w:val="22"/>
        </w:rPr>
        <w:t>] shares] of Other Securities issued.]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    Execution and Delivery of Warrant Certificates. </w:t>
      </w:r>
      <w:r>
        <w:rPr>
          <w:rFonts w:ascii="Times New Roman;serif" w:hAnsi="Times New Roman;serif"/>
          <w:b w:val="false"/>
          <w:color w:val="000000"/>
          <w:sz w:val="22"/>
        </w:rPr>
        <w:t xml:space="preserve">Each Warrant Certificate, whenever issued, shall be in registered form substantially in the form set forth in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3"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Certificates. The seal of the Company may be in the form of a facsimile thereof and may be impressed, affixed, imprinted or otherwise reproduced on the Warrant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holder of a Warrant Certificate</w:t>
      </w:r>
      <w:r>
        <w:rPr>
          <w:color w:val="000000"/>
        </w:rPr>
        <w:t xml:space="preserve">” </w:t>
      </w:r>
      <w:r>
        <w:rPr>
          <w:rFonts w:ascii="Times New Roman;serif" w:hAnsi="Times New Roman;serif"/>
          <w:b w:val="false"/>
          <w:color w:val="000000"/>
          <w:sz w:val="22"/>
        </w:rPr>
        <w:t>as used herein shall mean any person in whose name at the time any Warrant Certificate shall be registered upon the books to be maintained by the Warrant Agent for that purpose.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1.3    Issuance of Warrant Certificates. </w:t>
      </w:r>
      <w:r>
        <w:rPr>
          <w:rFonts w:ascii="Times New Roman;serif" w:hAnsi="Times New Roman;serif"/>
          <w:b w:val="false"/>
          <w:color w:val="000000"/>
          <w:sz w:val="22"/>
        </w:rPr>
        <w:t>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2</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PRICE, DURATION AND EXERCISE OF WARRANTS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2.1    Warrant Price. </w:t>
      </w:r>
      <w:r>
        <w:rPr>
          <w:rFonts w:ascii="Times New Roman;serif" w:hAnsi="Times New Roman;serif"/>
          <w:b w:val="false"/>
          <w:color w:val="000000"/>
          <w:sz w:val="22"/>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w:t>
      </w:r>
      <w:r>
        <w:rPr>
          <w:rFonts w:ascii="Wingdings;sans-serif" w:hAnsi="Wingdings;sans-serif"/>
          <w:b w:val="false"/>
          <w:color w:val="000000"/>
          <w:sz w:val="22"/>
        </w:rPr>
        <w:t>l</w:t>
      </w:r>
      <w:r>
        <w:rPr>
          <w:rFonts w:ascii="Times New Roman;serif" w:hAnsi="Times New Roman;serif"/>
          <w:b w:val="false"/>
          <w:color w:val="000000"/>
          <w:sz w:val="22"/>
        </w:rPr>
        <w:t>] per Warrant Security, subject to adjustment upon the occurrence of certain events, as hereinafter provided. Such purchase price per Warrant Security is referred to in this Agreement as the “</w:t>
      </w:r>
      <w:r>
        <w:rPr>
          <w:rFonts w:ascii="Times New Roman;serif" w:hAnsi="Times New Roman;serif"/>
          <w:b/>
          <w:i/>
          <w:color w:val="000000"/>
          <w:sz w:val="22"/>
        </w:rPr>
        <w:t>Warrant Price.</w:t>
      </w:r>
      <w:r>
        <w:rPr>
          <w:color w:val="000000"/>
        </w:rPr>
        <w: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2.2    Duration of Warrants. </w:t>
      </w:r>
      <w:r>
        <w:rPr>
          <w:rFonts w:ascii="Times New Roman;serif" w:hAnsi="Times New Roman;serif"/>
          <w:b w:val="false"/>
          <w:color w:val="000000"/>
          <w:sz w:val="22"/>
        </w:rPr>
        <w:t>Each Warrant may be exercised in whole or in part at any time, as specified herein, on or after [the date thereof] [</w:t>
      </w:r>
      <w:r>
        <w:rPr>
          <w:rFonts w:ascii="Wingdings;sans-serif" w:hAnsi="Wingdings;sans-serif"/>
          <w:b w:val="false"/>
          <w:color w:val="000000"/>
          <w:sz w:val="22"/>
        </w:rPr>
        <w:t>l</w:t>
      </w:r>
      <w:r>
        <w:rPr>
          <w:rFonts w:ascii="Times New Roman;serif" w:hAnsi="Times New Roman;serif"/>
          <w:b w:val="false"/>
          <w:color w:val="000000"/>
          <w:sz w:val="22"/>
        </w:rPr>
        <w:t>] and at or before [</w:t>
      </w:r>
      <w:r>
        <w:rPr>
          <w:rFonts w:ascii="Wingdings;sans-serif" w:hAnsi="Wingdings;sans-serif"/>
          <w:b w:val="false"/>
          <w:color w:val="000000"/>
          <w:sz w:val="22"/>
        </w:rPr>
        <w:t>l</w:t>
      </w:r>
      <w:r>
        <w:rPr>
          <w:rFonts w:ascii="Times New Roman;serif" w:hAnsi="Times New Roman;serif"/>
          <w:b w:val="false"/>
          <w:color w:val="000000"/>
          <w:sz w:val="22"/>
        </w:rPr>
        <w:t>] p.m., [City] time, on [</w:t>
      </w:r>
      <w:r>
        <w:rPr>
          <w:rFonts w:ascii="Wingdings;sans-serif" w:hAnsi="Wingdings;sans-serif"/>
          <w:b w:val="false"/>
          <w:color w:val="000000"/>
          <w:sz w:val="22"/>
        </w:rPr>
        <w:t>l</w:t>
      </w:r>
      <w:r>
        <w:rPr>
          <w:rFonts w:ascii="Times New Roman;serif" w:hAnsi="Times New Roman;serif"/>
          <w:b w:val="false"/>
          <w:color w:val="000000"/>
          <w:sz w:val="22"/>
        </w:rPr>
        <w:t>] or such later date as the Company may designate by notice to the Warrant Agent and the holders of Warrant Certificates mailed to their addresses as set forth in the record books of the Warrant Agent (the “</w:t>
      </w:r>
      <w:r>
        <w:rPr>
          <w:rFonts w:ascii="Times New Roman;serif" w:hAnsi="Times New Roman;serif"/>
          <w:b/>
          <w:i/>
          <w:color w:val="000000"/>
          <w:sz w:val="22"/>
        </w:rPr>
        <w:t>Expiration Date</w:t>
      </w:r>
      <w:r>
        <w:rPr>
          <w:color w:val="000000"/>
        </w:rPr>
        <w:t>”</w:t>
      </w:r>
      <w:r>
        <w:rPr>
          <w:rFonts w:ascii="Times New Roman;serif" w:hAnsi="Times New Roman;serif"/>
          <w:b w:val="false"/>
          <w:color w:val="000000"/>
          <w:sz w:val="22"/>
        </w:rPr>
        <w:t>). Each Warrant not exercised at or before [</w:t>
      </w:r>
      <w:r>
        <w:rPr>
          <w:rFonts w:ascii="Wingdings;sans-serif" w:hAnsi="Wingdings;sans-serif"/>
          <w:b w:val="false"/>
          <w:color w:val="000000"/>
          <w:sz w:val="22"/>
        </w:rPr>
        <w:t>l</w:t>
      </w:r>
      <w:r>
        <w:rPr>
          <w:rFonts w:ascii="Times New Roman;serif" w:hAnsi="Times New Roman;serif"/>
          <w:b w:val="false"/>
          <w:color w:val="000000"/>
          <w:sz w:val="22"/>
        </w:rPr>
        <w:t>] p.m., [City] time, on the Expiration Date shall become void, and all rights of the holder of the Warrant Certificate evidencing such Warrant under this Agreement shall cease.</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4"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2.3    Exercise of Warrants.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5"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3</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OTHER PROVISIONS RELATING TO RIGHTS OF HOLDERS OF</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3.1    No Rights as Warrant Securityholder Conferred by Warrants or Warrant Certificates. </w:t>
      </w:r>
      <w:r>
        <w:rPr>
          <w:rFonts w:ascii="Times New Roman;serif" w:hAnsi="Times New Roman;serif"/>
          <w:b w:val="false"/>
          <w:color w:val="000000"/>
          <w:sz w:val="22"/>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3.2    Lost, Stolen, Mutilated or Destroyed Warrant Certificates. </w:t>
      </w:r>
      <w:r>
        <w:rPr>
          <w:rFonts w:ascii="Times New Roman;serif" w:hAnsi="Times New Roman;serif"/>
          <w:b w:val="false"/>
          <w:color w:val="000000"/>
          <w:sz w:val="22"/>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3.3    Holder of Warrant Certificate May Enforce Rights. </w:t>
      </w:r>
      <w:r>
        <w:rPr>
          <w:rFonts w:ascii="Times New Roman;serif" w:hAnsi="Times New Roman;serif"/>
          <w:b w:val="false"/>
          <w:color w:val="000000"/>
          <w:sz w:val="22"/>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3.4    Adjustments.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 xml:space="preserve">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6"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pStyle w:val="TextBody"/>
        <w:bidi w:val="0"/>
        <w:spacing w:lineRule="auto" w:line="288" w:before="0" w:after="240"/>
        <w:ind w:left="0" w:right="0" w:firstLine="2160"/>
        <w:jc w:val="both"/>
        <w:rPr/>
      </w:pPr>
      <w:r>
        <w:rPr>
          <w:rFonts w:ascii="Times New Roman;serif" w:hAnsi="Times New Roman;serif"/>
          <w:b/>
          <w:color w:val="000000"/>
          <w:sz w:val="22"/>
        </w:rPr>
        <w:t>(i)    </w:t>
      </w:r>
      <w:r>
        <w:rPr>
          <w:rFonts w:ascii="Times New Roman;serif" w:hAnsi="Times New Roman;serif"/>
          <w:b w:val="false"/>
          <w:color w:val="000000"/>
          <w:sz w:val="22"/>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pStyle w:val="TextBody"/>
        <w:bidi w:val="0"/>
        <w:spacing w:lineRule="auto" w:line="288" w:before="0" w:after="240"/>
        <w:ind w:left="0" w:right="0" w:firstLine="2160"/>
        <w:jc w:val="both"/>
        <w:rPr/>
      </w:pPr>
      <w:r>
        <w:rPr>
          <w:rFonts w:ascii="Times New Roman;serif" w:hAnsi="Times New Roman;serif"/>
          <w:b/>
          <w:color w:val="000000"/>
          <w:sz w:val="22"/>
        </w:rPr>
        <w:t>(ii)    </w:t>
      </w:r>
      <w:r>
        <w:rPr>
          <w:rFonts w:ascii="Times New Roman;serif" w:hAnsi="Times New Roman;serif"/>
          <w:b w:val="false"/>
          <w:color w:val="000000"/>
          <w:sz w:val="22"/>
        </w:rPr>
        <w:t>any cash paid or payable otherwise than in accordance with the terms of [title of Preferred Stock purchasable through exercise of Warrants] or as a cash dividend paid or payable out of the Company’s current or retained earnings;</w:t>
      </w:r>
    </w:p>
    <w:p>
      <w:pPr>
        <w:pStyle w:val="TextBody"/>
        <w:bidi w:val="0"/>
        <w:spacing w:lineRule="auto" w:line="288" w:before="0" w:after="240"/>
        <w:ind w:left="0" w:right="0" w:firstLine="2160"/>
        <w:jc w:val="both"/>
        <w:rPr/>
      </w:pPr>
      <w:r>
        <w:rPr>
          <w:rFonts w:ascii="Times New Roman;serif" w:hAnsi="Times New Roman;serif"/>
          <w:b/>
          <w:color w:val="000000"/>
          <w:sz w:val="22"/>
        </w:rPr>
        <w:t>(iii)    </w:t>
      </w:r>
      <w:r>
        <w:rPr>
          <w:rFonts w:ascii="Times New Roman;serif" w:hAnsi="Times New Roman;serif"/>
          <w:b w:val="false"/>
          <w:color w:val="000000"/>
          <w:sz w:val="22"/>
        </w:rPr>
        <w:t>any evidence of the Company’s indebtedness or rights to subscribe for or purchase the Company’s indebtedness; or</w:t>
      </w:r>
    </w:p>
    <w:p>
      <w:pPr>
        <w:pStyle w:val="TextBody"/>
        <w:bidi w:val="0"/>
        <w:spacing w:lineRule="auto" w:line="288" w:before="0" w:after="240"/>
        <w:ind w:left="0" w:right="0" w:firstLine="2160"/>
        <w:jc w:val="both"/>
        <w:rPr/>
      </w:pPr>
      <w:r>
        <w:rPr>
          <w:rFonts w:ascii="Times New Roman;serif" w:hAnsi="Times New Roman;serif"/>
          <w:b/>
          <w:color w:val="000000"/>
          <w:sz w:val="22"/>
        </w:rPr>
        <w:t>(iv)    </w:t>
      </w:r>
      <w:r>
        <w:rPr>
          <w:rFonts w:ascii="Times New Roman;serif" w:hAnsi="Times New Roman;serif"/>
          <w:b w:val="false"/>
          <w:color w:val="000000"/>
          <w:sz w:val="22"/>
        </w:rPr>
        <w:t xml:space="preserve">[title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 </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serif" w:hAnsi="Times New Roman;serif"/>
          <w:b/>
          <w:i/>
          <w:color w:val="000000"/>
          <w:sz w:val="22"/>
        </w:rPr>
        <w:t>Reorganization Event</w:t>
      </w:r>
      <w:r>
        <w:rPr>
          <w:color w:val="000000"/>
        </w:rPr>
        <w:t>”</w:t>
      </w:r>
      <w:r>
        <w:rPr>
          <w:rFonts w:ascii="Times New Roman;serif" w:hAnsi="Times New Roman;serif"/>
          <w:b w:val="false"/>
          <w:color w:val="000000"/>
          <w:sz w:val="22"/>
        </w:rPr>
        <w:t xml:space="preserve">),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7"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 xml:space="preserve">Except as herein otherwise expressly provided, no adjustment in the Warrant Price shall be made by reason of the issuance of </w:t>
      </w:r>
      <w:r>
        <w:rPr>
          <w:rFonts w:ascii="Times New Roman;serif" w:hAnsi="Times New Roman;serif"/>
          <w:b w:val="false"/>
          <w:color w:val="000000"/>
          <w:sz w:val="22"/>
          <w:shd w:fill="FFFFFF" w:val="clear"/>
        </w:rPr>
        <w:t>any securities of the Company or for any other reason whatsoever.</w:t>
      </w:r>
    </w:p>
    <w:p>
      <w:pPr>
        <w:pStyle w:val="TextBody"/>
        <w:bidi w:val="0"/>
        <w:spacing w:lineRule="auto" w:line="288" w:before="0" w:after="240"/>
        <w:ind w:left="0" w:right="0" w:firstLine="1440"/>
        <w:jc w:val="both"/>
        <w:rPr/>
      </w:pPr>
      <w:r>
        <w:rPr>
          <w:rFonts w:ascii="Times New Roman;serif" w:hAnsi="Times New Roman;serif"/>
          <w:b/>
          <w:color w:val="000000"/>
          <w:sz w:val="22"/>
        </w:rPr>
        <w:t>(f)    </w:t>
      </w:r>
      <w:r>
        <w:rPr>
          <w:rFonts w:ascii="Times New Roman;serif" w:hAnsi="Times New Roman;serif"/>
          <w:b w:val="false"/>
          <w:color w:val="000000"/>
          <w:sz w:val="22"/>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any U.S. quotation medium or inter-dealer quotation system on such date, or if on any such date the Warrant Securities are not listed or admitted to trading on a registered national securities exchange and are not quoted on any other U.S. quotation medium or inter-dealer quotation system, an amount equal to the same fraction of the average of the closing bid and asked prices as furnished by any Financial Industry Regulatory Authority, Inc. (“</w:t>
      </w:r>
      <w:r>
        <w:rPr>
          <w:rFonts w:ascii="Times New Roman;serif" w:hAnsi="Times New Roman;serif"/>
          <w:b/>
          <w:i/>
          <w:color w:val="000000"/>
          <w:sz w:val="22"/>
        </w:rPr>
        <w:t>FINRA</w:t>
      </w:r>
      <w:r>
        <w:rPr>
          <w:color w:val="000000"/>
        </w:rPr>
        <w:t>”</w:t>
      </w:r>
      <w:r>
        <w:rPr>
          <w:rFonts w:ascii="Times New Roman;serif" w:hAnsi="Times New Roman;serif"/>
          <w:b w:val="false"/>
          <w:color w:val="000000"/>
          <w:sz w:val="22"/>
        </w:rPr>
        <w:t>) member firm selected from time to time by the Company for that purpose at the close of business on the business day that next precedes the day of exercise.</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38"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(g)    </w:t>
      </w:r>
      <w:r>
        <w:rPr>
          <w:rFonts w:ascii="Times New Roman;serif" w:hAnsi="Times New Roman;serif"/>
          <w:b w:val="false"/>
          <w:color w:val="000000"/>
          <w:sz w:val="22"/>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bidi w:val="0"/>
        <w:spacing w:lineRule="auto" w:line="288" w:before="0" w:after="240"/>
        <w:ind w:left="0" w:right="0" w:firstLine="1440"/>
        <w:jc w:val="both"/>
        <w:rPr/>
      </w:pPr>
      <w:r>
        <w:rPr>
          <w:rFonts w:ascii="Times New Roman;serif" w:hAnsi="Times New Roman;serif"/>
          <w:b/>
          <w:color w:val="000000"/>
          <w:sz w:val="22"/>
        </w:rPr>
        <w:t>(h)    </w:t>
      </w:r>
      <w:r>
        <w:rPr>
          <w:rFonts w:ascii="Times New Roman;serif" w:hAnsi="Times New Roman;serif"/>
          <w:b w:val="false"/>
          <w:color w:val="000000"/>
          <w:sz w:val="22"/>
        </w:rPr>
        <w:t>Notwithstanding anything to the contrary herein, in no event shall the Warrant Price, as adjusted in accordance with the terms hereof, be less than the par value per share of [title of Preferred Stock purchasable through exercise of Warrants].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3.5    Notice to Warrantholders. </w:t>
      </w:r>
      <w:r>
        <w:rPr>
          <w:rFonts w:ascii="Times New Roman;serif" w:hAnsi="Times New Roman;serif"/>
          <w:b w:val="false"/>
          <w:color w:val="000000"/>
          <w:sz w:val="22"/>
        </w:rPr>
        <w:t>In case the Company shall (a) effect any dividend or distribution described in Section 3.4(b), (b) effect any 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lineRule="auto" w:line="288" w:before="0" w:after="240"/>
        <w:ind w:left="0" w:right="0" w:firstLine="720"/>
        <w:jc w:val="both"/>
        <w:rPr/>
      </w:pPr>
      <w:r>
        <w:rPr>
          <w:rFonts w:ascii="Times New Roman;serif" w:hAnsi="Times New Roman;serif"/>
          <w:b/>
          <w:color w:val="000000"/>
          <w:sz w:val="22"/>
        </w:rPr>
        <w:t>3.6    </w:t>
      </w:r>
      <w:r>
        <w:rPr>
          <w:rFonts w:ascii="Times New Roman;serif" w:hAnsi="Times New Roman;serif"/>
          <w:b w:val="false"/>
          <w:color w:val="000000"/>
          <w:sz w:val="22"/>
        </w:rPr>
        <w:t>[If the Warrants are Subject to Acceleration by the Company, Insert — Acceleration of Warrants by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At any time on or after [</w:t>
      </w:r>
      <w:r>
        <w:rPr>
          <w:rFonts w:ascii="Wingdings;sans-serif" w:hAnsi="Wingdings;sans-serif"/>
          <w:b w:val="false"/>
          <w:color w:val="000000"/>
          <w:sz w:val="22"/>
        </w:rPr>
        <w:t>l</w:t>
      </w:r>
      <w:r>
        <w:rPr>
          <w:rFonts w:ascii="Times New Roman;serif" w:hAnsi="Times New Roman;serif"/>
          <w:b w:val="false"/>
          <w:color w:val="000000"/>
          <w:sz w:val="22"/>
        </w:rPr>
        <w:t>], the Company shall have the right to accelerate any or all Warrants at any time by causing them to expire at the close of business on the day next preceding a specified date (the “</w:t>
      </w:r>
      <w:r>
        <w:rPr>
          <w:rFonts w:ascii="Times New Roman;serif" w:hAnsi="Times New Roman;serif"/>
          <w:b/>
          <w:i/>
          <w:color w:val="000000"/>
          <w:sz w:val="22"/>
        </w:rPr>
        <w:t>Acceleration Date</w:t>
      </w:r>
      <w:r>
        <w:rPr>
          <w:color w:val="000000"/>
        </w:rPr>
        <w:t>”</w:t>
      </w:r>
      <w:r>
        <w:rPr>
          <w:rFonts w:ascii="Times New Roman;serif" w:hAnsi="Times New Roman;serif"/>
          <w:b w:val="false"/>
          <w:color w:val="000000"/>
          <w:sz w:val="22"/>
        </w:rPr>
        <w:t>), if the Market Price (as hereinafter defined) of the [title of Preferred Stock purchasable through exercise of Warrants] equals or exceeds [</w:t>
      </w:r>
      <w:r>
        <w:rPr>
          <w:rFonts w:ascii="Wingdings;sans-serif" w:hAnsi="Wingdings;sans-serif"/>
          <w:b w:val="false"/>
          <w:color w:val="000000"/>
          <w:sz w:val="22"/>
        </w:rPr>
        <w:t>l</w:t>
      </w:r>
      <w:r>
        <w:rPr>
          <w:rFonts w:ascii="Times New Roman;serif" w:hAnsi="Times New Roman;serif"/>
          <w:b w:val="false"/>
          <w:color w:val="000000"/>
          <w:sz w:val="22"/>
        </w:rPr>
        <w:t>] percent ([</w:t>
      </w:r>
      <w:r>
        <w:rPr>
          <w:rFonts w:ascii="Wingdings;sans-serif" w:hAnsi="Wingdings;sans-serif"/>
          <w:b w:val="false"/>
          <w:color w:val="000000"/>
          <w:sz w:val="22"/>
        </w:rPr>
        <w:t>l</w:t>
      </w:r>
      <w:r>
        <w:rPr>
          <w:rFonts w:ascii="Times New Roman;serif" w:hAnsi="Times New Roman;serif"/>
          <w:b w:val="false"/>
          <w:color w:val="000000"/>
          <w:sz w:val="22"/>
        </w:rPr>
        <w:t>]%)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(b)    (b) </w:t>
      </w:r>
      <w:r>
        <w:rPr>
          <w:color w:val="000000"/>
        </w:rPr>
        <w:t>“</w:t>
      </w:r>
      <w:r>
        <w:rPr>
          <w:rFonts w:ascii="Times New Roman;serif" w:hAnsi="Times New Roman;serif"/>
          <w:b/>
          <w:i/>
          <w:color w:val="000000"/>
          <w:sz w:val="22"/>
        </w:rPr>
        <w:t>Market Price</w:t>
      </w:r>
      <w:r>
        <w:rPr>
          <w:color w:val="000000"/>
        </w:rPr>
        <w:t xml:space="preserve">” </w:t>
      </w:r>
      <w:r>
        <w:rPr>
          <w:rFonts w:ascii="Times New Roman;serif" w:hAnsi="Times New Roman;serif"/>
          <w:b w:val="false"/>
          <w:color w:val="000000"/>
          <w:sz w:val="22"/>
        </w:rPr>
        <w:t xml:space="preserve">for each Trading Day shall be, if the [title of Preferred Stock purchasable through exercise of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other U.S. quotation medium or inter-dealer quotation system, or if on any such date the shares of [title of Preferred Stock purchasable through exercise of Warrants] are not listed or admitted to trading on a registered national securities exchange and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39"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Any Warrant accelerated may be exercised until [</w:t>
      </w:r>
      <w:r>
        <w:rPr>
          <w:rFonts w:ascii="Wingdings;sans-serif" w:hAnsi="Wingdings;sans-serif"/>
          <w:b w:val="false"/>
          <w:color w:val="000000"/>
          <w:sz w:val="22"/>
        </w:rPr>
        <w:t>l</w:t>
      </w:r>
      <w:r>
        <w:rPr>
          <w:rFonts w:ascii="Times New Roman;serif" w:hAnsi="Times New Roman;serif"/>
          <w:b w:val="false"/>
          <w:color w:val="000000"/>
          <w:sz w:val="22"/>
        </w:rPr>
        <w:t>] p.m., [City] time, on the business day next preceding the Acceleration Date. The Warrant Price shall be payable as provided in Section 2.]</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EXCHANGE AND TRANSFER OF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4.1    </w:t>
      </w:r>
      <w:r>
        <w:rPr>
          <w:rFonts w:ascii="Times New Roman;serif" w:hAnsi="Times New Roman;serif"/>
          <w:b w:val="false"/>
          <w:color w:val="000000"/>
          <w:sz w:val="22"/>
        </w:rPr>
        <w:t>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0"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4.2    Treatment of Holders of Warrant Certificates.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4.3    Cancellation of Warrant Certificates. </w:t>
      </w:r>
      <w:r>
        <w:rPr>
          <w:rFonts w:ascii="Times New Roman;serif" w:hAnsi="Times New Roman;serif"/>
          <w:b w:val="false"/>
          <w:color w:val="000000"/>
          <w:sz w:val="22"/>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5</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CONCERNING THE WARRANT AGENT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5.1    Warrant Agent. </w:t>
      </w:r>
      <w:r>
        <w:rPr>
          <w:rFonts w:ascii="Times New Roman;serif" w:hAnsi="Times New Roman;serif"/>
          <w:b w:val="false"/>
          <w:color w:val="000000"/>
          <w:sz w:val="22"/>
        </w:rPr>
        <w:t>The Company hereby appoints [</w:t>
      </w:r>
      <w:r>
        <w:rPr>
          <w:rFonts w:ascii="Wingdings;sans-serif" w:hAnsi="Wingdings;sans-serif"/>
          <w:b w:val="false"/>
          <w:color w:val="000000"/>
          <w:sz w:val="22"/>
        </w:rPr>
        <w:t>l</w:t>
      </w:r>
      <w:r>
        <w:rPr>
          <w:rFonts w:ascii="Times New Roman;serif" w:hAnsi="Times New Roman;serif"/>
          <w:b w:val="false"/>
          <w:color w:val="000000"/>
          <w:sz w:val="22"/>
        </w:rPr>
        <w:t>] as Warrant Agent of the Company in respect of the Warrants and the Warrant Certificates upon the terms and subject to the conditions herein set forth, and [</w:t>
      </w:r>
      <w:r>
        <w:rPr>
          <w:rFonts w:ascii="Wingdings;sans-serif" w:hAnsi="Wingdings;sans-serif"/>
          <w:b w:val="false"/>
          <w:color w:val="000000"/>
          <w:sz w:val="22"/>
        </w:rPr>
        <w:t>l</w:t>
      </w:r>
      <w:r>
        <w:rPr>
          <w:rFonts w:ascii="Times New Roman;serif" w:hAnsi="Times New Roman;serif"/>
          <w:b w:val="false"/>
          <w:color w:val="000000"/>
          <w:sz w:val="22"/>
        </w:rPr>
        <w:t>]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5.2    Conditions of Warrant Agent’s Obligations. </w:t>
      </w:r>
      <w:r>
        <w:rPr>
          <w:rFonts w:ascii="Times New Roman;serif" w:hAnsi="Times New Roman;serif"/>
          <w:b w:val="false"/>
          <w:color w:val="000000"/>
          <w:sz w:val="22"/>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(a)    Compensation and Indemnification. </w:t>
      </w:r>
      <w:r>
        <w:rPr>
          <w:rFonts w:ascii="Times New Roman;serif" w:hAnsi="Times New Roman;serif"/>
          <w:b w:val="false"/>
          <w:color w:val="000000"/>
          <w:sz w:val="22"/>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(b)    Agent for the Company. </w:t>
      </w:r>
      <w:r>
        <w:rPr>
          <w:rFonts w:ascii="Times New Roman;serif" w:hAnsi="Times New Roman;serif"/>
          <w:b w:val="false"/>
          <w:color w:val="000000"/>
          <w:sz w:val="22"/>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(c)    Counsel. </w:t>
      </w:r>
      <w:r>
        <w:rPr>
          <w:rFonts w:ascii="Times New Roman;serif" w:hAnsi="Times New Roman;serif"/>
          <w:b w:val="false"/>
          <w:color w:val="000000"/>
          <w:sz w:val="22"/>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1"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(d)    Documents. </w:t>
      </w:r>
      <w:r>
        <w:rPr>
          <w:rFonts w:ascii="Times New Roman;serif" w:hAnsi="Times New Roman;serif"/>
          <w:b w:val="false"/>
          <w:color w:val="000000"/>
          <w:sz w:val="22"/>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(e)    Certain Transactions. </w:t>
      </w:r>
      <w:r>
        <w:rPr>
          <w:rFonts w:ascii="Times New Roman;serif" w:hAnsi="Times New Roman;serif"/>
          <w:b w:val="false"/>
          <w:color w:val="000000"/>
          <w:sz w:val="22"/>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(f)    No Liability for Interest. </w:t>
      </w:r>
      <w:r>
        <w:rPr>
          <w:rFonts w:ascii="Times New Roman;serif" w:hAnsi="Times New Roman;serif"/>
          <w:b w:val="false"/>
          <w:color w:val="000000"/>
          <w:sz w:val="22"/>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(g)    No Liability for Invalidity. </w:t>
      </w:r>
      <w:r>
        <w:rPr>
          <w:rFonts w:ascii="Times New Roman;serif" w:hAnsi="Times New Roman;serif"/>
          <w:b w:val="false"/>
          <w:color w:val="000000"/>
          <w:sz w:val="22"/>
        </w:rPr>
        <w:t>The Warrant Agent shall have no liability with respect to any invalidity of this Agreement or any of the Warrant Certificates (except as to the Warrant Agent’s countersignature thereon).</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(h)    No Responsibility for Representations. </w:t>
      </w:r>
      <w:r>
        <w:rPr>
          <w:rFonts w:ascii="Times New Roman;serif" w:hAnsi="Times New Roman;serif"/>
          <w:b w:val="false"/>
          <w:color w:val="000000"/>
          <w:sz w:val="22"/>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(i)    No Implied Obligations. </w:t>
      </w:r>
      <w:r>
        <w:rPr>
          <w:rFonts w:ascii="Times New Roman;serif" w:hAnsi="Times New Roman;serif"/>
          <w:b w:val="false"/>
          <w:color w:val="000000"/>
          <w:sz w:val="22"/>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5.3    Resignation, Removal and Appointment of Successors.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 xml:space="preserve">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2"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 xml:space="preserve">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3"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6</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MISCELLANEOUS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    Amendment. </w:t>
      </w:r>
      <w:r>
        <w:rPr>
          <w:rFonts w:ascii="Times New Roman;serif" w:hAnsi="Times New Roman;serif"/>
          <w:b w:val="false"/>
          <w:color w:val="000000"/>
          <w:sz w:val="22"/>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6.2    Notices and Demands to the Company and Warrant Agent. </w:t>
      </w:r>
      <w:r>
        <w:rPr>
          <w:rFonts w:ascii="Times New Roman;serif" w:hAnsi="Times New Roman;serif"/>
          <w:b w:val="false"/>
          <w:color w:val="000000"/>
          <w:sz w:val="22"/>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6.3    Addresses. </w:t>
      </w:r>
      <w:r>
        <w:rPr>
          <w:rFonts w:ascii="Times New Roman;serif" w:hAnsi="Times New Roman;serif"/>
          <w:b w:val="false"/>
          <w:color w:val="000000"/>
          <w:sz w:val="22"/>
        </w:rPr>
        <w:t>Any communication from the Company to the Warrant Agent with respect to this Agreement shall be addressed to [</w:t>
      </w:r>
      <w:r>
        <w:rPr>
          <w:rFonts w:ascii="Wingdings;sans-serif" w:hAnsi="Wingdings;sans-serif"/>
          <w:b w:val="false"/>
          <w:color w:val="000000"/>
          <w:sz w:val="22"/>
        </w:rPr>
        <w:t>l</w:t>
      </w:r>
      <w:r>
        <w:rPr>
          <w:rFonts w:ascii="Times New Roman;serif" w:hAnsi="Times New Roman;serif"/>
          <w:b w:val="false"/>
          <w:color w:val="000000"/>
          <w:sz w:val="22"/>
        </w:rPr>
        <w:t>], Attention: [</w:t>
      </w:r>
      <w:r>
        <w:rPr>
          <w:rFonts w:ascii="Wingdings;sans-serif" w:hAnsi="Wingdings;sans-serif"/>
          <w:b w:val="false"/>
          <w:color w:val="000000"/>
          <w:sz w:val="22"/>
        </w:rPr>
        <w:t>l</w:t>
      </w:r>
      <w:r>
        <w:rPr>
          <w:rFonts w:ascii="Times New Roman;serif" w:hAnsi="Times New Roman;serif"/>
          <w:b w:val="false"/>
          <w:color w:val="000000"/>
          <w:sz w:val="22"/>
        </w:rPr>
        <w:t>] and any communication from the Warrant Agent to the Company with respect to this Agreement shall be addressed to Keros Therapeutics, Inc. at 1050 Waltham Street, Suite 302, Lexington, Massachusetts 02421, Attention: [</w:t>
      </w:r>
      <w:r>
        <w:rPr>
          <w:rFonts w:ascii="Wingdings;sans-serif" w:hAnsi="Wingdings;sans-serif"/>
          <w:b w:val="false"/>
          <w:color w:val="000000"/>
          <w:sz w:val="22"/>
        </w:rPr>
        <w:t>l</w:t>
      </w:r>
      <w:r>
        <w:rPr>
          <w:rFonts w:ascii="Times New Roman;serif" w:hAnsi="Times New Roman;serif"/>
          <w:b w:val="false"/>
          <w:color w:val="000000"/>
          <w:sz w:val="22"/>
        </w:rPr>
        <w:t>] (or such other address as shall be specified in writing by the Warrant Agent or by the Company).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6.4    Governing Law. </w:t>
      </w:r>
      <w:r>
        <w:rPr>
          <w:rFonts w:ascii="Times New Roman;serif" w:hAnsi="Times New Roman;serif"/>
          <w:b w:val="false"/>
          <w:color w:val="000000"/>
          <w:sz w:val="22"/>
        </w:rPr>
        <w:t>This Agreement and each Warrant Certificate issued hereunder shall be governed by and construed in accordance with the laws of the State of New York.</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6.5    Delivery of Prospectus. </w:t>
      </w:r>
      <w:r>
        <w:rPr>
          <w:rFonts w:ascii="Times New Roman;serif" w:hAnsi="Times New Roman;serif"/>
          <w:b w:val="false"/>
          <w:color w:val="000000"/>
          <w:sz w:val="22"/>
        </w:rPr>
        <w:t>The Company shall furnish to the Warrant Agent sufficient copies of a prospectus meeting the requirements of the Securities Act of 1933, as amended, relating to the Warrant Securities deliverable upon exercise of the Warrants (the “</w:t>
      </w:r>
      <w:r>
        <w:rPr>
          <w:rFonts w:ascii="Times New Roman;serif" w:hAnsi="Times New Roman;serif"/>
          <w:b/>
          <w:i/>
          <w:color w:val="000000"/>
          <w:sz w:val="22"/>
        </w:rPr>
        <w:t>Prospectus</w:t>
      </w:r>
      <w:r>
        <w:rPr>
          <w:color w:val="000000"/>
        </w:rPr>
        <w:t>”</w:t>
      </w:r>
      <w:r>
        <w:rPr>
          <w:rFonts w:ascii="Times New Roman;serif" w:hAnsi="Times New Roman;serif"/>
          <w:b w:val="false"/>
          <w:color w:val="000000"/>
          <w:sz w:val="22"/>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6.6    Obtaining of Governmental Approvals. </w:t>
      </w:r>
      <w:r>
        <w:rPr>
          <w:rFonts w:ascii="Times New Roman;serif" w:hAnsi="Times New Roman;serif"/>
          <w:b w:val="false"/>
          <w:color w:val="000000"/>
          <w:sz w:val="22"/>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6.7    Persons Having Rights Under the Agreement. </w:t>
      </w:r>
      <w:r>
        <w:rPr>
          <w:rFonts w:ascii="Times New Roman;serif" w:hAnsi="Times New Roman;serif"/>
          <w:b w:val="false"/>
          <w:color w:val="000000"/>
          <w:sz w:val="22"/>
        </w:rPr>
        <w:t>Nothing in this Agreement shall give to any person other than the Company, the Warrant Agent and the holders of the Warrant Certificates any right, remedy or claim under or by reason of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6.8    Headings. </w:t>
      </w:r>
      <w:r>
        <w:rPr>
          <w:rFonts w:ascii="Times New Roman;serif" w:hAnsi="Times New Roman;serif"/>
          <w:b w:val="false"/>
          <w:color w:val="000000"/>
          <w:sz w:val="22"/>
        </w:rPr>
        <w:t>The descriptive headings of the several Articles and Sections of this Agreement are inserted for convenience only and shall not control or affect the meaning or construction of any of the provisions hereof.</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4"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6.9    Counterparts. </w:t>
      </w:r>
      <w:r>
        <w:rPr>
          <w:rFonts w:ascii="Times New Roman;serif" w:hAnsi="Times New Roman;serif"/>
          <w:b w:val="false"/>
          <w:color w:val="000000"/>
          <w:sz w:val="22"/>
        </w:rPr>
        <w:t>This Agreement may be executed in any number of counterparts, each of which as so executed shall be deemed to be an original, but such counterparts shall together constitute but one and the same instrument.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6.10    Inspection of Agreement. </w:t>
      </w:r>
      <w:r>
        <w:rPr>
          <w:rFonts w:ascii="Times New Roman;serif" w:hAnsi="Times New Roman;serif"/>
          <w:b w:val="false"/>
          <w:color w:val="000000"/>
          <w:sz w:val="22"/>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5"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the parties hereto have caused this Agreement to be duly executed as of the day and year first above written.</w:t>
      </w:r>
    </w:p>
    <w:tbl>
      <w:tblPr>
        <w:tblW w:w="3743" w:type="dxa"/>
        <w:jc w:val="left"/>
        <w:tblInd w:w="0" w:type="dxa"/>
        <w:tblLayout w:type="fixed"/>
        <w:tblCellMar>
          <w:top w:w="28" w:type="dxa"/>
          <w:left w:w="28" w:type="dxa"/>
          <w:bottom w:w="28" w:type="dxa"/>
          <w:right w:w="28" w:type="dxa"/>
        </w:tblCellMar>
      </w:tblPr>
      <w:tblGrid>
        <w:gridCol w:w="444"/>
        <w:gridCol w:w="391"/>
        <w:gridCol w:w="391"/>
        <w:gridCol w:w="391"/>
        <w:gridCol w:w="391"/>
        <w:gridCol w:w="391"/>
        <w:gridCol w:w="391"/>
        <w:gridCol w:w="391"/>
        <w:gridCol w:w="562"/>
      </w:tblGrid>
      <w:tr>
        <w:trPr/>
        <w:tc>
          <w:tcPr>
            <w:tcW w:w="4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37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Keros Therapeutics, Inc., as Company</w:t>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COUNTERSIGNED</w:t>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9"/>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2"/>
              </w:rPr>
              <w:t>[</w:t>
            </w:r>
            <w:r>
              <w:rPr>
                <w:rFonts w:ascii="Wingdings;sans-serif" w:hAnsi="Wingdings;sans-serif"/>
                <w:b/>
                <w:color w:val="000000"/>
                <w:sz w:val="22"/>
              </w:rPr>
              <w:t>l</w:t>
            </w:r>
            <w:r>
              <w:rPr>
                <w:rFonts w:ascii="Times New Roman;serif" w:hAnsi="Times New Roman;serif"/>
                <w:b/>
                <w:color w:val="000000"/>
                <w:sz w:val="22"/>
              </w:rPr>
              <w:t>]</w:t>
            </w:r>
            <w:r>
              <w:rPr>
                <w:rFonts w:ascii="Times New Roman;serif" w:hAnsi="Times New Roman;serif"/>
                <w:b w:val="false"/>
                <w:color w:val="000000"/>
                <w:sz w:val="22"/>
              </w:rPr>
              <w:t>, as Warrant Agent</w:t>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6"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KEROS THERAPEUTICS, INC. PREFERRED STOCK WARRANT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KEROS THERAPEUTICS, INC. PREFERRED STOCK WARRANT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[FACE OF WARRANT CERTIFICATE]</w:t>
      </w:r>
    </w:p>
    <w:tbl>
      <w:tblPr>
        <w:tblW w:w="10205" w:type="dxa"/>
        <w:jc w:val="left"/>
        <w:tblInd w:w="0" w:type="dxa"/>
        <w:tblLayout w:type="fixed"/>
        <w:tblCellMar>
          <w:top w:w="28" w:type="dxa"/>
          <w:left w:w="28" w:type="dxa"/>
          <w:bottom w:w="28" w:type="dxa"/>
          <w:right w:w="28" w:type="dxa"/>
        </w:tblCellMar>
      </w:tblPr>
      <w:tblGrid>
        <w:gridCol w:w="1596"/>
        <w:gridCol w:w="1403"/>
        <w:gridCol w:w="1410"/>
        <w:gridCol w:w="109"/>
        <w:gridCol w:w="109"/>
        <w:gridCol w:w="109"/>
        <w:gridCol w:w="1599"/>
        <w:gridCol w:w="1599"/>
        <w:gridCol w:w="2271"/>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w:t>
            </w:r>
            <w:r>
              <w:rPr>
                <w:rFonts w:ascii="Times New Roman;serif" w:hAnsi="Times New Roman;serif"/>
                <w:b/>
                <w:i/>
                <w:color w:val="000000"/>
                <w:sz w:val="22"/>
              </w:rPr>
              <w:t>Form of Legend if Warrants are not immediately exercisable.</w:t>
            </w: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3"/>
            <w:tcBorders/>
            <w:tcMar>
              <w:top w:w="0" w:type="dxa"/>
              <w:left w:w="0" w:type="dxa"/>
              <w:bottom w:w="0" w:type="dxa"/>
              <w:right w:w="0" w:type="dxa"/>
            </w:tcMar>
            <w:vAlign w:val="center"/>
          </w:tcPr>
          <w:p>
            <w:pPr>
              <w:pStyle w:val="TableContents"/>
              <w:bidi w:val="0"/>
              <w:spacing w:lineRule="auto" w:line="288" w:before="53" w:after="283"/>
              <w:jc w:val="left"/>
              <w:rPr/>
            </w:pPr>
            <w:r>
              <w:rPr>
                <w:rFonts w:ascii="Times New Roman;serif" w:hAnsi="Times New Roman;serif"/>
                <w:b w:val="false"/>
                <w:color w:val="000000"/>
                <w:sz w:val="22"/>
              </w:rPr>
              <w:t>[Prior to [</w:t>
            </w:r>
            <w:r>
              <w:rPr>
                <w:rFonts w:ascii="Wingdings;sans-serif" w:hAnsi="Wingdings;sans-serif"/>
                <w:b w:val="false"/>
                <w:color w:val="000000"/>
                <w:sz w:val="22"/>
              </w:rPr>
              <w:t>l</w:t>
            </w:r>
            <w:r>
              <w:rPr>
                <w:rFonts w:ascii="Times New Roman;serif" w:hAnsi="Times New Roman;serif"/>
                <w:b w:val="false"/>
                <w:color w:val="000000"/>
                <w:sz w:val="22"/>
              </w:rPr>
              <w:t>], Warrants evidenced by this Warrant Certificate cannot be exercised.]</w:t>
            </w:r>
          </w:p>
        </w:tc>
      </w:tr>
    </w:tbl>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EXERCISABLE ONLY IF COUNTERSIGNED BY THE WARRANT AGENT AS PROVIDED HEREIN</w:t>
      </w:r>
    </w:p>
    <w:p>
      <w:pPr>
        <w:pStyle w:val="TextBody"/>
        <w:bidi w:val="0"/>
        <w:spacing w:lineRule="auto" w:line="288" w:before="0" w:after="240"/>
        <w:jc w:val="center"/>
        <w:rPr/>
      </w:pPr>
      <w:r>
        <w:rPr>
          <w:rFonts w:ascii="Times New Roman;serif" w:hAnsi="Times New Roman;serif"/>
          <w:b w:val="false"/>
          <w:color w:val="000000"/>
          <w:sz w:val="22"/>
        </w:rPr>
        <w:t>VOID AFTER [</w:t>
      </w:r>
      <w:r>
        <w:rPr>
          <w:rFonts w:ascii="Wingdings;sans-serif" w:hAnsi="Wingdings;sans-serif"/>
          <w:b w:val="false"/>
          <w:color w:val="000000"/>
          <w:sz w:val="22"/>
        </w:rPr>
        <w:t>l</w:t>
      </w:r>
      <w:r>
        <w:rPr>
          <w:rFonts w:ascii="Times New Roman;serif" w:hAnsi="Times New Roman;serif"/>
          <w:b w:val="false"/>
          <w:color w:val="000000"/>
          <w:sz w:val="22"/>
        </w:rPr>
        <w:t>] P.M., [City] time, ON [</w:t>
      </w:r>
      <w:r>
        <w:rPr>
          <w:rFonts w:ascii="Wingdings;sans-serif" w:hAnsi="Wingdings;sans-serif"/>
          <w:b w:val="false"/>
          <w:color w:val="000000"/>
          <w:sz w:val="22"/>
        </w:rPr>
        <w:t>l</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Keros Therapeutics,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 CERTIFICATE REPRESENTING</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WARRANTS TO PURCHASE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[TITLE OF WARRANT SECURITIES]</w:t>
      </w:r>
    </w:p>
    <w:tbl>
      <w:tblPr>
        <w:tblW w:w="2205" w:type="dxa"/>
        <w:jc w:val="left"/>
        <w:tblInd w:w="0" w:type="dxa"/>
        <w:tblLayout w:type="fixed"/>
        <w:tblCellMar>
          <w:top w:w="28" w:type="dxa"/>
          <w:left w:w="28" w:type="dxa"/>
          <w:bottom w:w="28" w:type="dxa"/>
          <w:right w:w="28" w:type="dxa"/>
        </w:tblCellMar>
      </w:tblPr>
      <w:tblGrid>
        <w:gridCol w:w="303"/>
        <w:gridCol w:w="267"/>
        <w:gridCol w:w="270"/>
        <w:gridCol w:w="398"/>
        <w:gridCol w:w="398"/>
        <w:gridCol w:w="569"/>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2"/>
              </w:rPr>
              <w:t>No. [</w:t>
            </w:r>
            <w:r>
              <w:rPr>
                <w:rFonts w:ascii="Wingdings;sans-serif" w:hAnsi="Wingdings;sans-serif"/>
                <w:b w:val="false"/>
                <w:color w:val="000000"/>
                <w:sz w:val="22"/>
              </w:rPr>
              <w:t>l</w:t>
            </w:r>
            <w:r>
              <w:rPr>
                <w:rFonts w:ascii="Times New Roman;serif" w:hAnsi="Times New Roman;serif"/>
                <w:b w:val="false"/>
                <w:color w:val="000000"/>
                <w:sz w:val="22"/>
              </w:rPr>
              <w:t>]</w:t>
            </w:r>
          </w:p>
        </w:tc>
        <w:tc>
          <w:tcPr>
            <w:tcW w:w="1365" w:type="dxa"/>
            <w:gridSpan w:val="3"/>
            <w:tcBorders/>
            <w:tcMar>
              <w:top w:w="0" w:type="dxa"/>
              <w:left w:w="0" w:type="dxa"/>
              <w:bottom w:w="0" w:type="dxa"/>
              <w:right w:w="0" w:type="dxa"/>
            </w:tcMar>
            <w:vAlign w:val="center"/>
          </w:tcPr>
          <w:p>
            <w:pPr>
              <w:pStyle w:val="TableContents"/>
              <w:bidi w:val="0"/>
              <w:spacing w:lineRule="auto" w:line="288" w:before="53" w:after="30"/>
              <w:jc w:val="right"/>
              <w:rPr/>
            </w:pPr>
            <w:r>
              <w:rPr>
                <w:rFonts w:ascii="Times New Roman;serif" w:hAnsi="Times New Roman;serif"/>
                <w:b w:val="false"/>
                <w:color w:val="000000"/>
                <w:sz w:val="22"/>
              </w:rPr>
              <w:t>[</w:t>
            </w:r>
            <w:r>
              <w:rPr>
                <w:rFonts w:ascii="Wingdings;sans-serif" w:hAnsi="Wingdings;sans-serif"/>
                <w:b w:val="false"/>
                <w:color w:val="000000"/>
                <w:sz w:val="22"/>
              </w:rPr>
              <w:t>l</w:t>
            </w:r>
            <w:r>
              <w:rPr>
                <w:rFonts w:ascii="Times New Roman;serif" w:hAnsi="Times New Roman;serif"/>
                <w:b w:val="false"/>
                <w:color w:val="000000"/>
                <w:sz w:val="22"/>
              </w:rPr>
              <w:t>] Warrants</w:t>
            </w:r>
          </w:p>
        </w:tc>
      </w:tr>
    </w:tbl>
    <w:p>
      <w:pPr>
        <w:pStyle w:val="TextBody"/>
        <w:bidi w:val="0"/>
        <w:spacing w:lineRule="auto" w:line="288" w:before="0" w:after="240"/>
        <w:jc w:val="both"/>
        <w:rPr/>
      </w:pPr>
      <w:r>
        <w:rPr>
          <w:rFonts w:ascii="Times New Roman;serif" w:hAnsi="Times New Roman;serif"/>
          <w:b w:val="false"/>
          <w:color w:val="000000"/>
          <w:sz w:val="22"/>
        </w:rPr>
        <w:t>This certifies that [</w:t>
      </w:r>
      <w:r>
        <w:rPr>
          <w:rFonts w:ascii="Wingdings;sans-serif" w:hAnsi="Wingdings;sans-serif"/>
          <w:b w:val="false"/>
          <w:color w:val="000000"/>
          <w:sz w:val="22"/>
        </w:rPr>
        <w:t>l</w:t>
      </w:r>
      <w:r>
        <w:rPr>
          <w:rFonts w:ascii="Times New Roman;serif" w:hAnsi="Times New Roman;serif"/>
          <w:b w:val="false"/>
          <w:color w:val="000000"/>
          <w:sz w:val="22"/>
        </w:rPr>
        <w:t>] or registered assigns is the registered owner of the above indicated number of Warrants, each Warrant entitling such owner to purchase, at any time [after [</w:t>
      </w:r>
      <w:r>
        <w:rPr>
          <w:rFonts w:ascii="Wingdings;sans-serif" w:hAnsi="Wingdings;sans-serif"/>
          <w:b w:val="false"/>
          <w:color w:val="000000"/>
          <w:sz w:val="22"/>
        </w:rPr>
        <w:t>l</w:t>
      </w:r>
      <w:r>
        <w:rPr>
          <w:rFonts w:ascii="Times New Roman;serif" w:hAnsi="Times New Roman;serif"/>
          <w:b w:val="false"/>
          <w:color w:val="000000"/>
          <w:sz w:val="22"/>
        </w:rPr>
        <w:t>] p.m., [City] time, [on [</w:t>
      </w:r>
      <w:r>
        <w:rPr>
          <w:rFonts w:ascii="Wingdings;sans-serif" w:hAnsi="Wingdings;sans-serif"/>
          <w:b w:val="false"/>
          <w:color w:val="000000"/>
          <w:sz w:val="22"/>
        </w:rPr>
        <w:t>l</w:t>
      </w:r>
      <w:r>
        <w:rPr>
          <w:rFonts w:ascii="Times New Roman;serif" w:hAnsi="Times New Roman;serif"/>
          <w:b w:val="false"/>
          <w:color w:val="000000"/>
          <w:sz w:val="22"/>
        </w:rPr>
        <w:t>] and] on or before [</w:t>
      </w:r>
      <w:r>
        <w:rPr>
          <w:rFonts w:ascii="Wingdings;sans-serif" w:hAnsi="Wingdings;sans-serif"/>
          <w:b w:val="false"/>
          <w:color w:val="000000"/>
          <w:sz w:val="22"/>
        </w:rPr>
        <w:t>l</w:t>
      </w:r>
      <w:r>
        <w:rPr>
          <w:rFonts w:ascii="Times New Roman;serif" w:hAnsi="Times New Roman;serif"/>
          <w:b w:val="false"/>
          <w:color w:val="000000"/>
          <w:sz w:val="22"/>
        </w:rPr>
        <w:t>] p.m., [City] time, on [</w:t>
      </w:r>
      <w:r>
        <w:rPr>
          <w:rFonts w:ascii="Wingdings;sans-serif" w:hAnsi="Wingdings;sans-serif"/>
          <w:b w:val="false"/>
          <w:color w:val="000000"/>
          <w:sz w:val="22"/>
        </w:rPr>
        <w:t>l</w:t>
      </w:r>
      <w:r>
        <w:rPr>
          <w:rFonts w:ascii="Times New Roman;serif" w:hAnsi="Times New Roman;serif"/>
          <w:b w:val="false"/>
          <w:color w:val="000000"/>
          <w:sz w:val="22"/>
        </w:rPr>
        <w:t>], [</w:t>
      </w:r>
      <w:r>
        <w:rPr>
          <w:rFonts w:ascii="Wingdings;sans-serif" w:hAnsi="Wingdings;sans-serif"/>
          <w:b w:val="false"/>
          <w:color w:val="000000"/>
          <w:sz w:val="22"/>
        </w:rPr>
        <w:t>l</w:t>
      </w:r>
      <w:r>
        <w:rPr>
          <w:rFonts w:ascii="Times New Roman;serif" w:hAnsi="Times New Roman;serif"/>
          <w:b w:val="false"/>
          <w:color w:val="000000"/>
          <w:sz w:val="22"/>
        </w:rPr>
        <w:t>] shares of [TITLE OF WARRANT SECURITIES], par value $0.0001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of Keros Therapeutics,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on the following basis: during the period from [</w:t>
      </w:r>
      <w:r>
        <w:rPr>
          <w:rFonts w:ascii="Wingdings;sans-serif" w:hAnsi="Wingdings;sans-serif"/>
          <w:b w:val="false"/>
          <w:color w:val="000000"/>
          <w:sz w:val="22"/>
        </w:rPr>
        <w:t>l</w:t>
      </w:r>
      <w:r>
        <w:rPr>
          <w:rFonts w:ascii="Times New Roman;serif" w:hAnsi="Times New Roman;serif"/>
          <w:b w:val="false"/>
          <w:color w:val="000000"/>
          <w:sz w:val="22"/>
        </w:rPr>
        <w:t>], through and including [</w:t>
      </w:r>
      <w:r>
        <w:rPr>
          <w:rFonts w:ascii="Wingdings;sans-serif" w:hAnsi="Wingdings;sans-serif"/>
          <w:b w:val="false"/>
          <w:color w:val="000000"/>
          <w:sz w:val="22"/>
        </w:rPr>
        <w:t>l</w:t>
      </w:r>
      <w:r>
        <w:rPr>
          <w:rFonts w:ascii="Times New Roman;serif" w:hAnsi="Times New Roman;serif"/>
          <w:b w:val="false"/>
          <w:color w:val="000000"/>
          <w:sz w:val="22"/>
        </w:rPr>
        <w:t>], the exercise price per Warrant Security will be $[</w:t>
      </w:r>
      <w:r>
        <w:rPr>
          <w:rFonts w:ascii="Wingdings;sans-serif" w:hAnsi="Wingdings;sans-serif"/>
          <w:b w:val="false"/>
          <w:color w:val="000000"/>
          <w:sz w:val="22"/>
        </w:rPr>
        <w:t>l</w:t>
      </w:r>
      <w:r>
        <w:rPr>
          <w:rFonts w:ascii="Times New Roman;serif" w:hAnsi="Times New Roman;serif"/>
          <w:b w:val="false"/>
          <w:color w:val="000000"/>
          <w:sz w:val="22"/>
        </w:rPr>
        <w:t>], subject to adjustment as provided in the Warrant Agreement (as hereinafter defined) (the “</w:t>
      </w:r>
      <w:r>
        <w:rPr>
          <w:rFonts w:ascii="Times New Roman;serif" w:hAnsi="Times New Roman;serif"/>
          <w:b/>
          <w:i/>
          <w:color w:val="000000"/>
          <w:sz w:val="22"/>
        </w:rPr>
        <w:t>Warrant Price</w:t>
      </w:r>
      <w:r>
        <w:rPr>
          <w:color w:val="000000"/>
        </w:rPr>
        <w:t>”</w:t>
      </w:r>
      <w:r>
        <w:rPr>
          <w:rFonts w:ascii="Times New Roman;serif" w:hAnsi="Times New Roman;serif"/>
          <w:b w:val="false"/>
          <w:color w:val="000000"/>
          <w:sz w:val="22"/>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bidi w:val="0"/>
        <w:spacing w:lineRule="auto" w:line="288" w:before="0" w:after="24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lineRule="auto" w:line="288" w:before="0" w:after="240"/>
        <w:jc w:val="both"/>
        <w:rPr/>
      </w:pPr>
      <w:r>
        <w:rPr>
          <w:rFonts w:ascii="Times New Roman;serif" w:hAnsi="Times New Roman;serif"/>
          <w:b w:val="false"/>
          <w:color w:val="000000"/>
          <w:sz w:val="22"/>
        </w:rPr>
        <w:t>This Warrant Certificate is issued under and in accordance with the Warrant Agreement dated as of [</w:t>
      </w:r>
      <w:r>
        <w:rPr>
          <w:rFonts w:ascii="Wingdings;sans-serif" w:hAnsi="Wingdings;sans-serif"/>
          <w:b w:val="false"/>
          <w:color w:val="000000"/>
          <w:sz w:val="22"/>
        </w:rPr>
        <w:t>l</w:t>
      </w:r>
      <w:r>
        <w:rPr>
          <w:rFonts w:ascii="Times New Roman;serif" w:hAnsi="Times New Roman;serif"/>
          <w:b w:val="false"/>
          <w:color w:val="000000"/>
          <w:sz w:val="22"/>
        </w:rPr>
        <w:t>] (the “</w:t>
      </w:r>
      <w:r>
        <w:rPr>
          <w:rFonts w:ascii="Times New Roman;serif" w:hAnsi="Times New Roman;serif"/>
          <w:b/>
          <w:i/>
          <w:color w:val="000000"/>
          <w:sz w:val="22"/>
        </w:rPr>
        <w:t>Warrant Agreement</w:t>
      </w:r>
      <w:r>
        <w:rPr>
          <w:color w:val="000000"/>
        </w:rPr>
        <w:t>”</w:t>
      </w:r>
      <w:r>
        <w:rPr>
          <w:rFonts w:ascii="Times New Roman;serif" w:hAnsi="Times New Roman;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This Warrant Certificate shall not entitle the Holder hereof to any of the rights of a holder of the Warrant Securities, including, without limitation, the right to receive payments of dividends or distributions, if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on the Warrant Securities (except to the extent set forth in the Warrant Agreement) or to exercise any voting rights.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Certificate shall not be valid or obligatory for any purpose until countersigned by the Warrant Agent.</w:t>
      </w:r>
    </w:p>
    <w:p>
      <w:pPr>
        <w:pStyle w:val="TextBody"/>
        <w:bidi w:val="0"/>
        <w:spacing w:lineRule="auto" w:line="288" w:before="0" w:after="240"/>
        <w:jc w:val="both"/>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the Company has caused this Warrant to be executed in its name and on its behalf by the facsimile signatures of its duly authorized officers.</w:t>
      </w:r>
    </w:p>
    <w:tbl>
      <w:tblPr>
        <w:tblW w:w="1434" w:type="dxa"/>
        <w:jc w:val="left"/>
        <w:tblInd w:w="0" w:type="dxa"/>
        <w:tblLayout w:type="fixed"/>
        <w:tblCellMar>
          <w:top w:w="28" w:type="dxa"/>
          <w:left w:w="28" w:type="dxa"/>
          <w:bottom w:w="28" w:type="dxa"/>
          <w:right w:w="28" w:type="dxa"/>
        </w:tblCellMar>
      </w:tblPr>
      <w:tblGrid>
        <w:gridCol w:w="266"/>
        <w:gridCol w:w="234"/>
        <w:gridCol w:w="235"/>
        <w:gridCol w:w="109"/>
        <w:gridCol w:w="109"/>
        <w:gridCol w:w="109"/>
        <w:gridCol w:w="109"/>
        <w:gridCol w:w="109"/>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084" w:type="dxa"/>
        <w:jc w:val="left"/>
        <w:tblInd w:w="0" w:type="dxa"/>
        <w:tblLayout w:type="fixed"/>
        <w:tblCellMar>
          <w:top w:w="28" w:type="dxa"/>
          <w:left w:w="28" w:type="dxa"/>
          <w:bottom w:w="28" w:type="dxa"/>
          <w:right w:w="28" w:type="dxa"/>
        </w:tblCellMar>
      </w:tblPr>
      <w:tblGrid>
        <w:gridCol w:w="794"/>
        <w:gridCol w:w="698"/>
        <w:gridCol w:w="698"/>
        <w:gridCol w:w="419"/>
        <w:gridCol w:w="419"/>
        <w:gridCol w:w="419"/>
        <w:gridCol w:w="419"/>
        <w:gridCol w:w="419"/>
        <w:gridCol w:w="427"/>
        <w:gridCol w:w="109"/>
        <w:gridCol w:w="109"/>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2" w:type="dxa"/>
            <w:gridSpan w:val="9"/>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2"/>
              </w:rPr>
              <w:t>Keros Therapeutics, Inc.</w:t>
            </w:r>
            <w:r>
              <w:rPr>
                <w:rFonts w:ascii="Times New Roman;serif" w:hAnsi="Times New Roman;serif"/>
                <w:b w:val="false"/>
                <w:color w:val="000000"/>
                <w:sz w:val="22"/>
              </w:rPr>
              <w:t>, as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COUNTERSIGNED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color w:val="000000"/>
                <w:sz w:val="22"/>
              </w:rPr>
              <w:t>[</w:t>
            </w:r>
            <w:r>
              <w:rPr>
                <w:rFonts w:ascii="Wingdings;sans-serif" w:hAnsi="Wingdings;sans-serif"/>
                <w:b/>
                <w:color w:val="000000"/>
                <w:sz w:val="22"/>
              </w:rPr>
              <w:t>l</w:t>
            </w:r>
            <w:r>
              <w:rPr>
                <w:rFonts w:ascii="Times New Roman;serif" w:hAnsi="Times New Roman;serif"/>
                <w:b/>
                <w:color w:val="000000"/>
                <w:sz w:val="22"/>
              </w:rPr>
              <w:t>]</w:t>
            </w:r>
            <w:r>
              <w:rPr>
                <w:rFonts w:ascii="Times New Roman;serif" w:hAnsi="Times New Roman;serif"/>
                <w:b w:val="false"/>
                <w:color w:val="000000"/>
                <w:sz w:val="22"/>
              </w:rPr>
              <w:t>, as Warrant Agent</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[REVERSE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(Instructions for Exercise of Warrant)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w:t>
      </w:r>
      <w:r>
        <w:rPr>
          <w:rFonts w:ascii="Wingdings;sans-serif" w:hAnsi="Wingdings;sans-serif"/>
          <w:b w:val="false"/>
          <w:color w:val="000000"/>
          <w:sz w:val="22"/>
        </w:rPr>
        <w:t>l</w:t>
      </w:r>
      <w:r>
        <w:rPr>
          <w:rFonts w:ascii="Times New Roman;serif" w:hAnsi="Times New Roman;serif"/>
          <w:b w:val="false"/>
          <w:color w:val="000000"/>
          <w:sz w:val="22"/>
        </w:rPr>
        <w:t>] [address of Warrant Agent], Attention: [</w:t>
      </w:r>
      <w:r>
        <w:rPr>
          <w:rFonts w:ascii="Wingdings;sans-serif" w:hAnsi="Wingdings;sans-serif"/>
          <w:b w:val="false"/>
          <w:color w:val="000000"/>
          <w:sz w:val="22"/>
        </w:rPr>
        <w:t>l</w:t>
      </w:r>
      <w:r>
        <w:rPr>
          <w:rFonts w:ascii="Times New Roman;serif" w:hAnsi="Times New Roman;serif"/>
          <w:b w:val="false"/>
          <w:color w:val="000000"/>
          <w:sz w:val="22"/>
        </w:rPr>
        <w:t>],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(To be executed upon exercise of Warrants)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undersigned hereby irrevocably elects to exercise ______ Warrants, evidenced by this Warrant Certificate, to purchase _______ shares of the [TITLE OF WARRANT SECURITIES], par value $0.0001 per share (the “</w:t>
      </w:r>
      <w:r>
        <w:rPr>
          <w:rFonts w:ascii="Times New Roman;serif" w:hAnsi="Times New Roman;serif"/>
          <w:b/>
          <w:i/>
          <w:color w:val="000000"/>
          <w:sz w:val="22"/>
        </w:rPr>
        <w:t>Warrant Securities</w:t>
      </w:r>
      <w:r>
        <w:rPr>
          <w:color w:val="000000"/>
        </w:rPr>
        <w:t>”</w:t>
      </w:r>
      <w:r>
        <w:rPr>
          <w:rFonts w:ascii="Times New Roman;serif" w:hAnsi="Times New Roman;serif"/>
          <w:b w:val="false"/>
          <w:color w:val="000000"/>
          <w:sz w:val="22"/>
        </w:rPr>
        <w:t>), of Keros Therapeutics,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Keros Therapeutics,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lineRule="auto" w:line="288" w:before="0" w:after="4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tbl>
      <w:tblPr>
        <w:tblW w:w="6534" w:type="dxa"/>
        <w:jc w:val="left"/>
        <w:tblInd w:w="0" w:type="dxa"/>
        <w:tblLayout w:type="fixed"/>
        <w:tblCellMar>
          <w:top w:w="28" w:type="dxa"/>
          <w:left w:w="28" w:type="dxa"/>
          <w:bottom w:w="28" w:type="dxa"/>
          <w:right w:w="28" w:type="dxa"/>
        </w:tblCellMar>
      </w:tblPr>
      <w:tblGrid>
        <w:gridCol w:w="553"/>
        <w:gridCol w:w="486"/>
        <w:gridCol w:w="488"/>
        <w:gridCol w:w="225"/>
        <w:gridCol w:w="225"/>
        <w:gridCol w:w="225"/>
        <w:gridCol w:w="220"/>
        <w:gridCol w:w="220"/>
        <w:gridCol w:w="220"/>
        <w:gridCol w:w="220"/>
        <w:gridCol w:w="220"/>
        <w:gridCol w:w="220"/>
        <w:gridCol w:w="484"/>
        <w:gridCol w:w="484"/>
        <w:gridCol w:w="488"/>
        <w:gridCol w:w="109"/>
        <w:gridCol w:w="109"/>
        <w:gridCol w:w="109"/>
        <w:gridCol w:w="359"/>
        <w:gridCol w:w="359"/>
        <w:gridCol w:w="511"/>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3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Please Print</w:t>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Address:</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(Insert Social Security or Other Identifying Number</w:t>
            </w:r>
          </w:p>
          <w:p>
            <w:pPr>
              <w:pStyle w:val="TableContents"/>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of 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tc>
        <w:tc>
          <w:tcPr>
            <w:tcW w:w="277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this Warrant Certificate and must bear a signature guarantee by a FINRA member firm).</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may be exercised at the following addresses: By hand at:</w:t>
      </w:r>
    </w:p>
    <w:p>
      <w:pPr>
        <w:pStyle w:val="TextBody"/>
        <w:bidi w:val="0"/>
        <w:spacing w:lineRule="auto" w:line="288" w:before="0" w:after="240"/>
        <w:jc w:val="both"/>
        <w:rPr/>
      </w:pPr>
      <w:r>
        <w:rPr>
          <w:rFonts w:ascii="Times New Roman;serif" w:hAnsi="Times New Roman;serif"/>
          <w:b w:val="false"/>
          <w:color w:val="000000"/>
          <w:sz w:val="22"/>
        </w:rPr>
        <w:t>[</w:t>
      </w:r>
      <w:r>
        <w:rPr>
          <w:rFonts w:ascii="Wingdings;sans-serif" w:hAnsi="Wingdings;sans-serif"/>
          <w:b w:val="false"/>
          <w:color w:val="000000"/>
          <w:sz w:val="22"/>
        </w:rPr>
        <w:t>l</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mail at: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[Instructions as to form and delivery of Warrant Securities and, if applicable, Warrant Certificates evidencing Warrants for the number of Warrant Securities remaining unexercised—complete as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ASSIGNMENT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assignment to be executed if Warrant Holder desires to transfer Warrant]</w:t>
      </w:r>
    </w:p>
    <w:p>
      <w:pPr>
        <w:pStyle w:val="TextBody"/>
        <w:bidi w:val="0"/>
        <w:spacing w:lineRule="auto" w:line="288" w:before="0" w:after="240"/>
        <w:ind w:left="0" w:right="0" w:firstLine="720"/>
        <w:jc w:val="both"/>
        <w:rPr/>
      </w:pPr>
      <w:r>
        <w:rPr>
          <w:rFonts w:ascii="Times New Roman;serif" w:hAnsi="Times New Roman;serif"/>
          <w:b/>
          <w:color w:val="000000"/>
          <w:sz w:val="22"/>
        </w:rPr>
        <w:t>FOR VALUE RECEIVED,</w:t>
      </w:r>
      <w:r>
        <w:rPr>
          <w:color w:val="000000"/>
        </w:rPr>
        <w:t xml:space="preserve"> </w:t>
      </w:r>
      <w:r>
        <w:rPr>
          <w:rFonts w:ascii="Times New Roman;serif" w:hAnsi="Times New Roman;serif"/>
          <w:b w:val="false"/>
          <w:color w:val="000000"/>
          <w:sz w:val="22"/>
        </w:rPr>
        <w:t>______________ hereby sells, assigns and transfers unto:</w:t>
      </w:r>
    </w:p>
    <w:tbl>
      <w:tblPr>
        <w:tblW w:w="10205" w:type="dxa"/>
        <w:jc w:val="left"/>
        <w:tblInd w:w="0" w:type="dxa"/>
        <w:tblLayout w:type="fixed"/>
        <w:tblCellMar>
          <w:top w:w="28" w:type="dxa"/>
          <w:left w:w="28" w:type="dxa"/>
          <w:bottom w:w="28" w:type="dxa"/>
          <w:right w:w="28" w:type="dxa"/>
        </w:tblCellMar>
      </w:tblPr>
      <w:tblGrid>
        <w:gridCol w:w="542"/>
        <w:gridCol w:w="245"/>
        <w:gridCol w:w="245"/>
        <w:gridCol w:w="245"/>
        <w:gridCol w:w="245"/>
        <w:gridCol w:w="245"/>
        <w:gridCol w:w="245"/>
        <w:gridCol w:w="245"/>
        <w:gridCol w:w="245"/>
        <w:gridCol w:w="245"/>
        <w:gridCol w:w="245"/>
        <w:gridCol w:w="245"/>
        <w:gridCol w:w="245"/>
        <w:gridCol w:w="245"/>
        <w:gridCol w:w="245"/>
        <w:gridCol w:w="245"/>
        <w:gridCol w:w="245"/>
        <w:gridCol w:w="245"/>
        <w:gridCol w:w="150"/>
        <w:gridCol w:w="150"/>
        <w:gridCol w:w="150"/>
        <w:gridCol w:w="150"/>
        <w:gridCol w:w="150"/>
        <w:gridCol w:w="150"/>
        <w:gridCol w:w="433"/>
        <w:gridCol w:w="433"/>
        <w:gridCol w:w="433"/>
        <w:gridCol w:w="433"/>
        <w:gridCol w:w="433"/>
        <w:gridCol w:w="433"/>
        <w:gridCol w:w="913"/>
        <w:gridCol w:w="433"/>
        <w:gridCol w:w="654"/>
      </w:tblGrid>
      <w:tr>
        <w:trPr/>
        <w:tc>
          <w:tcPr>
            <w:tcW w:w="5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3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7"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(Please print name and address including zip code)</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Please print Social Security or other identifying number</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the right represented by the within Warrant to purchase __________ shares of [Title of Warrant Securities] of Keros Therapeutics, Inc. to which the within Warrant relates and appoints ____________________ attorney to transfer such right on the books of the Warrant Agent with full power of substitution in the premises.</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the Warrant)</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7" w:type="dxa"/>
            <w:gridSpan w:val="21"/>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4.8</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70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KEROS THERAPEUTICS,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_____________, AS WARRANT AGENT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FORM OF DEBT SECURITIES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WARRANT AGREEMENT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DATED AS OF 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KEROS THERAPEUTICS, INC. FORM OF DEBT SECURITIES WARRANT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DEBT SECURITIES WARRANT AGREEMENT </w:t>
      </w:r>
      <w:r>
        <w:rPr>
          <w:rFonts w:ascii="Times New Roman;serif" w:hAnsi="Times New Roman;serif"/>
          <w:b w:val="false"/>
          <w:color w:val="000000"/>
          <w:sz w:val="22"/>
        </w:rPr>
        <w:t>(this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dated as of [●], between </w:t>
      </w:r>
      <w:r>
        <w:rPr>
          <w:rFonts w:ascii="Times New Roman;serif" w:hAnsi="Times New Roman;serif"/>
          <w:b/>
          <w:color w:val="000000"/>
          <w:sz w:val="22"/>
        </w:rPr>
        <w:t>KEROS THERAPEUTICS, INC.</w:t>
      </w:r>
      <w:r>
        <w:rPr>
          <w:rFonts w:ascii="Times New Roman;serif" w:hAnsi="Times New Roman;serif"/>
          <w:b w:val="false"/>
          <w:color w:val="000000"/>
          <w:sz w:val="22"/>
        </w:rPr>
        <w:t>,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 a [corporation] [national banking association] organized and existing under the laws of [●] and having a corporate trust office in [●],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has entered into an indenture dated as of [●] (the “</w:t>
      </w:r>
      <w:r>
        <w:rPr>
          <w:rFonts w:ascii="Times New Roman;serif" w:hAnsi="Times New Roman;serif"/>
          <w:b/>
          <w:i/>
          <w:color w:val="000000"/>
          <w:sz w:val="22"/>
        </w:rPr>
        <w:t>Indenture</w:t>
      </w:r>
      <w:r>
        <w:rPr>
          <w:color w:val="000000"/>
        </w:rPr>
        <w:t>”</w:t>
      </w:r>
      <w:r>
        <w:rPr>
          <w:rFonts w:ascii="Times New Roman;serif" w:hAnsi="Times New Roman;serif"/>
          <w:b w:val="false"/>
          <w:color w:val="000000"/>
          <w:sz w:val="22"/>
        </w:rPr>
        <w:t>), with [●], as trustee (such trustee, and any successors to such trustee, herein called the “</w:t>
      </w:r>
      <w:r>
        <w:rPr>
          <w:rFonts w:ascii="Times New Roman;serif" w:hAnsi="Times New Roman;serif"/>
          <w:b/>
          <w:i/>
          <w:color w:val="000000"/>
          <w:sz w:val="22"/>
        </w:rPr>
        <w:t>Trustee</w:t>
      </w:r>
      <w:r>
        <w:rPr>
          <w:color w:val="000000"/>
        </w:rPr>
        <w:t>”</w:t>
      </w:r>
      <w:r>
        <w:rPr>
          <w:rFonts w:ascii="Times New Roman;serif" w:hAnsi="Times New Roman;serif"/>
          <w:b w:val="false"/>
          <w:color w:val="000000"/>
          <w:sz w:val="22"/>
        </w:rPr>
        <w:t>), providing for the issuance from time to time of its debt securities, to be issued in one or more series as provided in the Indenture (the “</w:t>
      </w:r>
      <w:r>
        <w:rPr>
          <w:rFonts w:ascii="Times New Roman;serif" w:hAnsi="Times New Roman;serif"/>
          <w:b/>
          <w:i/>
          <w:color w:val="000000"/>
          <w:sz w:val="22"/>
        </w:rPr>
        <w:t>Debt Securities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color w:val="000000"/>
        </w:rPr>
        <w:t xml:space="preserve"> </w:t>
      </w:r>
      <w:r>
        <w:rPr>
          <w:rFonts w:ascii="Times New Roman;serif" w:hAnsi="Times New Roman;serif"/>
          <w:b w:val="false"/>
          <w:color w:val="000000"/>
          <w:sz w:val="22"/>
        </w:rPr>
        <w:t>the Company proposes to sell [</w:t>
      </w:r>
      <w:r>
        <w:rPr>
          <w:rFonts w:ascii="Times New Roman;serif" w:hAnsi="Times New Roman;serif"/>
          <w:b/>
          <w:i/>
          <w:color w:val="000000"/>
          <w:sz w:val="22"/>
        </w:rPr>
        <w:t xml:space="preserve">If Warrants are sold with other securities </w:t>
      </w:r>
      <w:r>
        <w:rPr>
          <w:color w:val="000000"/>
        </w:rPr>
        <w:t>—</w:t>
      </w:r>
      <w:r>
        <w:rPr>
          <w:rFonts w:ascii="Times New Roman;serif" w:hAnsi="Times New Roman;serif"/>
          <w:b w:val="false"/>
          <w:color w:val="000000"/>
          <w:sz w:val="22"/>
        </w:rPr>
        <w:t>[title of such other securities being offered] (the “</w:t>
      </w:r>
      <w:r>
        <w:rPr>
          <w:rFonts w:ascii="Times New Roman;serif" w:hAnsi="Times New Roman;serif"/>
          <w:b/>
          <w:i/>
          <w:color w:val="000000"/>
          <w:sz w:val="22"/>
        </w:rPr>
        <w:t>Other Securities</w:t>
      </w:r>
      <w:r>
        <w:rPr>
          <w:color w:val="000000"/>
        </w:rPr>
        <w:t>”</w:t>
      </w:r>
      <w:r>
        <w:rPr>
          <w:rFonts w:ascii="Times New Roman;serif" w:hAnsi="Times New Roman;serif"/>
          <w:b w:val="false"/>
          <w:color w:val="000000"/>
          <w:sz w:val="22"/>
        </w:rPr>
        <w:t>) with] warrant certificates evidencing one or more warrants (the “</w:t>
      </w:r>
      <w:r>
        <w:rPr>
          <w:rFonts w:ascii="Times New Roman;serif" w:hAnsi="Times New Roman;serif"/>
          <w:b/>
          <w:i/>
          <w:color w:val="000000"/>
          <w:sz w:val="22"/>
        </w:rPr>
        <w:t>Warrants</w:t>
      </w:r>
      <w:r>
        <w:rPr>
          <w:color w:val="000000"/>
        </w:rPr>
        <w:t xml:space="preserve">” </w:t>
      </w:r>
      <w:r>
        <w:rPr>
          <w:rFonts w:ascii="Times New Roman;serif" w:hAnsi="Times New Roman;serif"/>
          <w:b w:val="false"/>
          <w:color w:val="000000"/>
          <w:sz w:val="22"/>
        </w:rPr>
        <w:t>or, individually, a “</w:t>
      </w:r>
      <w:r>
        <w:rPr>
          <w:rFonts w:ascii="Times New Roman;serif" w:hAnsi="Times New Roman;serif"/>
          <w:b/>
          <w:i/>
          <w:color w:val="000000"/>
          <w:sz w:val="22"/>
        </w:rPr>
        <w:t>Warrant</w:t>
      </w:r>
      <w:r>
        <w:rPr>
          <w:color w:val="000000"/>
        </w:rPr>
        <w:t>”</w:t>
      </w:r>
      <w:r>
        <w:rPr>
          <w:rFonts w:ascii="Times New Roman;serif" w:hAnsi="Times New Roman;serif"/>
          <w:b w:val="false"/>
          <w:color w:val="000000"/>
          <w:sz w:val="22"/>
        </w:rPr>
        <w:t>) representing the right to purchase [title of Debt Securities purchasable through exercise of Warrants] (the “</w:t>
      </w:r>
      <w:r>
        <w:rPr>
          <w:rFonts w:ascii="Times New Roman;serif" w:hAnsi="Times New Roman;serif"/>
          <w:b/>
          <w:i/>
          <w:color w:val="000000"/>
          <w:sz w:val="22"/>
        </w:rPr>
        <w:t>Warrant Debt Securities</w:t>
      </w:r>
      <w:r>
        <w:rPr>
          <w:color w:val="000000"/>
        </w:rPr>
        <w:t>”</w:t>
      </w:r>
      <w:r>
        <w:rPr>
          <w:rFonts w:ascii="Times New Roman;serif" w:hAnsi="Times New Roman;serif"/>
          <w:b w:val="false"/>
          <w:color w:val="000000"/>
          <w:sz w:val="22"/>
        </w:rPr>
        <w:t>), such warrant certificates and other warrant certificates issued pursuant to this Agreement being herein called the “</w:t>
      </w:r>
      <w:r>
        <w:rPr>
          <w:rFonts w:ascii="Times New Roman;serif" w:hAnsi="Times New Roman;serif"/>
          <w:b/>
          <w:i/>
          <w:color w:val="000000"/>
          <w:sz w:val="22"/>
        </w:rPr>
        <w:t>Warrant Certificates</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color w:val="000000"/>
        </w:rPr>
        <w:t xml:space="preserve"> </w:t>
      </w:r>
      <w:r>
        <w:rPr>
          <w:rFonts w:ascii="Times New Roman;serif" w:hAnsi="Times New Roman;serif"/>
          <w:b w:val="false"/>
          <w:color w:val="000000"/>
          <w:sz w:val="22"/>
        </w:rPr>
        <w:t>in consideration of the premises and of the mutual agreements herein contained, the parties hereto agree as follows: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ISSUANCE OF WARRANTS AND EXECUTION 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DELIVERY OF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1.1    Issuance of Warrants. </w:t>
      </w:r>
      <w:r>
        <w:rPr>
          <w:rFonts w:ascii="Times New Roman;serif" w:hAnsi="Times New Roman;serif"/>
          <w:b w:val="false"/>
          <w:color w:val="000000"/>
          <w:sz w:val="22"/>
        </w:rPr>
        <w:t>[</w:t>
      </w:r>
      <w:r>
        <w:rPr>
          <w:rFonts w:ascii="Times New Roman;serif" w:hAnsi="Times New Roman;serif"/>
          <w:b/>
          <w:i/>
          <w:color w:val="000000"/>
          <w:sz w:val="22"/>
        </w:rPr>
        <w:t>If Warrants alone</w:t>
      </w:r>
      <w:r>
        <w:rPr>
          <w:color w:val="000000"/>
        </w:rPr>
        <w:t xml:space="preserve"> — </w:t>
      </w:r>
      <w:r>
        <w:rPr>
          <w:rFonts w:ascii="Times New Roman;serif" w:hAnsi="Times New Roman;serif"/>
          <w:b w:val="false"/>
          <w:color w:val="000000"/>
          <w:sz w:val="22"/>
        </w:rPr>
        <w:t>Upon issuance, each Warrant Certificate shall evidence one or more Warrants.] [</w:t>
      </w:r>
      <w:r>
        <w:rPr>
          <w:rFonts w:ascii="Times New Roman;serif" w:hAnsi="Times New Roman;serif"/>
          <w:b/>
          <w:i/>
          <w:color w:val="000000"/>
          <w:sz w:val="22"/>
        </w:rPr>
        <w:t>If Other Securities and Warrants</w:t>
      </w:r>
      <w:r>
        <w:rPr>
          <w:color w:val="000000"/>
        </w:rPr>
        <w:t xml:space="preserve"> — </w:t>
      </w:r>
      <w:r>
        <w:rPr>
          <w:rFonts w:ascii="Times New Roman;serif" w:hAnsi="Times New Roman;serif"/>
          <w:b w:val="false"/>
          <w:color w:val="000000"/>
          <w:sz w:val="22"/>
        </w:rPr>
        <w:t>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Debt Security. [</w:t>
      </w:r>
      <w:r>
        <w:rPr>
          <w:rFonts w:ascii="Times New Roman;serif" w:hAnsi="Times New Roman;serif"/>
          <w:b/>
          <w:i/>
          <w:color w:val="000000"/>
          <w:sz w:val="22"/>
        </w:rPr>
        <w:t>If Other Securities and Warrants</w:t>
      </w:r>
      <w:r>
        <w:rPr>
          <w:color w:val="000000"/>
        </w:rPr>
        <w:t xml:space="preserve"> — </w:t>
      </w:r>
      <w:r>
        <w:rPr>
          <w:rFonts w:ascii="Times New Roman;serif" w:hAnsi="Times New Roman;serif"/>
          <w:b w:val="false"/>
          <w:color w:val="000000"/>
          <w:sz w:val="22"/>
        </w:rPr>
        <w:t>Warrant Certificates will be issued with the Other Securities and each Warrant Certificate will evidence [●] Warrants for each [$[●] principal amount] [[●] shares] of Other Securities issued.]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1.2    Execution and Delivery of Warrant Certificates. </w:t>
      </w:r>
      <w:r>
        <w:rPr>
          <w:rFonts w:ascii="Times New Roman;serif" w:hAnsi="Times New Roman;serif"/>
          <w:b w:val="false"/>
          <w:color w:val="000000"/>
          <w:sz w:val="22"/>
        </w:rPr>
        <w:t xml:space="preserve">Each Warrant Certificate, whenever issued, shall be in registered form substantially in the form set forth in </w:t>
      </w:r>
      <w:r>
        <w:rPr>
          <w:rFonts w:ascii="Times New Roman;serif" w:hAnsi="Times New Roman;serif"/>
          <w:b/>
          <w:color w:val="000000"/>
          <w:sz w:val="22"/>
        </w:rPr>
        <w:t>Exhibit A</w:t>
      </w:r>
      <w:r>
        <w:rPr>
          <w:color w:val="000000"/>
        </w:rPr>
        <w:t xml:space="preserve"> </w:t>
      </w:r>
      <w:r>
        <w:rPr>
          <w:rFonts w:ascii="Times New Roman;serif" w:hAnsi="Times New Roman;serif"/>
          <w:b w:val="false"/>
          <w:color w:val="000000"/>
          <w:sz w:val="22"/>
        </w:rPr>
        <w:t xml:space="preserve">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4"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holder of a Warrant Certificate</w:t>
      </w:r>
      <w:r>
        <w:rPr>
          <w:color w:val="000000"/>
        </w:rPr>
        <w:t xml:space="preserve">” </w:t>
      </w:r>
      <w:r>
        <w:rPr>
          <w:rFonts w:ascii="Times New Roman;serif" w:hAnsi="Times New Roman;serif"/>
          <w:b w:val="false"/>
          <w:color w:val="000000"/>
          <w:sz w:val="22"/>
        </w:rPr>
        <w:t>as used herein shall mean any person in whose name at the time any Warrant Certificate shall be registered upon the books to be maintained by the Warrant Agent for that purpose.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1.3    Issuance of Warrant Certificates. </w:t>
      </w:r>
      <w:r>
        <w:rPr>
          <w:rFonts w:ascii="Times New Roman;serif" w:hAnsi="Times New Roman;serif"/>
          <w:b w:val="false"/>
          <w:color w:val="000000"/>
          <w:sz w:val="22"/>
        </w:rPr>
        <w:t>Warrant Certificates evidencing the right to purchase Warrant Debt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2</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PRICE, DURATION AND EXERCISE OF WARRANTS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2.1    Warrant Price. </w:t>
      </w:r>
      <w:r>
        <w:rPr>
          <w:rFonts w:ascii="Times New Roman;serif" w:hAnsi="Times New Roman;serif"/>
          <w:b w:val="false"/>
          <w:color w:val="000000"/>
          <w:sz w:val="22"/>
        </w:rPr>
        <w:t>During the period specified in Section 2.2, each Warrant shall, subject to the terms of this Agreement and the applicable 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serif" w:hAnsi="Times New Roman;serif"/>
          <w:b/>
          <w:i/>
          <w:color w:val="000000"/>
          <w:sz w:val="22"/>
        </w:rPr>
        <w:t>Warrant Price.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5"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2.2    Duration of Warrants. </w:t>
      </w:r>
      <w:r>
        <w:rPr>
          <w:rFonts w:ascii="Times New Roman;serif" w:hAnsi="Times New Roman;serif"/>
          <w:b w:val="false"/>
          <w:color w:val="000000"/>
          <w:sz w:val="22"/>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serif" w:hAnsi="Times New Roman;serif"/>
          <w:b/>
          <w:i/>
          <w:color w:val="000000"/>
          <w:sz w:val="22"/>
        </w:rPr>
        <w:t>Expiration Date</w:t>
      </w:r>
      <w:r>
        <w:rPr>
          <w:color w:val="000000"/>
        </w:rPr>
        <w:t>”</w:t>
      </w:r>
      <w:r>
        <w:rPr>
          <w:rFonts w:ascii="Times New Roman;serif" w:hAnsi="Times New Roman;serif"/>
          <w:b w:val="false"/>
          <w:color w:val="000000"/>
          <w:sz w:val="22"/>
        </w:rPr>
        <w:t>). Each Warrant not exercised at or before [●] p.m., [City] time, on the Expiration Date shall become void, and all rights of the holder of the Warrant Certificate evidencing such Warrant under this Agreement shall cease.</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2.3    Exercise of Warrants.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 xml:space="preserve">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6"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3</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OTHER PROVISIONS RELATING TO RIGHTS OF HOLDERS OF</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3.1    No Rights as Holder of Warrant Debt Securities Conferred by Warrants or Warrant Certificates. </w:t>
      </w:r>
      <w:r>
        <w:rPr>
          <w:rFonts w:ascii="Times New Roman;serif" w:hAnsi="Times New Roman;serif"/>
          <w:b w:val="false"/>
          <w:color w:val="000000"/>
          <w:sz w:val="22"/>
        </w:rPr>
        <w:t>No Warrant Certificate or Warrant 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3.2    Lost, Stolen, Mutilated or Destroyed Warrant Certificates. </w:t>
      </w:r>
      <w:r>
        <w:rPr>
          <w:rFonts w:ascii="Times New Roman;serif" w:hAnsi="Times New Roman;serif"/>
          <w:b w:val="false"/>
          <w:color w:val="000000"/>
          <w:sz w:val="22"/>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3.3    Holder of Warrant Certificate May Enforce Rights. </w:t>
      </w:r>
      <w:r>
        <w:rPr>
          <w:rFonts w:ascii="Times New Roman;serif" w:hAnsi="Times New Roman;serif"/>
          <w:b w:val="false"/>
          <w:color w:val="000000"/>
          <w:sz w:val="22"/>
        </w:rPr>
        <w:t xml:space="preserve">Notwithstanding any of the provisions of this Agreement, any holder of a Warrant Certificate, without the consent of the Warrant Agent, , the Trustee, the holder of any Warrant Debt Securities or the holder of any other Warrant Certificate, may, in such holder’s own behalf and for such holder’s own benefit, enforce, and may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57"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3.4    Merger, Sale, Conveyance or Lease.</w:t>
      </w:r>
      <w:r>
        <w:rPr>
          <w:color w:val="000000"/>
        </w:rPr>
        <w:t xml:space="preserve"> </w:t>
      </w:r>
      <w:r>
        <w:rPr>
          <w:rFonts w:ascii="Times New Roman;serif" w:hAnsi="Times New Roman;serif"/>
          <w:b w:val="false"/>
          <w:color w:val="000000"/>
          <w:sz w:val="22"/>
        </w:rPr>
        <w:t>In case of (a) any share exchange, merger or similar transaction of the Company with or into another 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serif" w:hAnsi="Times New Roman;serif"/>
          <w:b/>
          <w:i/>
          <w:color w:val="000000"/>
          <w:sz w:val="22"/>
        </w:rPr>
        <w:t>Reorganization Event</w:t>
      </w:r>
      <w:r>
        <w:rPr>
          <w:color w:val="000000"/>
        </w:rPr>
        <w:t>”</w:t>
      </w:r>
      <w:r>
        <w:rPr>
          <w:rFonts w:ascii="Times New Roman;serif" w:hAnsi="Times New Roman;serif"/>
          <w:b w:val="false"/>
          <w:color w:val="000000"/>
          <w:sz w:val="22"/>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3.5    Notice to Warrantholders. </w:t>
      </w:r>
      <w:r>
        <w:rPr>
          <w:rFonts w:ascii="Times New Roman;serif" w:hAnsi="Times New Roman;serif"/>
          <w:b w:val="false"/>
          <w:color w:val="000000"/>
          <w:sz w:val="22"/>
        </w:rPr>
        <w:t>In case the Company shall (a) effect any Reorganization Event or (b) make any distribution on or in respect of 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EXCHANGE AND TRANSFER OF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4.1    </w:t>
      </w:r>
      <w:r>
        <w:rPr>
          <w:rFonts w:ascii="Times New Roman;serif" w:hAnsi="Times New Roman;serif"/>
          <w:b w:val="false"/>
          <w:color w:val="000000"/>
          <w:sz w:val="22"/>
        </w:rPr>
        <w:t xml:space="preserve">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58"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4.2    Treatment of Holders of Warrant Certificates. </w:t>
      </w:r>
      <w:r>
        <w:rPr>
          <w:rFonts w:ascii="Times New Roman;serif" w:hAnsi="Times New Roman;serif"/>
          <w:b w:val="false"/>
          <w:color w:val="000000"/>
          <w:sz w:val="22"/>
        </w:rPr>
        <w:t>The</w:t>
      </w:r>
      <w:r>
        <w:rPr>
          <w:color w:val="000000"/>
        </w:rPr>
        <w:t xml:space="preserve"> </w:t>
      </w:r>
      <w:r>
        <w:rPr>
          <w:rFonts w:ascii="Times New Roman;serif" w:hAnsi="Times New Roman;serif"/>
          <w:b w:val="false"/>
          <w:color w:val="000000"/>
          <w:sz w:val="22"/>
        </w:rPr>
        <w:t>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4.3    Cancellation of Warrant Certificates. </w:t>
      </w:r>
      <w:r>
        <w:rPr>
          <w:rFonts w:ascii="Times New Roman;serif" w:hAnsi="Times New Roman;serif"/>
          <w:b w:val="false"/>
          <w:color w:val="000000"/>
          <w:sz w:val="22"/>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5</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CONCERNING THE WARRANT AGENT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5.1    Warrant Agent. </w:t>
      </w:r>
      <w:r>
        <w:rPr>
          <w:rFonts w:ascii="Times New Roman;serif" w:hAnsi="Times New Roman;serif"/>
          <w:b w:val="false"/>
          <w:color w:val="000000"/>
          <w:sz w:val="22"/>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5.2    Conditions of Warrant Agent’s Obligations. </w:t>
      </w:r>
      <w:r>
        <w:rPr>
          <w:rFonts w:ascii="Times New Roman;serif" w:hAnsi="Times New Roman;serif"/>
          <w:b w:val="false"/>
          <w:color w:val="000000"/>
          <w:sz w:val="22"/>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(a)    Compensation and Indemnification. </w:t>
      </w:r>
      <w:r>
        <w:rPr>
          <w:rFonts w:ascii="Times New Roman;serif" w:hAnsi="Times New Roman;serif"/>
          <w:b w:val="false"/>
          <w:color w:val="000000"/>
          <w:sz w:val="22"/>
        </w:rPr>
        <w:t xml:space="preserve">The Company agrees promptly to pay the Warrant Agent the compensation to be agreed upon with the Company for all services rendered by the Warrant Agent and to reimburse the Warrant Agent for reasonable out-of-pocket expenses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59"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(b)    Agent for the Company. </w:t>
      </w:r>
      <w:r>
        <w:rPr>
          <w:rFonts w:ascii="Times New Roman;serif" w:hAnsi="Times New Roman;serif"/>
          <w:b w:val="false"/>
          <w:color w:val="000000"/>
          <w:sz w:val="22"/>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(c)    Counsel. </w:t>
      </w:r>
      <w:r>
        <w:rPr>
          <w:rFonts w:ascii="Times New Roman;serif" w:hAnsi="Times New Roman;serif"/>
          <w:b w:val="false"/>
          <w:color w:val="000000"/>
          <w:sz w:val="22"/>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(d)    Documents. </w:t>
      </w:r>
      <w:r>
        <w:rPr>
          <w:rFonts w:ascii="Times New Roman;serif" w:hAnsi="Times New Roman;serif"/>
          <w:b w:val="false"/>
          <w:color w:val="000000"/>
          <w:sz w:val="22"/>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(e)    Certain Transactions. </w:t>
      </w:r>
      <w:r>
        <w:rPr>
          <w:rFonts w:ascii="Times New Roman;serif" w:hAnsi="Times New Roman;serif"/>
          <w:b w:val="false"/>
          <w:color w:val="000000"/>
          <w:sz w:val="22"/>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(f)    No Liability for Interest. </w:t>
      </w:r>
      <w:r>
        <w:rPr>
          <w:rFonts w:ascii="Times New Roman;serif" w:hAnsi="Times New Roman;serif"/>
          <w:b w:val="false"/>
          <w:color w:val="000000"/>
          <w:sz w:val="22"/>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(g)    No Liability for Invalidity. </w:t>
      </w:r>
      <w:r>
        <w:rPr>
          <w:rFonts w:ascii="Times New Roman;serif" w:hAnsi="Times New Roman;serif"/>
          <w:b w:val="false"/>
          <w:color w:val="000000"/>
          <w:sz w:val="22"/>
        </w:rPr>
        <w:t>The Warrant Agent shall have no liability with respect to any invalidity of this Agreement or any of the Warrant Certificates (except as to the Warrant Agent’s countersignature thereon).</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(h)    No Responsibility for Representations. </w:t>
      </w:r>
      <w:r>
        <w:rPr>
          <w:rFonts w:ascii="Times New Roman;serif" w:hAnsi="Times New Roman;serif"/>
          <w:b w:val="false"/>
          <w:color w:val="000000"/>
          <w:sz w:val="22"/>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lineRule="auto" w:line="288" w:before="0" w:after="240"/>
        <w:ind w:left="0" w:right="0" w:firstLine="1440"/>
        <w:jc w:val="both"/>
        <w:rPr/>
      </w:pPr>
      <w:r>
        <w:rPr>
          <w:rFonts w:ascii="Times New Roman;serif" w:hAnsi="Times New Roman;serif"/>
          <w:b/>
          <w:color w:val="000000"/>
          <w:sz w:val="22"/>
        </w:rPr>
        <w:t xml:space="preserve">(i)    No Implied Obligations. </w:t>
      </w:r>
      <w:r>
        <w:rPr>
          <w:rFonts w:ascii="Times New Roman;serif" w:hAnsi="Times New Roman;serif"/>
          <w:b w:val="false"/>
          <w:color w:val="000000"/>
          <w:sz w:val="22"/>
        </w:rPr>
        <w:t xml:space="preserve">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0"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5.3    Resignation, Removal and Appointment of Successors.</w:t>
      </w:r>
    </w:p>
    <w:p>
      <w:pPr>
        <w:pStyle w:val="TextBody"/>
        <w:bidi w:val="0"/>
        <w:spacing w:lineRule="auto" w:line="288" w:before="0" w:after="240"/>
        <w:ind w:left="0" w:right="0" w:firstLine="1440"/>
        <w:jc w:val="both"/>
        <w:rPr/>
      </w:pPr>
      <w:r>
        <w:rPr>
          <w:rFonts w:ascii="Times New Roman;serif" w:hAnsi="Times New Roman;serif"/>
          <w:b/>
          <w:color w:val="000000"/>
          <w:sz w:val="22"/>
        </w:rPr>
        <w:t>(a)    </w:t>
      </w:r>
      <w:r>
        <w:rPr>
          <w:rFonts w:ascii="Times New Roman;serif" w:hAnsi="Times New Roman;serif"/>
          <w:b w:val="false"/>
          <w:color w:val="000000"/>
          <w:sz w:val="22"/>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lineRule="auto" w:line="288" w:before="0" w:after="240"/>
        <w:ind w:left="0" w:right="0" w:firstLine="1440"/>
        <w:jc w:val="both"/>
        <w:rPr/>
      </w:pPr>
      <w:r>
        <w:rPr>
          <w:rFonts w:ascii="Times New Roman;serif" w:hAnsi="Times New Roman;serif"/>
          <w:b/>
          <w:color w:val="000000"/>
          <w:sz w:val="22"/>
        </w:rPr>
        <w:t>(b)    </w:t>
      </w:r>
      <w:r>
        <w:rPr>
          <w:rFonts w:ascii="Times New Roman;serif" w:hAnsi="Times New Roman;serif"/>
          <w:b w:val="false"/>
          <w:color w:val="000000"/>
          <w:sz w:val="22"/>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lineRule="auto" w:line="288" w:before="0" w:after="240"/>
        <w:ind w:left="0" w:right="0" w:firstLine="1440"/>
        <w:jc w:val="both"/>
        <w:rPr/>
      </w:pPr>
      <w:r>
        <w:rPr>
          <w:rFonts w:ascii="Times New Roman;serif" w:hAnsi="Times New Roman;serif"/>
          <w:b/>
          <w:color w:val="000000"/>
          <w:sz w:val="22"/>
        </w:rPr>
        <w:t>(c)    </w:t>
      </w:r>
      <w:r>
        <w:rPr>
          <w:rFonts w:ascii="Times New Roman;serif" w:hAnsi="Times New Roman;serif"/>
          <w:b w:val="false"/>
          <w:color w:val="000000"/>
          <w:sz w:val="22"/>
        </w:rPr>
        <w:t xml:space="preserve">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 </w:t>
      </w:r>
    </w:p>
    <w:p>
      <w:pPr>
        <w:pStyle w:val="TextBody"/>
        <w:bidi w:val="0"/>
        <w:spacing w:lineRule="auto" w:line="288" w:before="0" w:after="240"/>
        <w:ind w:left="0" w:right="0" w:firstLine="1440"/>
        <w:jc w:val="both"/>
        <w:rPr/>
      </w:pPr>
      <w:r>
        <w:rPr>
          <w:rFonts w:ascii="Times New Roman;serif" w:hAnsi="Times New Roman;serif"/>
          <w:b/>
          <w:color w:val="000000"/>
          <w:sz w:val="22"/>
        </w:rPr>
        <w:t>(d)    </w:t>
      </w:r>
      <w:r>
        <w:rPr>
          <w:rFonts w:ascii="Times New Roman;serif" w:hAnsi="Times New Roman;serif"/>
          <w:b w:val="false"/>
          <w:color w:val="000000"/>
          <w:sz w:val="22"/>
        </w:rPr>
        <w:t xml:space="preserve">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1"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lineRule="auto" w:line="288" w:before="0" w:after="240"/>
        <w:ind w:left="0" w:right="0" w:firstLine="1440"/>
        <w:jc w:val="both"/>
        <w:rPr/>
      </w:pPr>
      <w:r>
        <w:rPr>
          <w:rFonts w:ascii="Times New Roman;serif" w:hAnsi="Times New Roman;serif"/>
          <w:b/>
          <w:color w:val="000000"/>
          <w:sz w:val="22"/>
        </w:rPr>
        <w:t>(e)    </w:t>
      </w:r>
      <w:r>
        <w:rPr>
          <w:rFonts w:ascii="Times New Roman;serif" w:hAnsi="Times New Roman;serif"/>
          <w:b w:val="false"/>
          <w:color w:val="000000"/>
          <w:sz w:val="22"/>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ARTICLE 6</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MISCELLANEOUS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    Amendment. </w:t>
      </w:r>
      <w:r>
        <w:rPr>
          <w:rFonts w:ascii="Times New Roman;serif" w:hAnsi="Times New Roman;serif"/>
          <w:b w:val="false"/>
          <w:color w:val="000000"/>
          <w:sz w:val="22"/>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6.2    Notices and Demands to the Company and Warrant Agent. </w:t>
      </w:r>
      <w:r>
        <w:rPr>
          <w:rFonts w:ascii="Times New Roman;serif" w:hAnsi="Times New Roman;serif"/>
          <w:b w:val="false"/>
          <w:color w:val="000000"/>
          <w:sz w:val="22"/>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6.3    Addresses. </w:t>
      </w:r>
      <w:r>
        <w:rPr>
          <w:rFonts w:ascii="Times New Roman;serif" w:hAnsi="Times New Roman;serif"/>
          <w:b w:val="false"/>
          <w:color w:val="000000"/>
          <w:sz w:val="22"/>
        </w:rPr>
        <w:t>Any communication from the Company to the Warrant Agent with respect to this Agreement shall be addressed to [●], Attention: [●] and any communication from the Warrant Agent to the Company with respect to this Agreement shall be addressed to Keros Therapeutics, Inc. at 1050 Waltham Street, Suite 302, Lexington, Massachusetts 02421, Attention: [●] (or such other address as shall be specified in writing by the Warrant Agent or by the Company).</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6.4    Governing Law. </w:t>
      </w:r>
      <w:r>
        <w:rPr>
          <w:rFonts w:ascii="Times New Roman;serif" w:hAnsi="Times New Roman;serif"/>
          <w:b w:val="false"/>
          <w:color w:val="000000"/>
          <w:sz w:val="22"/>
        </w:rPr>
        <w:t>This Agreement and each Warrant Certificate issued hereunder shall be governed by and construed in accordance with the laws of the State of New York.</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6.5    Delivery of Prospectus. </w:t>
      </w:r>
      <w:r>
        <w:rPr>
          <w:rFonts w:ascii="Times New Roman;serif" w:hAnsi="Times New Roman;serif"/>
          <w:b w:val="false"/>
          <w:color w:val="000000"/>
          <w:sz w:val="22"/>
        </w:rPr>
        <w:t>The Company shall furnish to the Warrant Agent sufficient copies of a prospectus meeting the requirements of the Securities Act of 1933, as amended, relating to the Warrant Debt Securities deliverable upon exercise of the Warrants (the “</w:t>
      </w:r>
      <w:r>
        <w:rPr>
          <w:rFonts w:ascii="Times New Roman;serif" w:hAnsi="Times New Roman;serif"/>
          <w:b/>
          <w:i/>
          <w:color w:val="000000"/>
          <w:sz w:val="22"/>
        </w:rPr>
        <w:t>Prospectus</w:t>
      </w:r>
      <w:r>
        <w:rPr>
          <w:color w:val="000000"/>
        </w:rPr>
        <w:t>”</w:t>
      </w:r>
      <w:r>
        <w:rPr>
          <w:rFonts w:ascii="Times New Roman;serif" w:hAnsi="Times New Roman;serif"/>
          <w:b w:val="false"/>
          <w:color w:val="000000"/>
          <w:sz w:val="22"/>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6.6    Obtaining of Governmental Approvals. </w:t>
      </w:r>
      <w:r>
        <w:rPr>
          <w:rFonts w:ascii="Times New Roman;serif" w:hAnsi="Times New Roman;serif"/>
          <w:b w:val="false"/>
          <w:color w:val="000000"/>
          <w:sz w:val="22"/>
        </w:rPr>
        <w:t xml:space="preserve">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Debt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2"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6.7    Persons Having Rights Under the Agreement. </w:t>
      </w:r>
      <w:r>
        <w:rPr>
          <w:rFonts w:ascii="Times New Roman;serif" w:hAnsi="Times New Roman;serif"/>
          <w:b w:val="false"/>
          <w:color w:val="000000"/>
          <w:sz w:val="22"/>
        </w:rPr>
        <w:t>Nothing in this Agreement shall give to any person other than the Company, the Warrant Agent and the holders of the Warrant Certificates any right, remedy or claim under or by reason of this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6.8    Headings. </w:t>
      </w:r>
      <w:r>
        <w:rPr>
          <w:rFonts w:ascii="Times New Roman;serif" w:hAnsi="Times New Roman;serif"/>
          <w:b w:val="false"/>
          <w:color w:val="000000"/>
          <w:sz w:val="22"/>
        </w:rPr>
        <w:t>The descriptive headings of the several Articles and Sections of this Agreement are inserted for convenience only and shall not control or affect the meaning or construction of any of the provisions hereof.</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6.9    Counterparts. </w:t>
      </w:r>
      <w:r>
        <w:rPr>
          <w:rFonts w:ascii="Times New Roman;serif" w:hAnsi="Times New Roman;serif"/>
          <w:b w:val="false"/>
          <w:color w:val="000000"/>
          <w:sz w:val="22"/>
        </w:rPr>
        <w:t>This Agreement may be executed in any number of counterparts, each of which as so executed shall be deemed to be an original, but such counterparts shall together constitute but one and the same instrument.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6.10    Inspection of Agreement. </w:t>
      </w:r>
      <w:r>
        <w:rPr>
          <w:rFonts w:ascii="Times New Roman;serif" w:hAnsi="Times New Roman;serif"/>
          <w:b w:val="false"/>
          <w:color w:val="000000"/>
          <w:sz w:val="22"/>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3"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240"/>
        <w:ind w:left="0" w:right="0" w:firstLine="720"/>
        <w:jc w:val="both"/>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the parties hereto have caused this Agreement to be duly executed as of the day and year first above written.</w:t>
      </w:r>
    </w:p>
    <w:tbl>
      <w:tblPr>
        <w:tblW w:w="4403" w:type="dxa"/>
        <w:jc w:val="left"/>
        <w:tblInd w:w="0" w:type="dxa"/>
        <w:tblLayout w:type="fixed"/>
        <w:tblCellMar>
          <w:top w:w="28" w:type="dxa"/>
          <w:left w:w="28" w:type="dxa"/>
          <w:bottom w:w="28" w:type="dxa"/>
          <w:right w:w="28" w:type="dxa"/>
        </w:tblCellMar>
      </w:tblPr>
      <w:tblGrid>
        <w:gridCol w:w="124"/>
        <w:gridCol w:w="109"/>
        <w:gridCol w:w="109"/>
        <w:gridCol w:w="613"/>
        <w:gridCol w:w="613"/>
        <w:gridCol w:w="613"/>
        <w:gridCol w:w="613"/>
        <w:gridCol w:w="613"/>
        <w:gridCol w:w="6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6"/>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22"/>
              </w:rPr>
            </w:pPr>
            <w:r>
              <w:rPr>
                <w:rFonts w:ascii="Times New Roman;serif" w:hAnsi="Times New Roman;serif"/>
                <w:b w:val="false"/>
                <w:color w:val="000000"/>
                <w:sz w:val="22"/>
              </w:rPr>
              <w:t>Keros Therapeutics, Inc., as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COUNTERSIGNED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6"/>
            <w:tcBorders/>
            <w:tcMar>
              <w:top w:w="0" w:type="dxa"/>
              <w:left w:w="0" w:type="dxa"/>
              <w:bottom w:w="0" w:type="dxa"/>
              <w:right w:w="0" w:type="dxa"/>
            </w:tcMar>
            <w:vAlign w:val="center"/>
          </w:tcPr>
          <w:p>
            <w:pPr>
              <w:pStyle w:val="TableContents"/>
              <w:bidi w:val="0"/>
              <w:spacing w:lineRule="auto" w:line="333" w:before="53" w:after="30"/>
              <w:jc w:val="both"/>
              <w:rPr/>
            </w:pPr>
            <w:r>
              <w:rPr>
                <w:rFonts w:ascii="Times New Roman;serif" w:hAnsi="Times New Roman;serif"/>
                <w:b/>
                <w:color w:val="000000"/>
                <w:sz w:val="22"/>
              </w:rPr>
              <w:t>[●]</w:t>
            </w:r>
            <w:r>
              <w:rPr>
                <w:rFonts w:ascii="Times New Roman;serif" w:hAnsi="Times New Roman;serif"/>
                <w:b w:val="false"/>
                <w:color w:val="000000"/>
                <w:sz w:val="22"/>
              </w:rPr>
              <w:t>, as Warrant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4"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[SIGNATURE PAGE TO KEROS THERAPEUTICS, INC. DEBT SECURITIES WARRANT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[SIGNATURE PAGE TO KEROS THERAPEUTICS, INC. DEBT SECURITIES WARRANT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WARRANT CERTIFICATE</w:t>
      </w:r>
    </w:p>
    <w:p>
      <w:pPr>
        <w:pStyle w:val="TextBody"/>
        <w:bidi w:val="0"/>
        <w:spacing w:lineRule="auto" w:line="288" w:before="0" w:after="1020"/>
        <w:jc w:val="center"/>
        <w:rPr>
          <w:rFonts w:ascii="Times New Roman;serif" w:hAnsi="Times New Roman;serif"/>
          <w:b/>
          <w:color w:val="000000"/>
          <w:sz w:val="22"/>
        </w:rPr>
      </w:pPr>
      <w:r>
        <w:rPr>
          <w:rFonts w:ascii="Times New Roman;serif" w:hAnsi="Times New Roman;serif"/>
          <w:b/>
          <w:color w:val="000000"/>
          <w:sz w:val="22"/>
        </w:rPr>
        <w:t>[FACE OF WARRANT CERTIFICATE]</w:t>
      </w:r>
    </w:p>
    <w:tbl>
      <w:tblPr>
        <w:tblW w:w="10205" w:type="dxa"/>
        <w:jc w:val="left"/>
        <w:tblInd w:w="0" w:type="dxa"/>
        <w:tblLayout w:type="fixed"/>
        <w:tblCellMar>
          <w:top w:w="28" w:type="dxa"/>
          <w:left w:w="28" w:type="dxa"/>
          <w:bottom w:w="28" w:type="dxa"/>
          <w:right w:w="28" w:type="dxa"/>
        </w:tblCellMar>
      </w:tblPr>
      <w:tblGrid>
        <w:gridCol w:w="1584"/>
        <w:gridCol w:w="1392"/>
        <w:gridCol w:w="1399"/>
        <w:gridCol w:w="109"/>
        <w:gridCol w:w="109"/>
        <w:gridCol w:w="109"/>
        <w:gridCol w:w="1611"/>
        <w:gridCol w:w="1611"/>
        <w:gridCol w:w="2281"/>
      </w:tblGrid>
      <w:tr>
        <w:trPr/>
        <w:tc>
          <w:tcPr>
            <w:tcW w:w="15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w:t>
            </w:r>
            <w:r>
              <w:rPr>
                <w:rFonts w:ascii="Times New Roman;serif" w:hAnsi="Times New Roman;serif"/>
                <w:b/>
                <w:i/>
                <w:color w:val="000000"/>
                <w:sz w:val="22"/>
              </w:rPr>
              <w:t>Form of Legend if Warrants are not immediately exercisable.</w:t>
            </w: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[Prior to [●], Warrants evidenced by this Warrant Certificate cannot be exercised.]</w:t>
            </w:r>
          </w:p>
        </w:tc>
      </w:tr>
    </w:tbl>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EXERCISABLE ONLY IF COUNTERSIGNED BY THE WARRANT AGENT AS PROVIDED HEREIN</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VOID AFTER [●] P.M., [City] time, ON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5"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Keros Therapeutics,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 CERTIFICATE REPRESENTING</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WARRANTS TO PURCHASE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[TITLE OF WARRANT DEBT SECURITIES]</w:t>
      </w:r>
    </w:p>
    <w:tbl>
      <w:tblPr>
        <w:tblW w:w="2205" w:type="dxa"/>
        <w:jc w:val="left"/>
        <w:tblInd w:w="0" w:type="dxa"/>
        <w:tblLayout w:type="fixed"/>
        <w:tblCellMar>
          <w:top w:w="28" w:type="dxa"/>
          <w:left w:w="28" w:type="dxa"/>
          <w:bottom w:w="28" w:type="dxa"/>
          <w:right w:w="28" w:type="dxa"/>
        </w:tblCellMar>
      </w:tblPr>
      <w:tblGrid>
        <w:gridCol w:w="303"/>
        <w:gridCol w:w="267"/>
        <w:gridCol w:w="270"/>
        <w:gridCol w:w="398"/>
        <w:gridCol w:w="398"/>
        <w:gridCol w:w="569"/>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2"/>
              </w:rPr>
              <w:t>No. [</w:t>
            </w:r>
            <w:r>
              <w:rPr>
                <w:rFonts w:ascii="Wingdings;sans-serif" w:hAnsi="Wingdings;sans-serif"/>
                <w:b w:val="false"/>
                <w:color w:val="000000"/>
                <w:sz w:val="22"/>
              </w:rPr>
              <w:t>l</w:t>
            </w:r>
            <w:r>
              <w:rPr>
                <w:rFonts w:ascii="Times New Roman;serif" w:hAnsi="Times New Roman;serif"/>
                <w:b w:val="false"/>
                <w:color w:val="000000"/>
                <w:sz w:val="22"/>
              </w:rPr>
              <w:t>]</w:t>
            </w:r>
          </w:p>
        </w:tc>
        <w:tc>
          <w:tcPr>
            <w:tcW w:w="1365" w:type="dxa"/>
            <w:gridSpan w:val="3"/>
            <w:tcBorders/>
            <w:tcMar>
              <w:top w:w="0" w:type="dxa"/>
              <w:left w:w="0" w:type="dxa"/>
              <w:bottom w:w="0" w:type="dxa"/>
              <w:right w:w="0" w:type="dxa"/>
            </w:tcMar>
            <w:vAlign w:val="center"/>
          </w:tcPr>
          <w:p>
            <w:pPr>
              <w:pStyle w:val="TableContents"/>
              <w:bidi w:val="0"/>
              <w:spacing w:lineRule="auto" w:line="288" w:before="53" w:after="30"/>
              <w:jc w:val="right"/>
              <w:rPr/>
            </w:pPr>
            <w:r>
              <w:rPr>
                <w:rFonts w:ascii="Times New Roman;serif" w:hAnsi="Times New Roman;serif"/>
                <w:b w:val="false"/>
                <w:color w:val="000000"/>
                <w:sz w:val="22"/>
              </w:rPr>
              <w:t>[</w:t>
            </w:r>
            <w:r>
              <w:rPr>
                <w:rFonts w:ascii="Wingdings;sans-serif" w:hAnsi="Wingdings;sans-serif"/>
                <w:b w:val="false"/>
                <w:color w:val="000000"/>
                <w:sz w:val="22"/>
              </w:rPr>
              <w:t>l</w:t>
            </w:r>
            <w:r>
              <w:rPr>
                <w:rFonts w:ascii="Times New Roman;serif" w:hAnsi="Times New Roman;serif"/>
                <w:b w:val="false"/>
                <w:color w:val="000000"/>
                <w:sz w:val="22"/>
              </w:rPr>
              <w:t>] Warrants</w:t>
            </w:r>
          </w:p>
        </w:tc>
      </w:tr>
    </w:tbl>
    <w:p>
      <w:pPr>
        <w:pStyle w:val="TextBody"/>
        <w:bidi w:val="0"/>
        <w:spacing w:lineRule="auto" w:line="288" w:before="0" w:after="240"/>
        <w:jc w:val="both"/>
        <w:rPr/>
      </w:pPr>
      <w:r>
        <w:rPr>
          <w:rFonts w:ascii="Times New Roman;serif" w:hAnsi="Times New Roman;serif"/>
          <w:b w:val="false"/>
          <w:color w:val="000000"/>
          <w:sz w:val="22"/>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serif" w:hAnsi="Times New Roman;serif"/>
          <w:b/>
          <w:i/>
          <w:color w:val="000000"/>
          <w:sz w:val="22"/>
        </w:rPr>
        <w:t>Warrant Debt Securities</w:t>
      </w:r>
      <w:r>
        <w:rPr>
          <w:color w:val="000000"/>
        </w:rPr>
        <w:t>”</w:t>
      </w:r>
      <w:r>
        <w:rPr>
          <w:rFonts w:ascii="Times New Roman;serif" w:hAnsi="Times New Roman;serif"/>
          <w:b w:val="false"/>
          <w:color w:val="000000"/>
          <w:sz w:val="22"/>
        </w:rPr>
        <w:t>), of Keros Therapeutics,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serif" w:hAnsi="Times New Roman;serif"/>
          <w:b/>
          <w:i/>
          <w:color w:val="000000"/>
          <w:sz w:val="22"/>
        </w:rPr>
        <w:t>Warrant Price</w:t>
      </w:r>
      <w:r>
        <w:rPr>
          <w:color w:val="000000"/>
        </w:rPr>
        <w:t>”</w:t>
      </w:r>
      <w:r>
        <w:rPr>
          <w:rFonts w:ascii="Times New Roman;serif" w:hAnsi="Times New Roman;serif"/>
          <w:b w:val="false"/>
          <w:color w:val="000000"/>
          <w:sz w:val="22"/>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serif" w:hAnsi="Times New Roman;serif"/>
          <w:b/>
          <w:i/>
          <w:color w:val="000000"/>
          <w:sz w:val="22"/>
        </w:rPr>
        <w:t>Warrant Agent</w:t>
      </w:r>
      <w:r>
        <w:rPr>
          <w:color w:val="000000"/>
        </w:rPr>
        <w:t>”</w:t>
      </w:r>
      <w:r>
        <w:rPr>
          <w:rFonts w:ascii="Times New Roman;serif" w:hAnsi="Times New Roman;serif"/>
          <w:b w:val="false"/>
          <w:color w:val="000000"/>
          <w:sz w:val="22"/>
        </w:rPr>
        <w:t>), which is, on the date hereof, at the address specified on the reverse hereof, and upon compliance with and subject to the conditions set forth herein and in the Warrant Agreement (as hereinafter defined).</w:t>
      </w:r>
    </w:p>
    <w:p>
      <w:pPr>
        <w:pStyle w:val="TextBody"/>
        <w:bidi w:val="0"/>
        <w:spacing w:lineRule="auto" w:line="288" w:before="0" w:after="240"/>
        <w:jc w:val="both"/>
        <w:rPr/>
      </w:pPr>
      <w:r>
        <w:rPr>
          <w:rFonts w:ascii="Times New Roman;serif" w:hAnsi="Times New Roman;serif"/>
          <w:b w:val="false"/>
          <w:color w:val="000000"/>
          <w:sz w:val="22"/>
        </w:rPr>
        <w:t>The term “</w:t>
      </w:r>
      <w:r>
        <w:rPr>
          <w:rFonts w:ascii="Times New Roman;serif" w:hAnsi="Times New Roman;serif"/>
          <w:b/>
          <w:i/>
          <w:color w:val="000000"/>
          <w:sz w:val="22"/>
        </w:rPr>
        <w:t>Holder</w:t>
      </w:r>
      <w:r>
        <w:rPr>
          <w:color w:val="000000"/>
        </w:rPr>
        <w:t xml:space="preserve">” </w:t>
      </w:r>
      <w:r>
        <w:rPr>
          <w:rFonts w:ascii="Times New Roman;serif" w:hAnsi="Times New Roman;serif"/>
          <w:b w:val="false"/>
          <w:color w:val="000000"/>
          <w:sz w:val="22"/>
        </w:rPr>
        <w:t>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pStyle w:val="TextBody"/>
        <w:bidi w:val="0"/>
        <w:spacing w:lineRule="auto" w:line="288" w:before="0" w:after="240"/>
        <w:jc w:val="both"/>
        <w:rPr/>
      </w:pPr>
      <w:r>
        <w:rPr>
          <w:rFonts w:ascii="Times New Roman;serif" w:hAnsi="Times New Roman;serif"/>
          <w:b w:val="false"/>
          <w:color w:val="000000"/>
          <w:sz w:val="22"/>
        </w:rPr>
        <w:t>This Warrant Certificate is issued under and in accordance with the Warrant Agreement dated as of [●] (the “</w:t>
      </w:r>
      <w:r>
        <w:rPr>
          <w:rFonts w:ascii="Times New Roman;serif" w:hAnsi="Times New Roman;serif"/>
          <w:b/>
          <w:i/>
          <w:color w:val="000000"/>
          <w:sz w:val="22"/>
        </w:rPr>
        <w:t>Warrant Agreement</w:t>
      </w:r>
      <w:r>
        <w:rPr>
          <w:color w:val="000000"/>
        </w:rPr>
        <w:t>”</w:t>
      </w:r>
      <w:r>
        <w:rPr>
          <w:rFonts w:ascii="Times New Roman;serif" w:hAnsi="Times New Roman;serif"/>
          <w:b w:val="false"/>
          <w:color w:val="000000"/>
          <w:sz w:val="22"/>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Warrant Debt Securities to be issued and delivered upon the exercise of Warrants evidenced by this Warrant Certificate will be issued under and in accordance with an Indenture, dated as of [●] (the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6"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i/>
          <w:color w:val="000000"/>
          <w:sz w:val="22"/>
        </w:rPr>
        <w:t>Indenture</w:t>
      </w:r>
      <w:r>
        <w:rPr>
          <w:color w:val="000000"/>
        </w:rPr>
        <w:t>”</w:t>
      </w:r>
      <w:r>
        <w:rPr>
          <w:rFonts w:ascii="Times New Roman;serif" w:hAnsi="Times New Roman;serif"/>
          <w:b w:val="false"/>
          <w:color w:val="000000"/>
          <w:sz w:val="22"/>
        </w:rPr>
        <w:t>), between the Company and [●], as trustee (such trustee, and any successors to such trustee, the “</w:t>
      </w:r>
      <w:r>
        <w:rPr>
          <w:rFonts w:ascii="Times New Roman;serif" w:hAnsi="Times New Roman;serif"/>
          <w:b/>
          <w:i/>
          <w:color w:val="000000"/>
          <w:sz w:val="22"/>
        </w:rPr>
        <w:t>Trustee</w:t>
      </w:r>
      <w:r>
        <w:rPr>
          <w:color w:val="000000"/>
        </w:rPr>
        <w:t>”</w:t>
      </w:r>
      <w:r>
        <w:rPr>
          <w:rFonts w:ascii="Times New Roman;serif" w:hAnsi="Times New Roman;serif"/>
          <w:b w:val="false"/>
          <w:color w:val="000000"/>
          <w:sz w:val="22"/>
        </w:rPr>
        <w:t>)] and will be subject to the terms and provisions contained in the Warrant Debt Securities and in the Indenture. Copies of the Indenture, including the form of the Warrant Debt Securities, are on file at the corporate trust office of the Trustee.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Reference is hereby made to the further provisions of this Warrant Certificate set forth on the reverse hereof, which further provisions shall for all purposes have the same effect as if set forth at this place.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Certificate shall not be valid or obligatory for any purpose until countersigned by the Warrant Agent.</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7"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Company has caused this Warrant to be executed in its name and on its behalf by the facsimile signatures of its duly authorized officers.</w:t>
      </w:r>
    </w:p>
    <w:tbl>
      <w:tblPr>
        <w:tblW w:w="4530" w:type="dxa"/>
        <w:jc w:val="left"/>
        <w:tblInd w:w="0" w:type="dxa"/>
        <w:tblLayout w:type="fixed"/>
        <w:tblCellMar>
          <w:top w:w="28" w:type="dxa"/>
          <w:left w:w="28" w:type="dxa"/>
          <w:bottom w:w="28" w:type="dxa"/>
          <w:right w:w="28" w:type="dxa"/>
        </w:tblCellMar>
      </w:tblPr>
      <w:tblGrid>
        <w:gridCol w:w="595"/>
        <w:gridCol w:w="523"/>
        <w:gridCol w:w="526"/>
        <w:gridCol w:w="243"/>
        <w:gridCol w:w="243"/>
        <w:gridCol w:w="243"/>
        <w:gridCol w:w="243"/>
        <w:gridCol w:w="243"/>
        <w:gridCol w:w="243"/>
        <w:gridCol w:w="243"/>
        <w:gridCol w:w="243"/>
        <w:gridCol w:w="243"/>
        <w:gridCol w:w="109"/>
        <w:gridCol w:w="109"/>
        <w:gridCol w:w="109"/>
        <w:gridCol w:w="109"/>
        <w:gridCol w:w="109"/>
        <w:gridCol w:w="154"/>
      </w:tblGrid>
      <w:tr>
        <w:trPr/>
        <w:tc>
          <w:tcPr>
            <w:tcW w:w="59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4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Keros Therapeutics, Inc.</w:t>
            </w:r>
            <w:r>
              <w:rPr>
                <w:rFonts w:ascii="Times New Roman;serif" w:hAnsi="Times New Roman;serif"/>
                <w:b w:val="false"/>
                <w:color w:val="000000"/>
                <w:sz w:val="22"/>
              </w:rPr>
              <w:t>, as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12"/>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COUNTERSIGNED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3"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w:t>
            </w:r>
            <w:r>
              <w:rPr>
                <w:rFonts w:ascii="Times New Roman;serif" w:hAnsi="Times New Roman;serif"/>
                <w:b w:val="false"/>
                <w:color w:val="000000"/>
                <w:sz w:val="22"/>
              </w:rPr>
              <w:t>, as Warrant Agent</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6"/>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ATTEST:</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68"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[REVERSE OF WARRANT CERTIFICATE]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(Instructions for Exercise of Warrant)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(To be executed upon exercise of Warrants)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undersigned hereby irrevocably elects to exercise ______ Warrants, evidenced by this Warrant Certificate, to purchase _______ $[●] principal amount of the [TITLE OF WARRANT DEBT SECURITIES] (the “</w:t>
      </w:r>
      <w:r>
        <w:rPr>
          <w:rFonts w:ascii="Times New Roman;serif" w:hAnsi="Times New Roman;serif"/>
          <w:b/>
          <w:i/>
          <w:color w:val="000000"/>
          <w:sz w:val="22"/>
        </w:rPr>
        <w:t>Warrant Debt Securities</w:t>
      </w:r>
      <w:r>
        <w:rPr>
          <w:color w:val="000000"/>
        </w:rPr>
        <w:t>”</w:t>
      </w:r>
      <w:r>
        <w:rPr>
          <w:rFonts w:ascii="Times New Roman;serif" w:hAnsi="Times New Roman;serif"/>
          <w:b w:val="false"/>
          <w:color w:val="000000"/>
          <w:sz w:val="22"/>
        </w:rPr>
        <w:t>), of Keros Therapeutics,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Keros Therapeutics, Inc.,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tbl>
      <w:tblPr>
        <w:tblW w:w="6053" w:type="dxa"/>
        <w:jc w:val="left"/>
        <w:tblInd w:w="0" w:type="dxa"/>
        <w:tblLayout w:type="fixed"/>
        <w:tblCellMar>
          <w:top w:w="28" w:type="dxa"/>
          <w:left w:w="28" w:type="dxa"/>
          <w:bottom w:w="28" w:type="dxa"/>
          <w:right w:w="28" w:type="dxa"/>
        </w:tblCellMar>
      </w:tblPr>
      <w:tblGrid>
        <w:gridCol w:w="552"/>
        <w:gridCol w:w="486"/>
        <w:gridCol w:w="488"/>
        <w:gridCol w:w="225"/>
        <w:gridCol w:w="225"/>
        <w:gridCol w:w="225"/>
        <w:gridCol w:w="148"/>
        <w:gridCol w:w="148"/>
        <w:gridCol w:w="148"/>
        <w:gridCol w:w="148"/>
        <w:gridCol w:w="148"/>
        <w:gridCol w:w="148"/>
        <w:gridCol w:w="325"/>
        <w:gridCol w:w="325"/>
        <w:gridCol w:w="328"/>
        <w:gridCol w:w="537"/>
        <w:gridCol w:w="537"/>
        <w:gridCol w:w="540"/>
        <w:gridCol w:w="109"/>
        <w:gridCol w:w="109"/>
        <w:gridCol w:w="154"/>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Please Print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Address:</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1"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(Insert Social Security or Other Identifying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of Holder)</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tc>
        <w:tc>
          <w:tcPr>
            <w:tcW w:w="1866"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69"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this Warrant Certificate and must bear a signature guarantee by a FINRA member firm).</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Warrant may be exercised at the following addresses: By hand at: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mail at: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[Instructions as to form and delivery of Warrant Debt Securities and, if applicable, Warrant Certificates evidencing Warrants for the number of Warrant Debt Securities remaining unexercised—complete as appropriate.]</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0"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ASSIGNMENT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 assignment to be executed if Warrant Holder desires to transfer Warrant]</w:t>
      </w:r>
    </w:p>
    <w:p>
      <w:pPr>
        <w:pStyle w:val="TextBody"/>
        <w:bidi w:val="0"/>
        <w:spacing w:lineRule="auto" w:line="288" w:before="0" w:after="240"/>
        <w:ind w:left="0" w:right="0" w:firstLine="720"/>
        <w:jc w:val="both"/>
        <w:rPr/>
      </w:pPr>
      <w:r>
        <w:rPr>
          <w:rFonts w:ascii="Times New Roman;serif" w:hAnsi="Times New Roman;serif"/>
          <w:b/>
          <w:color w:val="000000"/>
          <w:sz w:val="22"/>
        </w:rPr>
        <w:t>FOR VALUE RECEIVED,</w:t>
      </w:r>
      <w:r>
        <w:rPr>
          <w:color w:val="000000"/>
        </w:rPr>
        <w:t xml:space="preserve"> </w:t>
      </w:r>
      <w:r>
        <w:rPr>
          <w:rFonts w:ascii="Times New Roman;serif" w:hAnsi="Times New Roman;serif"/>
          <w:b w:val="false"/>
          <w:color w:val="000000"/>
          <w:sz w:val="22"/>
        </w:rPr>
        <w:t>______________ hereby sells, assigns and transfers unto:</w:t>
      </w:r>
    </w:p>
    <w:tbl>
      <w:tblPr>
        <w:tblW w:w="10205" w:type="dxa"/>
        <w:jc w:val="left"/>
        <w:tblInd w:w="0" w:type="dxa"/>
        <w:tblLayout w:type="fixed"/>
        <w:tblCellMar>
          <w:top w:w="28" w:type="dxa"/>
          <w:left w:w="28" w:type="dxa"/>
          <w:bottom w:w="28" w:type="dxa"/>
          <w:right w:w="28" w:type="dxa"/>
        </w:tblCellMar>
      </w:tblPr>
      <w:tblGrid>
        <w:gridCol w:w="548"/>
        <w:gridCol w:w="245"/>
        <w:gridCol w:w="245"/>
        <w:gridCol w:w="245"/>
        <w:gridCol w:w="245"/>
        <w:gridCol w:w="245"/>
        <w:gridCol w:w="245"/>
        <w:gridCol w:w="245"/>
        <w:gridCol w:w="245"/>
        <w:gridCol w:w="245"/>
        <w:gridCol w:w="245"/>
        <w:gridCol w:w="245"/>
        <w:gridCol w:w="245"/>
        <w:gridCol w:w="245"/>
        <w:gridCol w:w="245"/>
        <w:gridCol w:w="245"/>
        <w:gridCol w:w="245"/>
        <w:gridCol w:w="245"/>
        <w:gridCol w:w="151"/>
        <w:gridCol w:w="151"/>
        <w:gridCol w:w="151"/>
        <w:gridCol w:w="151"/>
        <w:gridCol w:w="151"/>
        <w:gridCol w:w="151"/>
        <w:gridCol w:w="432"/>
        <w:gridCol w:w="432"/>
        <w:gridCol w:w="432"/>
        <w:gridCol w:w="432"/>
        <w:gridCol w:w="432"/>
        <w:gridCol w:w="432"/>
        <w:gridCol w:w="921"/>
        <w:gridCol w:w="432"/>
        <w:gridCol w:w="641"/>
      </w:tblGrid>
      <w:tr>
        <w:trPr/>
        <w:tc>
          <w:tcPr>
            <w:tcW w:w="5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2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3"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(Please print name and address including zip code)</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Please print Social Security or other identifying number</w:t>
            </w:r>
          </w:p>
        </w:tc>
      </w:tr>
      <w:tr>
        <w:trPr/>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the right represented by the within Warrant to purchase ________ aggregate principal amount of [Title of Warrant Debt Securities] of Keros Therapeutics, Inc. to which the within Warrant relates and appoints ____________________ attorney to transfer such right on the books of the Warrant Agent with full power of substitution in the premises.</w:t>
            </w:r>
          </w:p>
        </w:tc>
      </w:tr>
      <w:tr>
        <w:trPr/>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Signature</w:t>
            </w:r>
          </w:p>
        </w:tc>
      </w:tr>
      <w:tr>
        <w:trPr/>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must conform in all respects to name of holder as specified on the face of the Warrant)</w:t>
            </w:r>
          </w:p>
        </w:tc>
      </w:tr>
      <w:tr>
        <w:trPr/>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Guaranteed</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21"/>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1"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905" w:type="dxa"/>
        <w:jc w:val="left"/>
        <w:tblInd w:w="0" w:type="dxa"/>
        <w:tblLayout w:type="fixed"/>
        <w:tblCellMar>
          <w:top w:w="28" w:type="dxa"/>
          <w:left w:w="28" w:type="dxa"/>
          <w:bottom w:w="28" w:type="dxa"/>
          <w:right w:w="28" w:type="dxa"/>
        </w:tblCellMar>
      </w:tblPr>
      <w:tblGrid>
        <w:gridCol w:w="662"/>
        <w:gridCol w:w="581"/>
        <w:gridCol w:w="583"/>
        <w:gridCol w:w="315"/>
        <w:gridCol w:w="315"/>
        <w:gridCol w:w="44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95375" cy="352425"/>
                  <wp:effectExtent l="0" t="0" r="0" b="0"/>
                  <wp:docPr id="17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4" descr=""/>
                          <pic:cNvPicPr>
                            <a:picLocks noChangeAspect="1" noChangeArrowheads="1"/>
                          </pic:cNvPicPr>
                        </pic:nvPicPr>
                        <pic:blipFill>
                          <a:blip r:embed="rId47"/>
                          <a:stretch>
                            <a:fillRect/>
                          </a:stretch>
                        </pic:blipFill>
                        <pic:spPr bwMode="auto">
                          <a:xfrm>
                            <a:off x="0" y="0"/>
                            <a:ext cx="1095375" cy="352425"/>
                          </a:xfrm>
                          <a:prstGeom prst="rect">
                            <a:avLst/>
                          </a:prstGeom>
                        </pic:spPr>
                      </pic:pic>
                    </a:graphicData>
                  </a:graphic>
                </wp:inline>
              </w:drawing>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5.1</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Ryan Sansom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+1 617 937 2335</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rsansom@cooley.com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September 10, 2026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Keros Therapeutics,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1050 Waltham Street, Suite 302</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Lexington, Massachusetts 02421</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288" w:before="0" w:after="200"/>
        <w:jc w:val="both"/>
        <w:rPr/>
      </w:pPr>
      <w:r>
        <w:rPr>
          <w:rFonts w:ascii="Arial;sans-serif" w:hAnsi="Arial;sans-serif"/>
          <w:b w:val="false"/>
          <w:color w:val="000000"/>
          <w:sz w:val="20"/>
        </w:rPr>
        <w:t>We have acted as counsel to Keros Therapeutics,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in connection with the filing by the Company with the Securities and Exchange Commission (the “</w:t>
      </w:r>
      <w:r>
        <w:rPr>
          <w:rFonts w:ascii="Arial;sans-serif" w:hAnsi="Arial;sans-serif"/>
          <w:b/>
          <w:i/>
          <w:color w:val="000000"/>
          <w:sz w:val="20"/>
        </w:rPr>
        <w:t>Commission</w:t>
      </w:r>
      <w:r>
        <w:rPr>
          <w:color w:val="000000"/>
        </w:rPr>
        <w:t>”</w:t>
      </w:r>
      <w:r>
        <w:rPr>
          <w:rFonts w:ascii="Arial;sans-serif" w:hAnsi="Arial;sans-serif"/>
          <w:b w:val="false"/>
          <w:color w:val="000000"/>
          <w:sz w:val="20"/>
        </w:rPr>
        <w:t>) of a Registration Statement on Form S-3 (the “</w:t>
      </w:r>
      <w:r>
        <w:rPr>
          <w:rFonts w:ascii="Arial;sans-serif" w:hAnsi="Arial;sans-serif"/>
          <w:b/>
          <w:i/>
          <w:color w:val="000000"/>
          <w:sz w:val="20"/>
        </w:rPr>
        <w:t>Registration Statement</w:t>
      </w:r>
      <w:r>
        <w:rPr>
          <w:color w:val="000000"/>
        </w:rPr>
        <w:t>”</w:t>
      </w:r>
      <w:r>
        <w:rPr>
          <w:rFonts w:ascii="Arial;sans-serif" w:hAnsi="Arial;sans-serif"/>
          <w:b w:val="false"/>
          <w:color w:val="000000"/>
          <w:sz w:val="20"/>
        </w:rPr>
        <w:t>) under the Securities Act of 1933, as amended (the “</w:t>
      </w:r>
      <w:r>
        <w:rPr>
          <w:rFonts w:ascii="Arial;sans-serif" w:hAnsi="Arial;sans-serif"/>
          <w:b/>
          <w:i/>
          <w:color w:val="000000"/>
          <w:sz w:val="20"/>
        </w:rPr>
        <w:t>Securities Act</w:t>
      </w:r>
      <w:r>
        <w:rPr>
          <w:color w:val="000000"/>
        </w:rPr>
        <w:t>”</w:t>
      </w:r>
      <w:r>
        <w:rPr>
          <w:rFonts w:ascii="Arial;sans-serif" w:hAnsi="Arial;sans-serif"/>
          <w:b w:val="false"/>
          <w:color w:val="000000"/>
          <w:sz w:val="20"/>
        </w:rPr>
        <w:t>). The Registration Statement includes two prospectuses (i) a base prospectus (the “</w:t>
      </w:r>
      <w:r>
        <w:rPr>
          <w:rFonts w:ascii="Arial;sans-serif" w:hAnsi="Arial;sans-serif"/>
          <w:b/>
          <w:i/>
          <w:color w:val="000000"/>
          <w:sz w:val="20"/>
        </w:rPr>
        <w:t>Base Prospectus</w:t>
      </w:r>
      <w:r>
        <w:rPr>
          <w:color w:val="000000"/>
        </w:rPr>
        <w:t>”</w:t>
      </w:r>
      <w:r>
        <w:rPr>
          <w:rFonts w:ascii="Arial;sans-serif" w:hAnsi="Arial;sans-serif"/>
          <w:b w:val="false"/>
          <w:color w:val="000000"/>
          <w:sz w:val="20"/>
        </w:rPr>
        <w:t>) and (ii) a sales agreement prospectus (the “</w:t>
      </w:r>
      <w:r>
        <w:rPr>
          <w:rFonts w:ascii="Arial;sans-serif" w:hAnsi="Arial;sans-serif"/>
          <w:b/>
          <w:i/>
          <w:color w:val="000000"/>
          <w:sz w:val="20"/>
        </w:rPr>
        <w:t>ATM Prospectus</w:t>
      </w:r>
      <w:r>
        <w:rPr>
          <w:color w:val="000000"/>
        </w:rPr>
        <w:t>”</w:t>
      </w:r>
      <w:r>
        <w:rPr>
          <w:rFonts w:ascii="Arial;sans-serif" w:hAnsi="Arial;sans-serif"/>
          <w:b w:val="false"/>
          <w:color w:val="000000"/>
          <w:sz w:val="20"/>
        </w:rPr>
        <w:t>) covering up to $100,000,000 of shares of the Company’s common stock, $0.0001 par value per share (“</w:t>
      </w:r>
      <w:r>
        <w:rPr>
          <w:rFonts w:ascii="Arial;sans-serif" w:hAnsi="Arial;sans-serif"/>
          <w:b/>
          <w:i/>
          <w:color w:val="000000"/>
          <w:sz w:val="20"/>
        </w:rPr>
        <w:t>Common Stock</w:t>
      </w:r>
      <w:r>
        <w:rPr>
          <w:color w:val="000000"/>
        </w:rPr>
        <w:t>”</w:t>
      </w:r>
      <w:r>
        <w:rPr>
          <w:rFonts w:ascii="Arial;sans-serif" w:hAnsi="Arial;sans-serif"/>
          <w:b w:val="false"/>
          <w:color w:val="000000"/>
          <w:sz w:val="20"/>
        </w:rPr>
        <w:t>) that may be sold under the Sales Agreement, dated May 3, 2021, between the Company and Leerink Partners LLC (such agreement, the “</w:t>
      </w:r>
      <w:r>
        <w:rPr>
          <w:rFonts w:ascii="Arial;sans-serif" w:hAnsi="Arial;sans-serif"/>
          <w:b/>
          <w:i/>
          <w:color w:val="000000"/>
          <w:sz w:val="20"/>
        </w:rPr>
        <w:t>Sales Agreement</w:t>
      </w:r>
      <w:r>
        <w:rPr>
          <w:color w:val="000000"/>
        </w:rPr>
        <w:t>”</w:t>
      </w:r>
      <w:r>
        <w:rPr>
          <w:rFonts w:ascii="Arial;sans-serif" w:hAnsi="Arial;sans-serif"/>
          <w:b w:val="false"/>
          <w:color w:val="000000"/>
          <w:sz w:val="20"/>
        </w:rPr>
        <w:t>, and such shares, the “</w:t>
      </w:r>
      <w:r>
        <w:rPr>
          <w:rFonts w:ascii="Arial;sans-serif" w:hAnsi="Arial;sans-serif"/>
          <w:b/>
          <w:i/>
          <w:color w:val="000000"/>
          <w:sz w:val="20"/>
        </w:rPr>
        <w:t>ATM Shares</w:t>
      </w:r>
      <w:r>
        <w:rPr>
          <w:color w:val="000000"/>
        </w:rPr>
        <w:t>”</w:t>
      </w:r>
      <w:r>
        <w:rPr>
          <w:rFonts w:ascii="Arial;sans-serif" w:hAnsi="Arial;sans-serif"/>
          <w:b w:val="false"/>
          <w:color w:val="000000"/>
          <w:sz w:val="20"/>
        </w:rPr>
        <w:t>). The Base Prospectus provides that it will be supplemented in the future by one or more prospectus supplements (each, a “</w:t>
      </w:r>
      <w:r>
        <w:rPr>
          <w:rFonts w:ascii="Arial;sans-serif" w:hAnsi="Arial;sans-serif"/>
          <w:b/>
          <w:i/>
          <w:color w:val="000000"/>
          <w:sz w:val="20"/>
        </w:rPr>
        <w:t>Prospectus Supplement</w:t>
      </w:r>
      <w:r>
        <w:rPr>
          <w:color w:val="000000"/>
        </w:rPr>
        <w:t>”</w:t>
      </w:r>
      <w:r>
        <w:rPr>
          <w:rFonts w:ascii="Arial;sans-serif" w:hAnsi="Arial;sans-serif"/>
          <w:b w:val="false"/>
          <w:color w:val="000000"/>
          <w:sz w:val="20"/>
        </w:rPr>
        <w:t>). The Registration Statement, including the Base Prospectus (as supplemented from time to time by one or more Prospectus Supplements) and the ATM Prospectus will provide for the registration by the Company of:</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shares of Common Stock (the “</w:t>
      </w:r>
      <w:r>
        <w:rPr>
          <w:rFonts w:ascii="Arial;sans-serif" w:hAnsi="Arial;sans-serif"/>
          <w:b/>
          <w:i/>
          <w:color w:val="000000"/>
          <w:sz w:val="20"/>
        </w:rPr>
        <w:t>Base Prospectus Shares</w:t>
      </w:r>
      <w:r>
        <w:rPr>
          <w:color w:val="000000"/>
        </w:rPr>
        <w:t>”</w:t>
      </w:r>
      <w:r>
        <w:rPr>
          <w:rFonts w:ascii="Arial;sans-serif" w:hAnsi="Arial;sans-serif"/>
          <w:b w:val="false"/>
          <w:color w:val="000000"/>
          <w:sz w:val="20"/>
        </w:rPr>
        <w:t>);</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shares of preferred stock, $0.0001 par value per share, of the Company (the “</w:t>
      </w:r>
      <w:r>
        <w:rPr>
          <w:rFonts w:ascii="Arial;sans-serif" w:hAnsi="Arial;sans-serif"/>
          <w:b/>
          <w:i/>
          <w:color w:val="000000"/>
          <w:sz w:val="20"/>
        </w:rPr>
        <w:t>Preferred Stock</w:t>
      </w:r>
      <w:r>
        <w:rPr>
          <w:color w:val="000000"/>
        </w:rPr>
        <w:t>”</w:t>
      </w:r>
      <w:r>
        <w:rPr>
          <w:rFonts w:ascii="Arial;sans-serif" w:hAnsi="Arial;sans-serif"/>
          <w:b w:val="false"/>
          <w:color w:val="000000"/>
          <w:sz w:val="20"/>
        </w:rPr>
        <w:t xml:space="preserve">); </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debt securities, in one or more series (the “</w:t>
      </w:r>
      <w:r>
        <w:rPr>
          <w:rFonts w:ascii="Arial;sans-serif" w:hAnsi="Arial;sans-serif"/>
          <w:b/>
          <w:i/>
          <w:color w:val="000000"/>
          <w:sz w:val="20"/>
        </w:rPr>
        <w:t>Debt Securities</w:t>
      </w:r>
      <w:r>
        <w:rPr>
          <w:color w:val="000000"/>
        </w:rPr>
        <w:t>”</w:t>
      </w:r>
      <w:r>
        <w:rPr>
          <w:rFonts w:ascii="Arial;sans-serif" w:hAnsi="Arial;sans-serif"/>
          <w:b w:val="false"/>
          <w:color w:val="000000"/>
          <w:sz w:val="20"/>
        </w:rPr>
        <w:t>), which may be issued pursuant to an indenture to be dated on or about the date of the first issuance of Debt Securities thereunder, by and between a trustee to be selected by the Company (the “</w:t>
      </w:r>
      <w:r>
        <w:rPr>
          <w:rFonts w:ascii="Arial;sans-serif" w:hAnsi="Arial;sans-serif"/>
          <w:b/>
          <w:i/>
          <w:color w:val="000000"/>
          <w:sz w:val="20"/>
        </w:rPr>
        <w:t>Trustee</w:t>
      </w:r>
      <w:r>
        <w:rPr>
          <w:color w:val="000000"/>
        </w:rPr>
        <w:t>”</w:t>
      </w:r>
      <w:r>
        <w:rPr>
          <w:rFonts w:ascii="Arial;sans-serif" w:hAnsi="Arial;sans-serif"/>
          <w:b w:val="false"/>
          <w:color w:val="000000"/>
          <w:sz w:val="20"/>
        </w:rPr>
        <w:t>) and the Company, in the form filed as Exhibit 4.3 to the Registration Statement and one or more indentures supplemental thereto with respect to any particular series of Debt Securities (the “</w:t>
      </w:r>
      <w:r>
        <w:rPr>
          <w:rFonts w:ascii="Arial;sans-serif" w:hAnsi="Arial;sans-serif"/>
          <w:b/>
          <w:i/>
          <w:color w:val="000000"/>
          <w:sz w:val="20"/>
        </w:rPr>
        <w:t>Indenture</w:t>
      </w:r>
      <w:r>
        <w:rPr>
          <w:color w:val="000000"/>
        </w:rPr>
        <w:t>”</w:t>
      </w:r>
      <w:r>
        <w:rPr>
          <w:rFonts w:ascii="Arial;sans-serif" w:hAnsi="Arial;sans-serif"/>
          <w:b w:val="false"/>
          <w:color w:val="000000"/>
          <w:sz w:val="20"/>
        </w:rPr>
        <w:t>);</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warrants to purchase Common Stock, Preferred Stock or Debt Securities (the “</w:t>
      </w:r>
      <w:r>
        <w:rPr>
          <w:rFonts w:ascii="Arial;sans-serif" w:hAnsi="Arial;sans-serif"/>
          <w:b/>
          <w:i/>
          <w:color w:val="000000"/>
          <w:sz w:val="20"/>
        </w:rPr>
        <w:t>Warrants</w:t>
      </w:r>
      <w:r>
        <w:rPr>
          <w:color w:val="000000"/>
        </w:rPr>
        <w:t>”</w:t>
      </w:r>
      <w:r>
        <w:rPr>
          <w:rFonts w:ascii="Arial;sans-serif" w:hAnsi="Arial;sans-serif"/>
          <w:b w:val="false"/>
          <w:color w:val="000000"/>
          <w:sz w:val="20"/>
        </w:rPr>
        <w:t>), which may be issued under one or more warrant agreements, to be dated on or about the date of the first issuance of the Warrants thereunder, by and between a warrant agent to be selected by the Company (the “</w:t>
      </w:r>
      <w:r>
        <w:rPr>
          <w:rFonts w:ascii="Arial;sans-serif" w:hAnsi="Arial;sans-serif"/>
          <w:b/>
          <w:i/>
          <w:color w:val="000000"/>
          <w:sz w:val="20"/>
        </w:rPr>
        <w:t>Warrant Agent</w:t>
      </w:r>
      <w:r>
        <w:rPr>
          <w:color w:val="000000"/>
        </w:rPr>
        <w:t>”</w:t>
      </w:r>
      <w:r>
        <w:rPr>
          <w:rFonts w:ascii="Arial;sans-serif" w:hAnsi="Arial;sans-serif"/>
          <w:b w:val="false"/>
          <w:color w:val="000000"/>
          <w:sz w:val="20"/>
        </w:rPr>
        <w:t>) and the Company, in the forms filed as Exhibits 4.6, 4.7 and 4.8 to the Registration Statement, respectively (each, a “</w:t>
      </w:r>
      <w:r>
        <w:rPr>
          <w:rFonts w:ascii="Arial;sans-serif" w:hAnsi="Arial;sans-serif"/>
          <w:b/>
          <w:i/>
          <w:color w:val="000000"/>
          <w:sz w:val="20"/>
        </w:rPr>
        <w:t>Warrant Agreement</w:t>
      </w:r>
      <w:r>
        <w:rPr>
          <w:color w:val="000000"/>
        </w:rPr>
        <w:t>”</w:t>
      </w:r>
      <w:r>
        <w:rPr>
          <w:rFonts w:ascii="Arial;sans-serif" w:hAnsi="Arial;sans-serif"/>
          <w:b w:val="false"/>
          <w:color w:val="000000"/>
          <w:sz w:val="20"/>
        </w:rPr>
        <w:t>);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the ATM Shares.</w:t>
      </w:r>
    </w:p>
    <w:p>
      <w:pPr>
        <w:pStyle w:val="TextBody"/>
        <w:bidi w:val="0"/>
        <w:spacing w:lineRule="auto" w:line="288" w:before="0" w:after="240"/>
        <w:jc w:val="both"/>
        <w:rPr/>
      </w:pPr>
      <w:r>
        <w:rPr>
          <w:rFonts w:ascii="Arial;sans-serif" w:hAnsi="Arial;sans-serif"/>
          <w:b w:val="false"/>
          <w:color w:val="000000"/>
          <w:sz w:val="20"/>
        </w:rPr>
        <w:t>The Base Prospectus Shares, the Preferred Stock, the Debt Securities, the Warrants and the ATM Shares, plus any additional Common Stock, Preferred Stock, Debt Securities and Warrants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Arial;sans-serif" w:hAnsi="Arial;sans-serif"/>
          <w:b/>
          <w:i/>
          <w:color w:val="000000"/>
          <w:sz w:val="20"/>
        </w:rPr>
        <w:t>Securities</w:t>
      </w:r>
      <w:r>
        <w:rPr>
          <w:rFonts w:ascii="Arial;sans-serif" w:hAnsi="Arial;sans-serif"/>
          <w:b w:val="false"/>
          <w:color w:val="000000"/>
          <w:sz w:val="20"/>
        </w:rPr>
        <w:t>.” The Securities are being registered for offer and sale from time to time pursuant to Rule 415 under the Securities 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connection with this opinion, we have examined and relied upon the Company’s certificate of incorporation and bylaws, each as currently in effect, and such other records, documents, certificates, opinions, memoranda and other instruments as in our judgment are necessary or appropriate to enable us to render the opinion expressed below. We have assumed the genuineness of all signatures; the </w:t>
      </w:r>
    </w:p>
    <w:p>
      <w:pPr>
        <w:pStyle w:val="TextBody"/>
        <w:bidi w:val="0"/>
        <w:spacing w:lineRule="atLeast" w:line="142" w:before="0" w:after="0"/>
        <w:jc w:val="left"/>
        <w:rPr>
          <w:color w:val="000000"/>
        </w:rPr>
      </w:pPr>
      <w:r>
        <w:rPr>
          <w:color w:val="000000"/>
        </w:rPr>
        <w:t> </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30505"/>
                <wp:effectExtent l="0" t="0" r="0" b="0"/>
                <wp:wrapNone/>
                <wp:docPr id="173" name="Frame169"/>
                <a:graphic xmlns:a="http://schemas.openxmlformats.org/drawingml/2006/main">
                  <a:graphicData uri="http://schemas.microsoft.com/office/word/2010/wordprocessingShape">
                    <wps:wsp>
                      <wps:cNvSpPr txBox="1"/>
                      <wps:spPr>
                        <a:xfrm>
                          <a:off x="0" y="0"/>
                          <a:ext cx="6480175" cy="230505"/>
                        </a:xfrm>
                        <a:prstGeom prst="rect"/>
                        <a:solidFill>
                          <a:srgbClr val="FFFFFF"/>
                        </a:solidFill>
                      </wps:spPr>
                      <wps:txbx>
                        <w:txbxContent>
                          <w:p>
                            <w:pPr>
                              <w:pStyle w:val="TextBody"/>
                              <w:bidi w:val="0"/>
                              <w:spacing w:lineRule="atLeast" w:line="20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COOLEY LLP 500 BOYLSTON STREET BOSTON, MA 02116-3736</w:t>
                            </w:r>
                            <w:r>
                              <w:br w:type="page"/>
                            </w:r>
                          </w:p>
                          <w:p>
                            <w:pPr>
                              <w:pStyle w:val="TextBody"/>
                              <w:bidi w:val="0"/>
                              <w:spacing w:lineRule="auto" w:line="34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PHONE: (617) 937-2300 FAX: (617) 937-2400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COOLEY LLP 500 BOYLSTON STREET BOSTON, MA 02116-3736</w:t>
                      </w:r>
                    </w:p>
                    <w:p>
                      <w:pPr>
                        <w:pStyle w:val="TextBody"/>
                        <w:bidi w:val="0"/>
                        <w:spacing w:lineRule="auto" w:line="34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PHONE: (617) 937-2300 FAX: (617) 937-2400</w:t>
                      </w:r>
                    </w:p>
                  </w:txbxContent>
                </v:textbox>
                <w10:wrap type="none"/>
              </v:rect>
            </w:pict>
          </mc:Fallback>
        </mc:AlternateContent>
      </w:r>
    </w:p>
    <w:tbl>
      <w:tblPr>
        <w:tblW w:w="2198" w:type="dxa"/>
        <w:jc w:val="left"/>
        <w:tblInd w:w="0" w:type="dxa"/>
        <w:tblLayout w:type="fixed"/>
        <w:tblCellMar>
          <w:top w:w="28" w:type="dxa"/>
          <w:left w:w="28" w:type="dxa"/>
          <w:bottom w:w="28" w:type="dxa"/>
          <w:right w:w="28" w:type="dxa"/>
        </w:tblCellMar>
      </w:tblPr>
      <w:tblGrid>
        <w:gridCol w:w="662"/>
        <w:gridCol w:w="581"/>
        <w:gridCol w:w="583"/>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95375" cy="352425"/>
                  <wp:effectExtent l="0" t="0" r="0" b="0"/>
                  <wp:docPr id="17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5" descr=""/>
                          <pic:cNvPicPr>
                            <a:picLocks noChangeAspect="1" noChangeArrowheads="1"/>
                          </pic:cNvPicPr>
                        </pic:nvPicPr>
                        <pic:blipFill>
                          <a:blip r:embed="rId48"/>
                          <a:stretch>
                            <a:fillRect/>
                          </a:stretch>
                        </pic:blipFill>
                        <pic:spPr bwMode="auto">
                          <a:xfrm>
                            <a:off x="0" y="0"/>
                            <a:ext cx="1095375" cy="352425"/>
                          </a:xfrm>
                          <a:prstGeom prst="rect">
                            <a:avLst/>
                          </a:prstGeom>
                        </pic:spPr>
                      </pic:pic>
                    </a:graphicData>
                  </a:graphic>
                </wp:inline>
              </w:drawing>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 As to certain factual matters, we have relied upon a certificate of an officer of the Company and have not independently verified such matters.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With respect to our opinion as to the Base Prospectus Shares, we have assumed that, at the time of issuance and sale, a sufficient number of shares of Common Stock will be authorized and available for issuance and that the consideration for the issuance and sale of the Base Prospectus Shares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lineRule="auto" w:line="288" w:before="0" w:after="240"/>
        <w:jc w:val="both"/>
        <w:rPr/>
      </w:pPr>
      <w:r>
        <w:rPr>
          <w:rFonts w:ascii="Arial;sans-serif" w:hAnsi="Arial;sans-serif"/>
          <w:b w:val="false"/>
          <w:color w:val="000000"/>
          <w:sz w:val="20"/>
        </w:rPr>
        <w:t>With respect to the ATM Shares, we have assumed that (i) each sale of the ATM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sans-serif" w:hAnsi="Arial;sans-serif"/>
          <w:b/>
          <w:i/>
          <w:color w:val="000000"/>
          <w:sz w:val="20"/>
        </w:rPr>
        <w:t>DGCL</w:t>
      </w:r>
      <w:r>
        <w:rPr>
          <w:color w:val="000000"/>
        </w:rPr>
        <w:t>”</w:t>
      </w:r>
      <w:r>
        <w:rPr>
          <w:rFonts w:ascii="Arial;sans-serif" w:hAnsi="Arial;sans-serif"/>
          <w:b w:val="false"/>
          <w:color w:val="000000"/>
          <w:sz w:val="20"/>
        </w:rPr>
        <w:t>) and (ii) no more than 17,683,465 ATM Shares will be sold for a consideration not less than the par value of the Common Stock. With respect to the ATM Shares, we express no opinion to the extent that future issuances of securities of the Company, anti-dilution adjustments to outstanding securities of the Company or other matters cause the number of shares of Common Stock issuable under the Sales Agreement to exceed the number of shares available for issuance by the Company.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opinion herein is expressed solely with respect to the DGCL and, as to the Debt Securities and the Warrants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the basis of the foregoing, in reliance thereon and subject to the assumptions, qualifications, limitations and exceptions set forth herein, we are of the opinion that:</w:t>
      </w:r>
    </w:p>
    <w:p>
      <w:pPr>
        <w:pStyle w:val="TextBody"/>
        <w:bidi w:val="0"/>
        <w:spacing w:lineRule="auto" w:line="288" w:before="0" w:after="200"/>
        <w:ind w:left="0" w:right="0" w:firstLine="720"/>
        <w:jc w:val="both"/>
        <w:rPr/>
      </w:pPr>
      <w:r>
        <w:rPr>
          <w:rFonts w:ascii="Arial;sans-serif" w:hAnsi="Arial;sans-serif"/>
          <w:b w:val="false"/>
          <w:color w:val="000000"/>
          <w:sz w:val="20"/>
        </w:rPr>
        <w:t>1.</w:t>
      </w:r>
      <w:r>
        <w:rPr>
          <w:rFonts w:ascii="Arial;sans-serif" w:hAnsi="Arial;sans-serif"/>
          <w:b w:val="false"/>
          <w:color w:val="000000"/>
          <w:sz w:val="20"/>
        </w:rPr>
        <w:t>With respect to the Base Prospectus Shares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Base Prospectus Shares has been duly authorized by all necessary corporate action on the part of the Company; (c) the issuance and sale of the Base Prospectus Shares do not violate any applicable law, are in conformity with the Company’s then operative certificate of incorporation (the “</w:t>
      </w:r>
      <w:r>
        <w:rPr>
          <w:rFonts w:ascii="Arial;sans-serif" w:hAnsi="Arial;sans-serif"/>
          <w:b/>
          <w:i/>
          <w:color w:val="000000"/>
          <w:sz w:val="20"/>
        </w:rPr>
        <w:t>Certificate of Incorporation</w:t>
      </w:r>
      <w:r>
        <w:rPr>
          <w:color w:val="000000"/>
        </w:rPr>
        <w:t>”</w:t>
      </w:r>
      <w:r>
        <w:rPr>
          <w:rFonts w:ascii="Arial;sans-serif" w:hAnsi="Arial;sans-serif"/>
          <w:b w:val="false"/>
          <w:color w:val="000000"/>
          <w:sz w:val="20"/>
        </w:rPr>
        <w:t>) and bylaws (the “</w:t>
      </w:r>
      <w:r>
        <w:rPr>
          <w:rFonts w:ascii="Arial;sans-serif" w:hAnsi="Arial;sans-serif"/>
          <w:b/>
          <w:i/>
          <w:color w:val="000000"/>
          <w:sz w:val="20"/>
        </w:rPr>
        <w:t>Bylaws</w:t>
      </w:r>
      <w:r>
        <w:rPr>
          <w:color w:val="000000"/>
        </w:rPr>
        <w:t>”</w:t>
      </w:r>
      <w:r>
        <w:rPr>
          <w:rFonts w:ascii="Arial;sans-serif" w:hAnsi="Arial;sans-serif"/>
          <w:b w:val="false"/>
          <w:color w:val="000000"/>
          <w:sz w:val="20"/>
        </w:rPr>
        <w:t xml:space="preserve">), do not result in a default under or breach of </w:t>
      </w:r>
    </w:p>
    <w:p>
      <w:pPr>
        <w:pStyle w:val="TextBody"/>
        <w:bidi w:val="0"/>
        <w:spacing w:lineRule="atLeast" w:line="142" w:before="0" w:after="0"/>
        <w:jc w:val="left"/>
        <w:rPr>
          <w:color w:val="000000"/>
        </w:rPr>
      </w:pPr>
      <w:r>
        <w:rPr>
          <w:color w:val="000000"/>
        </w:rPr>
        <w:t> </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30505"/>
                <wp:effectExtent l="0" t="0" r="0" b="0"/>
                <wp:wrapNone/>
                <wp:docPr id="175" name="Frame170"/>
                <a:graphic xmlns:a="http://schemas.openxmlformats.org/drawingml/2006/main">
                  <a:graphicData uri="http://schemas.microsoft.com/office/word/2010/wordprocessingShape">
                    <wps:wsp>
                      <wps:cNvSpPr txBox="1"/>
                      <wps:spPr>
                        <a:xfrm>
                          <a:off x="0" y="0"/>
                          <a:ext cx="6480175" cy="230505"/>
                        </a:xfrm>
                        <a:prstGeom prst="rect"/>
                        <a:solidFill>
                          <a:srgbClr val="FFFFFF"/>
                        </a:solidFill>
                      </wps:spPr>
                      <wps:txbx>
                        <w:txbxContent>
                          <w:p>
                            <w:pPr>
                              <w:pStyle w:val="TextBody"/>
                              <w:bidi w:val="0"/>
                              <w:spacing w:lineRule="atLeast" w:line="20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COOLEY LLP 500 BOYLSTON STREET BOSTON, MA 02116-3736</w:t>
                            </w:r>
                            <w:r>
                              <w:br w:type="page"/>
                            </w:r>
                          </w:p>
                          <w:p>
                            <w:pPr>
                              <w:pStyle w:val="TextBody"/>
                              <w:bidi w:val="0"/>
                              <w:spacing w:lineRule="auto" w:line="34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PHONE: (617) 937-2300 FAX: (617) 937-2400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COOLEY LLP 500 BOYLSTON STREET BOSTON, MA 02116-3736</w:t>
                      </w:r>
                    </w:p>
                    <w:p>
                      <w:pPr>
                        <w:pStyle w:val="TextBody"/>
                        <w:bidi w:val="0"/>
                        <w:spacing w:lineRule="auto" w:line="34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PHONE: (617) 937-2300 FAX: (617) 937-2400</w:t>
                      </w:r>
                    </w:p>
                  </w:txbxContent>
                </v:textbox>
                <w10:wrap type="none"/>
              </v:rect>
            </w:pict>
          </mc:Fallback>
        </mc:AlternateContent>
      </w:r>
    </w:p>
    <w:tbl>
      <w:tblPr>
        <w:tblW w:w="2198" w:type="dxa"/>
        <w:jc w:val="left"/>
        <w:tblInd w:w="0" w:type="dxa"/>
        <w:tblLayout w:type="fixed"/>
        <w:tblCellMar>
          <w:top w:w="28" w:type="dxa"/>
          <w:left w:w="28" w:type="dxa"/>
          <w:bottom w:w="28" w:type="dxa"/>
          <w:right w:w="28" w:type="dxa"/>
        </w:tblCellMar>
      </w:tblPr>
      <w:tblGrid>
        <w:gridCol w:w="662"/>
        <w:gridCol w:w="581"/>
        <w:gridCol w:w="583"/>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95375" cy="352425"/>
                  <wp:effectExtent l="0" t="0" r="0" b="0"/>
                  <wp:docPr id="17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 descr=""/>
                          <pic:cNvPicPr>
                            <a:picLocks noChangeAspect="1" noChangeArrowheads="1"/>
                          </pic:cNvPicPr>
                        </pic:nvPicPr>
                        <pic:blipFill>
                          <a:blip r:embed="rId49"/>
                          <a:stretch>
                            <a:fillRect/>
                          </a:stretch>
                        </pic:blipFill>
                        <pic:spPr bwMode="auto">
                          <a:xfrm>
                            <a:off x="0" y="0"/>
                            <a:ext cx="1095375" cy="352425"/>
                          </a:xfrm>
                          <a:prstGeom prst="rect">
                            <a:avLst/>
                          </a:prstGeom>
                        </pic:spPr>
                      </pic:pic>
                    </a:graphicData>
                  </a:graphic>
                </wp:inline>
              </w:drawing>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any agreement or instrument binding upon the Company and comply with any applicable requirement or restriction imposed by any court or governmental body having jurisdiction over the Company; and (d) the certificates, if any, for the Base Prospectus Shares have been duly executed by the Company, countersigned by the transfer agent therefor and duly delivered to the purchasers thereof against payment therefor, then the Base Prospectus Shares, when issued and sold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pStyle w:val="TextBody"/>
        <w:bidi w:val="0"/>
        <w:spacing w:lineRule="auto" w:line="288" w:before="0" w:after="200"/>
        <w:ind w:left="0" w:right="0" w:firstLine="720"/>
        <w:jc w:val="both"/>
        <w:rPr/>
      </w:pPr>
      <w:r>
        <w:rPr>
          <w:rFonts w:ascii="Arial;sans-serif" w:hAnsi="Arial;sans-serif"/>
          <w:b w:val="false"/>
          <w:color w:val="000000"/>
          <w:sz w:val="20"/>
        </w:rPr>
        <w:t>2.</w:t>
      </w:r>
      <w:r>
        <w:rPr>
          <w:rFonts w:ascii="Arial;sans-serif" w:hAnsi="Arial;sans-serif"/>
          <w:b w:val="false"/>
          <w:color w:val="000000"/>
          <w:sz w:val="20"/>
        </w:rPr>
        <w:t>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pStyle w:val="TextBody"/>
        <w:bidi w:val="0"/>
        <w:spacing w:lineRule="auto" w:line="288" w:before="0" w:after="200"/>
        <w:ind w:left="0" w:right="0" w:firstLine="720"/>
        <w:jc w:val="both"/>
        <w:rPr/>
      </w:pPr>
      <w:r>
        <w:rPr>
          <w:rFonts w:ascii="Arial;sans-serif" w:hAnsi="Arial;sans-serif"/>
          <w:b/>
          <w:color w:val="000000"/>
          <w:sz w:val="20"/>
        </w:rPr>
        <w:t>3.</w:t>
      </w:r>
      <w:r>
        <w:rPr>
          <w:rFonts w:ascii="Arial;sans-serif" w:hAnsi="Arial;sans-serif"/>
          <w:b w:val="false"/>
          <w:color w:val="000000"/>
          <w:sz w:val="20"/>
        </w:rPr>
        <w:t>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 executed and delivered by the Company and the Trustee and has been qualified under the Trust Indenture Act of 1939, as amended; (d) the issuance and terms of the Debt Securities have been duly authorized by the Company by all necessary corporate action; (e)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lineRule="auto" w:line="288" w:before="0" w:after="200"/>
        <w:ind w:left="0" w:right="0" w:firstLine="720"/>
        <w:jc w:val="both"/>
        <w:rPr/>
      </w:pPr>
      <w:r>
        <w:rPr>
          <w:rFonts w:ascii="Arial;sans-serif" w:hAnsi="Arial;sans-serif"/>
          <w:b w:val="false"/>
          <w:color w:val="000000"/>
          <w:sz w:val="20"/>
        </w:rPr>
        <w:t>4.</w:t>
      </w:r>
      <w:r>
        <w:rPr>
          <w:rFonts w:ascii="Arial;sans-serif" w:hAnsi="Arial;sans-serif"/>
          <w:b w:val="false"/>
          <w:color w:val="000000"/>
          <w:sz w:val="20"/>
        </w:rPr>
        <w:t xml:space="preserve">With respect to the Warrants issued under the Warrant Agreements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t>
      </w:r>
    </w:p>
    <w:p>
      <w:pPr>
        <w:pStyle w:val="TextBody"/>
        <w:bidi w:val="0"/>
        <w:spacing w:lineRule="atLeast" w:line="142" w:before="0" w:after="0"/>
        <w:jc w:val="left"/>
        <w:rPr>
          <w:color w:val="000000"/>
        </w:rPr>
      </w:pPr>
      <w:r>
        <w:rPr>
          <w:color w:val="000000"/>
        </w:rPr>
        <w:t> </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30505"/>
                <wp:effectExtent l="0" t="0" r="0" b="0"/>
                <wp:wrapNone/>
                <wp:docPr id="177" name="Frame171"/>
                <a:graphic xmlns:a="http://schemas.openxmlformats.org/drawingml/2006/main">
                  <a:graphicData uri="http://schemas.microsoft.com/office/word/2010/wordprocessingShape">
                    <wps:wsp>
                      <wps:cNvSpPr txBox="1"/>
                      <wps:spPr>
                        <a:xfrm>
                          <a:off x="0" y="0"/>
                          <a:ext cx="6480175" cy="230505"/>
                        </a:xfrm>
                        <a:prstGeom prst="rect"/>
                        <a:solidFill>
                          <a:srgbClr val="FFFFFF"/>
                        </a:solidFill>
                      </wps:spPr>
                      <wps:txbx>
                        <w:txbxContent>
                          <w:p>
                            <w:pPr>
                              <w:pStyle w:val="TextBody"/>
                              <w:bidi w:val="0"/>
                              <w:spacing w:lineRule="atLeast" w:line="20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COOLEY LLP 500 BOYLSTON STREET BOSTON, MA 02116-3736</w:t>
                            </w:r>
                            <w:r>
                              <w:br w:type="page"/>
                            </w:r>
                          </w:p>
                          <w:p>
                            <w:pPr>
                              <w:pStyle w:val="TextBody"/>
                              <w:bidi w:val="0"/>
                              <w:spacing w:lineRule="auto" w:line="34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PHONE: (617) 937-2300 FAX: (617) 937-2400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COOLEY LLP 500 BOYLSTON STREET BOSTON, MA 02116-3736</w:t>
                      </w:r>
                    </w:p>
                    <w:p>
                      <w:pPr>
                        <w:pStyle w:val="TextBody"/>
                        <w:bidi w:val="0"/>
                        <w:spacing w:lineRule="auto" w:line="34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PHONE: (617) 937-2300 FAX: (617) 937-2400</w:t>
                      </w:r>
                    </w:p>
                  </w:txbxContent>
                </v:textbox>
                <w10:wrap type="none"/>
              </v:rect>
            </w:pict>
          </mc:Fallback>
        </mc:AlternateContent>
      </w:r>
    </w:p>
    <w:tbl>
      <w:tblPr>
        <w:tblW w:w="2198" w:type="dxa"/>
        <w:jc w:val="left"/>
        <w:tblInd w:w="0" w:type="dxa"/>
        <w:tblLayout w:type="fixed"/>
        <w:tblCellMar>
          <w:top w:w="28" w:type="dxa"/>
          <w:left w:w="28" w:type="dxa"/>
          <w:bottom w:w="28" w:type="dxa"/>
          <w:right w:w="28" w:type="dxa"/>
        </w:tblCellMar>
      </w:tblPr>
      <w:tblGrid>
        <w:gridCol w:w="662"/>
        <w:gridCol w:w="581"/>
        <w:gridCol w:w="583"/>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95375" cy="352425"/>
                  <wp:effectExtent l="0" t="0" r="0" b="0"/>
                  <wp:docPr id="17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 descr=""/>
                          <pic:cNvPicPr>
                            <a:picLocks noChangeAspect="1" noChangeArrowheads="1"/>
                          </pic:cNvPicPr>
                        </pic:nvPicPr>
                        <pic:blipFill>
                          <a:blip r:embed="rId50"/>
                          <a:stretch>
                            <a:fillRect/>
                          </a:stretch>
                        </pic:blipFill>
                        <pic:spPr bwMode="auto">
                          <a:xfrm>
                            <a:off x="0" y="0"/>
                            <a:ext cx="1095375" cy="352425"/>
                          </a:xfrm>
                          <a:prstGeom prst="rect">
                            <a:avLst/>
                          </a:prstGeom>
                        </pic:spPr>
                      </pic:pic>
                    </a:graphicData>
                  </a:graphic>
                </wp:inline>
              </w:drawing>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lineRule="auto" w:line="288" w:before="0" w:after="200"/>
        <w:ind w:left="0" w:right="0" w:firstLine="720"/>
        <w:jc w:val="both"/>
        <w:rPr/>
      </w:pPr>
      <w:r>
        <w:rPr>
          <w:rFonts w:ascii="Arial;sans-serif" w:hAnsi="Arial;sans-serif"/>
          <w:b w:val="false"/>
          <w:color w:val="000000"/>
          <w:sz w:val="20"/>
        </w:rPr>
        <w:t>5.</w:t>
      </w:r>
      <w:r>
        <w:rPr>
          <w:rFonts w:ascii="Arial;sans-serif" w:hAnsi="Arial;sans-serif"/>
          <w:b w:val="false"/>
          <w:color w:val="000000"/>
          <w:sz w:val="20"/>
        </w:rPr>
        <w:t>The ATM Shares, when sold and issued against payment therefor in accordance with the Sales Agreement, the Registration Statement and the ATM Prospectus, will be validly issued, fully paid and nonassessable.</w:t>
      </w:r>
    </w:p>
    <w:p>
      <w:pPr>
        <w:pStyle w:val="TextBody"/>
        <w:bidi w:val="0"/>
        <w:spacing w:lineRule="auto" w:line="288"/>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lineRule="atLeast" w:line="142" w:before="0" w:after="0"/>
        <w:jc w:val="left"/>
        <w:rPr>
          <w:color w:val="000000"/>
        </w:rPr>
      </w:pPr>
      <w:r>
        <w:rPr>
          <w:color w:val="000000"/>
        </w:rPr>
        <w:t> </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30505"/>
                <wp:effectExtent l="0" t="0" r="0" b="0"/>
                <wp:wrapNone/>
                <wp:docPr id="179" name="Frame172"/>
                <a:graphic xmlns:a="http://schemas.openxmlformats.org/drawingml/2006/main">
                  <a:graphicData uri="http://schemas.microsoft.com/office/word/2010/wordprocessingShape">
                    <wps:wsp>
                      <wps:cNvSpPr txBox="1"/>
                      <wps:spPr>
                        <a:xfrm>
                          <a:off x="0" y="0"/>
                          <a:ext cx="6480175" cy="230505"/>
                        </a:xfrm>
                        <a:prstGeom prst="rect"/>
                        <a:solidFill>
                          <a:srgbClr val="FFFFFF"/>
                        </a:solidFill>
                      </wps:spPr>
                      <wps:txbx>
                        <w:txbxContent>
                          <w:p>
                            <w:pPr>
                              <w:pStyle w:val="TextBody"/>
                              <w:bidi w:val="0"/>
                              <w:spacing w:lineRule="atLeast" w:line="20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COOLEY LLP 500 BOYLSTON STREET BOSTON, MA 02116-3736</w:t>
                            </w:r>
                            <w:r>
                              <w:br w:type="page"/>
                            </w:r>
                          </w:p>
                          <w:p>
                            <w:pPr>
                              <w:pStyle w:val="TextBody"/>
                              <w:bidi w:val="0"/>
                              <w:spacing w:lineRule="auto" w:line="34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PHONE: (617) 937-2300 FAX: (617) 937-2400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COOLEY LLP 500 BOYLSTON STREET BOSTON, MA 02116-3736</w:t>
                      </w:r>
                    </w:p>
                    <w:p>
                      <w:pPr>
                        <w:pStyle w:val="TextBody"/>
                        <w:bidi w:val="0"/>
                        <w:spacing w:lineRule="auto" w:line="34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PHONE: (617) 937-2300 FAX: (617) 937-2400</w:t>
                      </w:r>
                    </w:p>
                  </w:txbxContent>
                </v:textbox>
                <w10:wrap type="none"/>
              </v:rect>
            </w:pict>
          </mc:Fallback>
        </mc:AlternateContent>
      </w:r>
    </w:p>
    <w:tbl>
      <w:tblPr>
        <w:tblW w:w="2198" w:type="dxa"/>
        <w:jc w:val="left"/>
        <w:tblInd w:w="0" w:type="dxa"/>
        <w:tblLayout w:type="fixed"/>
        <w:tblCellMar>
          <w:top w:w="28" w:type="dxa"/>
          <w:left w:w="28" w:type="dxa"/>
          <w:bottom w:w="28" w:type="dxa"/>
          <w:right w:w="28" w:type="dxa"/>
        </w:tblCellMar>
      </w:tblPr>
      <w:tblGrid>
        <w:gridCol w:w="662"/>
        <w:gridCol w:w="581"/>
        <w:gridCol w:w="583"/>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95375" cy="352425"/>
                  <wp:effectExtent l="0" t="0" r="0" b="0"/>
                  <wp:docPr id="18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8" descr=""/>
                          <pic:cNvPicPr>
                            <a:picLocks noChangeAspect="1" noChangeArrowheads="1"/>
                          </pic:cNvPicPr>
                        </pic:nvPicPr>
                        <pic:blipFill>
                          <a:blip r:embed="rId51"/>
                          <a:stretch>
                            <a:fillRect/>
                          </a:stretch>
                        </pic:blipFill>
                        <pic:spPr bwMode="auto">
                          <a:xfrm>
                            <a:off x="0" y="0"/>
                            <a:ext cx="1095375" cy="352425"/>
                          </a:xfrm>
                          <a:prstGeom prst="rect">
                            <a:avLst/>
                          </a:prstGeom>
                        </pic:spPr>
                      </pic:pic>
                    </a:graphicData>
                  </a:graphic>
                </wp:inline>
              </w:drawing>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lineRule="auto" w:line="288" w:before="0" w:after="680"/>
        <w:jc w:val="both"/>
        <w:rPr>
          <w:rFonts w:ascii="Arial;sans-serif" w:hAnsi="Arial;sans-serif"/>
          <w:b w:val="false"/>
          <w:color w:val="000000"/>
          <w:sz w:val="20"/>
        </w:rPr>
      </w:pPr>
      <w:r>
        <w:rPr>
          <w:rFonts w:ascii="Arial;sans-serif" w:hAnsi="Arial;sans-serif"/>
          <w:b w:val="false"/>
          <w:color w:val="000000"/>
          <w:sz w:val="20"/>
        </w:rPr>
        <w:t xml:space="preserve">We hereby consent to the filing of this opinion as an exhibit to the Registration Statement and to the reference to our firm under the caption “Legal Matters” in the Base Prospectus and the ATM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 </w:t>
      </w:r>
    </w:p>
    <w:tbl>
      <w:tblPr>
        <w:tblW w:w="3082" w:type="dxa"/>
        <w:jc w:val="left"/>
        <w:tblInd w:w="0" w:type="dxa"/>
        <w:tblLayout w:type="fixed"/>
        <w:tblCellMar>
          <w:top w:w="28" w:type="dxa"/>
          <w:left w:w="28" w:type="dxa"/>
          <w:bottom w:w="28" w:type="dxa"/>
          <w:right w:w="28" w:type="dxa"/>
        </w:tblCellMar>
      </w:tblPr>
      <w:tblGrid>
        <w:gridCol w:w="256"/>
        <w:gridCol w:w="224"/>
        <w:gridCol w:w="224"/>
        <w:gridCol w:w="224"/>
        <w:gridCol w:w="224"/>
        <w:gridCol w:w="224"/>
        <w:gridCol w:w="444"/>
        <w:gridCol w:w="444"/>
        <w:gridCol w:w="446"/>
        <w:gridCol w:w="109"/>
        <w:gridCol w:w="109"/>
        <w:gridCol w:w="154"/>
      </w:tblGrid>
      <w:tr>
        <w:trPr/>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Very truly yours,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COOLEY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 Ryan Sansom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 Sansom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30505"/>
                <wp:effectExtent l="0" t="0" r="0" b="0"/>
                <wp:wrapNone/>
                <wp:docPr id="181" name="Frame173"/>
                <a:graphic xmlns:a="http://schemas.openxmlformats.org/drawingml/2006/main">
                  <a:graphicData uri="http://schemas.microsoft.com/office/word/2010/wordprocessingShape">
                    <wps:wsp>
                      <wps:cNvSpPr txBox="1"/>
                      <wps:spPr>
                        <a:xfrm>
                          <a:off x="0" y="0"/>
                          <a:ext cx="6480175" cy="230505"/>
                        </a:xfrm>
                        <a:prstGeom prst="rect"/>
                        <a:solidFill>
                          <a:srgbClr val="FFFFFF"/>
                        </a:solidFill>
                      </wps:spPr>
                      <wps:txbx>
                        <w:txbxContent>
                          <w:p>
                            <w:pPr>
                              <w:pStyle w:val="TextBody"/>
                              <w:bidi w:val="0"/>
                              <w:spacing w:lineRule="atLeast" w:line="20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COOLEY LLP 500 BOYLSTON STREET BOSTON, MA 02116-3736</w:t>
                            </w:r>
                          </w:p>
                          <w:p>
                            <w:pPr>
                              <w:pStyle w:val="TextBody"/>
                              <w:bidi w:val="0"/>
                              <w:spacing w:lineRule="auto" w:line="34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PHONE: (617) 937-2300 FAX: (617) 937-2400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1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tLeast" w:line="20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COOLEY LLP 500 BOYLSTON STREET BOSTON, MA 02116-3736</w:t>
                      </w:r>
                    </w:p>
                    <w:p>
                      <w:pPr>
                        <w:pStyle w:val="TextBody"/>
                        <w:bidi w:val="0"/>
                        <w:spacing w:lineRule="auto" w:line="340" w:before="0" w:after="0"/>
                        <w:jc w:val="center"/>
                        <w:rPr>
                          <w:rFonts w:ascii="Century Gothic;sans-serif" w:hAnsi="Century Gothic;sans-serif"/>
                          <w:b w:val="false"/>
                          <w:color w:val="000000"/>
                          <w:sz w:val="14"/>
                        </w:rPr>
                      </w:pPr>
                      <w:r>
                        <w:rPr>
                          <w:rFonts w:ascii="Century Gothic;sans-serif" w:hAnsi="Century Gothic;sans-serif"/>
                          <w:b w:val="false"/>
                          <w:color w:val="000000"/>
                          <w:sz w:val="14"/>
                        </w:rPr>
                        <w:t>PHONE: (617) 937-2300 FAX: (617) 937-2400</w:t>
                      </w:r>
                    </w:p>
                  </w:txbxContent>
                </v:textbox>
                <w10:wrap type="none"/>
              </v:rect>
            </w:pict>
          </mc:Fallback>
        </mc:AlternateContent>
      </w:r>
    </w:p>
    <w:p>
      <w:pPr>
        <w:pStyle w:val="TextBody"/>
        <w:bidi w:val="0"/>
        <w:spacing w:lineRule="auto" w:line="288" w:before="0" w:after="180"/>
        <w:jc w:val="center"/>
        <w:rPr>
          <w:rFonts w:ascii="Verdana;sans-serif" w:hAnsi="Verdana;sans-serif"/>
          <w:b/>
          <w:color w:val="000000"/>
          <w:sz w:val="18"/>
        </w:rPr>
      </w:pPr>
      <w:r>
        <w:rPr>
          <w:rFonts w:ascii="Verdana;sans-serif" w:hAnsi="Verdana;sans-serif"/>
          <w:b/>
          <w:color w:val="000000"/>
          <w:sz w:val="18"/>
        </w:rPr>
        <w:t>CONSENT OF INDEPENDENT REGISTERED PUBLIC ACCOUNTING FIRM</w:t>
      </w:r>
    </w:p>
    <w:p>
      <w:pPr>
        <w:pStyle w:val="TextBody"/>
        <w:bidi w:val="0"/>
        <w:spacing w:lineRule="auto" w:line="288" w:before="0" w:after="180"/>
        <w:jc w:val="both"/>
        <w:rPr>
          <w:rFonts w:ascii="Verdana;sans-serif" w:hAnsi="Verdana;sans-serif"/>
          <w:b w:val="false"/>
          <w:color w:val="000000"/>
          <w:sz w:val="18"/>
        </w:rPr>
      </w:pPr>
      <w:r>
        <w:rPr>
          <w:rFonts w:ascii="Verdana;sans-serif" w:hAnsi="Verdana;sans-serif"/>
          <w:b w:val="false"/>
          <w:color w:val="000000"/>
          <w:sz w:val="18"/>
        </w:rPr>
        <w:t>We consent to the incorporation by reference in this Registration Statement on Form S-3 of our report dated March 4, 2026 relating to the financial statements of Keros Therapeutics, Inc., appearing in the Annual Report on Form 10-K of Keros Therapeutics, Inc. for the year ended December 31, 2025. We also consent to the reference to us under the heading “Experts” in such Registration Statement.</w:t>
      </w:r>
    </w:p>
    <w:tbl>
      <w:tblPr>
        <w:tblW w:w="2757" w:type="dxa"/>
        <w:jc w:val="left"/>
        <w:tblInd w:w="0" w:type="dxa"/>
        <w:tblLayout w:type="fixed"/>
        <w:tblCellMar>
          <w:top w:w="28" w:type="dxa"/>
          <w:left w:w="28" w:type="dxa"/>
          <w:bottom w:w="28" w:type="dxa"/>
          <w:right w:w="28" w:type="dxa"/>
        </w:tblCellMar>
      </w:tblPr>
      <w:tblGrid>
        <w:gridCol w:w="864"/>
        <w:gridCol w:w="759"/>
        <w:gridCol w:w="762"/>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/s/ Deloitte &amp; Touche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Boston, Massachusetts</w:t>
              <w:br/>
              <w:t>September 10,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Century Gothic">
    <w:altName w:val="sans-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64710/000166471026000018/kros-20251231.htm" TargetMode="External"/><Relationship Id="rId4" Type="http://schemas.openxmlformats.org/officeDocument/2006/relationships/hyperlink" Target="https://www.sec.gov/ix?doc=/Archives/edgar/data/1664710/000110465926046791/tm261345-1_def14a.htm" TargetMode="External"/><Relationship Id="rId5" Type="http://schemas.openxmlformats.org/officeDocument/2006/relationships/hyperlink" Target="https://www.sec.gov/ix?doc=/Archives/edgar/data/1664710/000166471026000030/kros-20260331.htm" TargetMode="External"/><Relationship Id="rId6" Type="http://schemas.openxmlformats.org/officeDocument/2006/relationships/hyperlink" Target="https://www.sec.gov/ix?doc=/Archives/edgar/data/1664710/000166471026000049/kros-20260630.htm" TargetMode="External"/><Relationship Id="rId7" Type="http://schemas.openxmlformats.org/officeDocument/2006/relationships/hyperlink" Target="https://www.sec.gov/ix?doc=/Archives/edgar/data/1664710/000166471026000008/kros-20260220.htm" TargetMode="External"/><Relationship Id="rId8" Type="http://schemas.openxmlformats.org/officeDocument/2006/relationships/hyperlink" Target="https://www.sec.gov/ix?doc=/Archives/edgar/data/1664710/000166471026000024/kros-20260309.htm" TargetMode="External"/><Relationship Id="rId9" Type="http://schemas.openxmlformats.org/officeDocument/2006/relationships/hyperlink" Target="https://www.sec.gov/ix?doc=/Archives/edgar/data/1664710/000166471026000034/kros-20260603.htm" TargetMode="External"/><Relationship Id="rId10" Type="http://schemas.openxmlformats.org/officeDocument/2006/relationships/hyperlink" Target="https://www.sec.gov/ix?doc=/Archives/edgar/data/1664710/000166471026000036/kros-20260623.htm" TargetMode="External"/><Relationship Id="rId11" Type="http://schemas.openxmlformats.org/officeDocument/2006/relationships/hyperlink" Target="https://www.sec.gov/ix?doc=/Archives/edgar/data/1664710/000166471026000038/kros-20260717.htm" TargetMode="External"/><Relationship Id="rId12" Type="http://schemas.openxmlformats.org/officeDocument/2006/relationships/hyperlink" Target="https://www.sec.gov/ix?doc=/Archives/edgar/data/0001664710/000166471026000053/kros-20260908.htm" TargetMode="External"/><Relationship Id="rId13" Type="http://schemas.openxmlformats.org/officeDocument/2006/relationships/hyperlink" Target="https://www.sec.gov/ix?doc=/Archives/edgar/data/0001664710/000166471026000053/kros-20260908.htm" TargetMode="External"/><Relationship Id="rId14" Type="http://schemas.openxmlformats.org/officeDocument/2006/relationships/hyperlink" Target="https://www.sec.gov/ix?doc=/Archives/edgar/data/0001664710/000166471026000053/kros-20260908.htm" TargetMode="External"/><Relationship Id="rId15" Type="http://schemas.openxmlformats.org/officeDocument/2006/relationships/hyperlink" Target="https://www.sec.gov/Archives/edgar/data/1664710/000119312520098367/d887920d8a12b.htm" TargetMode="External"/><Relationship Id="rId16" Type="http://schemas.openxmlformats.org/officeDocument/2006/relationships/hyperlink" Target="https://www.sec.gov/Archives/edgar/data/1664710/000166471026000018/exhibit4410-kfy2025.htm" TargetMode="External"/><Relationship Id="rId17" Type="http://schemas.openxmlformats.org/officeDocument/2006/relationships/image" Target="media/image2.jpeg"/><Relationship Id="rId18" Type="http://schemas.openxmlformats.org/officeDocument/2006/relationships/hyperlink" Target="https://www.sec.gov/ix?doc=/Archives/edgar/data/1664710/000166471026000018/kros-20251231.htm" TargetMode="External"/><Relationship Id="rId19" Type="http://schemas.openxmlformats.org/officeDocument/2006/relationships/hyperlink" Target="https://www.sec.gov/ix?doc=/Archives/edgar/data/1664710/000110465926046791/tm261345-1_def14a.htm" TargetMode="External"/><Relationship Id="rId20" Type="http://schemas.openxmlformats.org/officeDocument/2006/relationships/hyperlink" Target="https://www.sec.gov/ix?doc=/Archives/edgar/data/1664710/000166471026000030/kros-20260331.htm" TargetMode="External"/><Relationship Id="rId21" Type="http://schemas.openxmlformats.org/officeDocument/2006/relationships/hyperlink" Target="https://www.sec.gov/ix?doc=/Archives/edgar/data/1664710/000166471026000049/kros-20260630.htm" TargetMode="External"/><Relationship Id="rId22" Type="http://schemas.openxmlformats.org/officeDocument/2006/relationships/hyperlink" Target="https://www.sec.gov/ix?doc=/Archives/edgar/data/1664710/000166471026000008/kros-20260220.htm" TargetMode="External"/><Relationship Id="rId23" Type="http://schemas.openxmlformats.org/officeDocument/2006/relationships/hyperlink" Target="https://www.sec.gov/ix?doc=/Archives/edgar/data/1664710/000166471026000024/kros-20260309.htm" TargetMode="External"/><Relationship Id="rId24" Type="http://schemas.openxmlformats.org/officeDocument/2006/relationships/hyperlink" Target="https://www.sec.gov/ix?doc=/Archives/edgar/data/1664710/000166471026000034/kros-20260603.htm" TargetMode="External"/><Relationship Id="rId25" Type="http://schemas.openxmlformats.org/officeDocument/2006/relationships/hyperlink" Target="https://www.sec.gov/ix?doc=/Archives/edgar/data/1664710/000166471026000036/kros-20260623.htm" TargetMode="External"/><Relationship Id="rId26" Type="http://schemas.openxmlformats.org/officeDocument/2006/relationships/hyperlink" Target="https://www.sec.gov/ix?doc=/Archives/edgar/data/1664710/000166471026000038/kros-20260717.htm" TargetMode="External"/><Relationship Id="rId27" Type="http://schemas.openxmlformats.org/officeDocument/2006/relationships/hyperlink" Target="https://www.sec.gov/ix?doc=/Archives/edgar/data/0001664710/000166471026000053/kros-20260908.htm" TargetMode="External"/><Relationship Id="rId28" Type="http://schemas.openxmlformats.org/officeDocument/2006/relationships/hyperlink" Target="https://www.sec.gov/ix?doc=/Archives/edgar/data/0001664710/000166471026000053/kros-20260908.htm" TargetMode="External"/><Relationship Id="rId29" Type="http://schemas.openxmlformats.org/officeDocument/2006/relationships/hyperlink" Target="https://www.sec.gov/ix?doc=/Archives/edgar/data/0001664710/000166471026000053/kros-20260908.htm" TargetMode="External"/><Relationship Id="rId30" Type="http://schemas.openxmlformats.org/officeDocument/2006/relationships/hyperlink" Target="https://www.sec.gov/ix?doc=/Archives/edgar/data/0001664710/000166471026000053/kros-20260908.htm" TargetMode="External"/><Relationship Id="rId31" Type="http://schemas.openxmlformats.org/officeDocument/2006/relationships/hyperlink" Target="https://www.sec.gov/Archives/edgar/data/1664710/000119312520098367/d887920d8a12b.htm" TargetMode="External"/><Relationship Id="rId32" Type="http://schemas.openxmlformats.org/officeDocument/2006/relationships/hyperlink" Target="https://www.sec.gov/Archives/edgar/data/1664710/000166471026000018/exhibit4410-kfy2025.htm" TargetMode="External"/><Relationship Id="rId33" Type="http://schemas.openxmlformats.org/officeDocument/2006/relationships/image" Target="media/image3.jpeg"/><Relationship Id="rId34" Type="http://schemas.openxmlformats.org/officeDocument/2006/relationships/hyperlink" Target="https://www.sec.gov/Archives/edgar/data/1664710/000166471024000059/exhibit11form8-kxatmrefresh.htm" TargetMode="External"/><Relationship Id="rId35" Type="http://schemas.openxmlformats.org/officeDocument/2006/relationships/hyperlink" Target="https://www.sec.gov/Archives/edgar/data/1664710/000166471024000059/exhibit11form8-kxatmrefresh.htm" TargetMode="External"/><Relationship Id="rId36" Type="http://schemas.openxmlformats.org/officeDocument/2006/relationships/hyperlink" Target="https://www.sec.gov/Archives/edgar/data/1664710/000166471024000059/exhibit11form8-kxatmrefresh.htm" TargetMode="External"/><Relationship Id="rId37" Type="http://schemas.openxmlformats.org/officeDocument/2006/relationships/hyperlink" Target="https://www.sec.gov/Archives/edgar/data/1664710/000166471024000059/exhibit11form8-kxatmrefresh.htm" TargetMode="External"/><Relationship Id="rId38" Type="http://schemas.openxmlformats.org/officeDocument/2006/relationships/hyperlink" Target="https://www.sec.gov/Archives/edgar/data/1664710/000166471024000059/exhibit11form8-kxatmrefresh.htm" TargetMode="External"/><Relationship Id="rId39" Type="http://schemas.openxmlformats.org/officeDocument/2006/relationships/hyperlink" Target="https://www.sec.gov/Archives/edgar/data/1664710/000166471024000059/exhibit11form8-kxatmrefresh.htm" TargetMode="External"/><Relationship Id="rId40" Type="http://schemas.openxmlformats.org/officeDocument/2006/relationships/hyperlink" Target="https://www.sec.gov/Archives/edgar/data/1664710/000119312520105266/d891585dex31.htm" TargetMode="External"/><Relationship Id="rId41" Type="http://schemas.openxmlformats.org/officeDocument/2006/relationships/hyperlink" Target="https://www.sec.gov/Archives/edgar/data/1664710/000119312520105266/d891585dex31.htm" TargetMode="External"/><Relationship Id="rId42" Type="http://schemas.openxmlformats.org/officeDocument/2006/relationships/hyperlink" Target="https://www.sec.gov/Archives/edgar/data/1664710/000119312520105266/d891585dex31.htm" TargetMode="External"/><Relationship Id="rId43" Type="http://schemas.openxmlformats.org/officeDocument/2006/relationships/hyperlink" Target="https://www.sec.gov/Archives/edgar/data/1664710/000166471025000025/exhibit31.htm" TargetMode="External"/><Relationship Id="rId44" Type="http://schemas.openxmlformats.org/officeDocument/2006/relationships/hyperlink" Target="https://www.sec.gov/Archives/edgar/data/1664710/000119312520093365/d855212dex42.htm" TargetMode="External"/><Relationship Id="rId45" Type="http://schemas.openxmlformats.org/officeDocument/2006/relationships/hyperlink" Target="https://www.sec.gov/Archives/edgar/data/1664710/000119312520093365/d855212dex42.htm" TargetMode="External"/><Relationship Id="rId46" Type="http://schemas.openxmlformats.org/officeDocument/2006/relationships/hyperlink" Target="https://www.sec.gov/Archives/edgar/data/1664710/000119312520093365/d855212dex42.htm" TargetMode="External"/><Relationship Id="rId47" Type="http://schemas.openxmlformats.org/officeDocument/2006/relationships/image" Target="media/image4.jpeg"/><Relationship Id="rId48" Type="http://schemas.openxmlformats.org/officeDocument/2006/relationships/image" Target="media/image4.jpeg"/><Relationship Id="rId49" Type="http://schemas.openxmlformats.org/officeDocument/2006/relationships/image" Target="media/image4.jpeg"/><Relationship Id="rId50" Type="http://schemas.openxmlformats.org/officeDocument/2006/relationships/image" Target="media/image4.jpeg"/><Relationship Id="rId51" Type="http://schemas.openxmlformats.org/officeDocument/2006/relationships/image" Target="media/image4.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175</Pages>
  <Words>82896</Words>
  <Characters>430663</Characters>
  <CharactersWithSpaces>513063</CharactersWithSpaces>
  <Paragraphs>2397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