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________________________________________</w:t>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FORM 10-Q</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________________________________________</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20" w:after="283"/>
        <w:jc w:val="center"/>
        <w:rPr>
          <w:rFonts w:ascii="Arial;sans-serif" w:hAnsi="Arial;sans-serif"/>
          <w:b/>
          <w:color w:val="000000"/>
          <w:sz w:val="18"/>
        </w:rPr>
      </w:pPr>
      <w:r>
        <w:rPr>
          <w:rFonts w:ascii="Arial;sans-serif" w:hAnsi="Arial;sans-serif"/>
          <w:b/>
          <w:color w:val="000000"/>
          <w:sz w:val="18"/>
        </w:rPr>
        <w:t xml:space="preserve">For the quarterly period ended June 30, 2026 </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20" w:after="283"/>
        <w:jc w:val="center"/>
        <w:rPr>
          <w:rFonts w:ascii="Arial;sans-serif" w:hAnsi="Arial;sans-serif"/>
          <w:b/>
          <w:color w:val="000000"/>
          <w:sz w:val="18"/>
        </w:rPr>
      </w:pPr>
      <w:r>
        <w:rPr>
          <w:rFonts w:ascii="Arial;sans-serif" w:hAnsi="Arial;sans-serif"/>
          <w:b/>
          <w:color w:val="000000"/>
          <w:sz w:val="18"/>
        </w:rPr>
        <w:t>For the transition period from                      to</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Commission File Number: 001-39264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w:t>
      </w:r>
    </w:p>
    <w:p>
      <w:pPr>
        <w:pStyle w:val="TextBody"/>
        <w:bidi w:val="0"/>
        <w:spacing w:lineRule="auto" w:line="288" w:before="240" w:after="283"/>
        <w:jc w:val="center"/>
        <w:rPr>
          <w:rFonts w:ascii="Arial;sans-serif" w:hAnsi="Arial;sans-serif"/>
          <w:b/>
          <w:color w:val="000000"/>
          <w:sz w:val="32"/>
        </w:rPr>
      </w:pPr>
      <w:r>
        <w:rPr>
          <w:rFonts w:ascii="Arial;sans-serif" w:hAnsi="Arial;sans-serif"/>
          <w:b/>
          <w:color w:val="000000"/>
          <w:sz w:val="32"/>
        </w:rPr>
        <w:t>KEROS THERAPEUTICS, INC.</w:t>
      </w:r>
    </w:p>
    <w:p>
      <w:pPr>
        <w:pStyle w:val="TextBody"/>
        <w:bidi w:val="0"/>
        <w:spacing w:lineRule="auto" w:line="288" w:before="120" w:after="283"/>
        <w:jc w:val="center"/>
        <w:rPr>
          <w:rFonts w:ascii="Arial;sans-serif" w:hAnsi="Arial;sans-serif"/>
          <w:b w:val="false"/>
          <w:color w:val="000000"/>
          <w:sz w:val="14"/>
        </w:rPr>
      </w:pPr>
      <w:r>
        <w:rPr>
          <w:rFonts w:ascii="Arial;sans-serif" w:hAnsi="Arial;sans-serif"/>
          <w:b w:val="false"/>
          <w:color w:val="000000"/>
          <w:sz w:val="14"/>
        </w:rPr>
        <w:t>(Exact name of registrant as specified in its charter)</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________________________________________</w:t>
      </w:r>
    </w:p>
    <w:tbl>
      <w:tblPr>
        <w:tblW w:w="5278" w:type="dxa"/>
        <w:jc w:val="center"/>
        <w:tblInd w:w="0" w:type="dxa"/>
        <w:tblLayout w:type="fixed"/>
        <w:tblCellMar>
          <w:top w:w="28" w:type="dxa"/>
          <w:left w:w="28" w:type="dxa"/>
          <w:bottom w:w="28" w:type="dxa"/>
          <w:right w:w="28" w:type="dxa"/>
        </w:tblCellMar>
      </w:tblPr>
      <w:tblGrid>
        <w:gridCol w:w="708"/>
        <w:gridCol w:w="621"/>
        <w:gridCol w:w="621"/>
        <w:gridCol w:w="535"/>
        <w:gridCol w:w="434"/>
        <w:gridCol w:w="457"/>
        <w:gridCol w:w="109"/>
        <w:gridCol w:w="109"/>
        <w:gridCol w:w="109"/>
        <w:gridCol w:w="460"/>
        <w:gridCol w:w="460"/>
        <w:gridCol w:w="655"/>
      </w:tblGrid>
      <w:tr>
        <w:trPr/>
        <w:tc>
          <w:tcPr>
            <w:tcW w:w="70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33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81-1173868</w:t>
            </w:r>
          </w:p>
        </w:tc>
      </w:tr>
      <w:tr>
        <w:trPr/>
        <w:tc>
          <w:tcPr>
            <w:tcW w:w="33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(I.R.S. Employer</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Identification Number)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8"/>
              </w:rPr>
            </w:pPr>
            <w:r>
              <w:rPr>
                <w:rFonts w:ascii="Arial;sans-serif" w:hAnsi="Arial;sans-serif"/>
                <w:b/>
                <w:color w:val="000000"/>
                <w:sz w:val="18"/>
              </w:rPr>
              <w:t>1050 Waltham Street,</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Suite 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02421</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Lexington,</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(Zip Code)</w:t>
            </w:r>
          </w:p>
        </w:tc>
      </w:tr>
    </w:tbl>
    <w:p>
      <w:pPr>
        <w:pStyle w:val="TextBody"/>
        <w:bidi w:val="0"/>
        <w:spacing w:lineRule="auto" w:line="288" w:before="20" w:after="283"/>
        <w:jc w:val="center"/>
        <w:rPr>
          <w:rFonts w:ascii="Arial;sans-serif" w:hAnsi="Arial;sans-serif"/>
          <w:b/>
          <w:color w:val="000000"/>
          <w:sz w:val="18"/>
        </w:rPr>
      </w:pPr>
      <w:r>
        <w:rPr>
          <w:rFonts w:ascii="Arial;sans-serif" w:hAnsi="Arial;sans-serif"/>
          <w:b/>
          <w:color w:val="000000"/>
          <w:sz w:val="18"/>
        </w:rPr>
        <w:t>Tel: (617) 314-6297</w:t>
      </w:r>
    </w:p>
    <w:p>
      <w:pPr>
        <w:pStyle w:val="TextBody"/>
        <w:bidi w:val="0"/>
        <w:spacing w:lineRule="auto" w:line="288" w:before="120" w:after="283"/>
        <w:jc w:val="center"/>
        <w:rPr>
          <w:rFonts w:ascii="Arial;sans-serif" w:hAnsi="Arial;sans-serif"/>
          <w:b w:val="false"/>
          <w:color w:val="000000"/>
          <w:sz w:val="14"/>
        </w:rPr>
      </w:pPr>
      <w:r>
        <w:rPr>
          <w:rFonts w:ascii="Arial;sans-serif" w:hAnsi="Arial;sans-serif"/>
          <w:b w:val="false"/>
          <w:color w:val="000000"/>
          <w:sz w:val="14"/>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w:t>
      </w:r>
    </w:p>
    <w:p>
      <w:pPr>
        <w:pStyle w:val="TextBody"/>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871" w:type="dxa"/>
        <w:jc w:val="center"/>
        <w:tblInd w:w="0" w:type="dxa"/>
        <w:tblLayout w:type="fixed"/>
        <w:tblCellMar>
          <w:top w:w="28" w:type="dxa"/>
          <w:left w:w="28" w:type="dxa"/>
          <w:bottom w:w="28" w:type="dxa"/>
          <w:right w:w="28" w:type="dxa"/>
        </w:tblCellMar>
      </w:tblPr>
      <w:tblGrid>
        <w:gridCol w:w="1292"/>
        <w:gridCol w:w="1131"/>
        <w:gridCol w:w="1146"/>
        <w:gridCol w:w="109"/>
        <w:gridCol w:w="109"/>
        <w:gridCol w:w="109"/>
        <w:gridCol w:w="414"/>
        <w:gridCol w:w="414"/>
        <w:gridCol w:w="416"/>
        <w:gridCol w:w="109"/>
        <w:gridCol w:w="109"/>
        <w:gridCol w:w="109"/>
        <w:gridCol w:w="995"/>
        <w:gridCol w:w="995"/>
        <w:gridCol w:w="1414"/>
      </w:tblGrid>
      <w:tr>
        <w:trPr/>
        <w:tc>
          <w:tcPr>
            <w:tcW w:w="129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5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KROS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 Nasdaq Stock Market LLC</w:t>
            </w:r>
          </w:p>
        </w:tc>
      </w:tr>
    </w:tbl>
    <w:p>
      <w:pPr>
        <w:pStyle w:val="TextBody"/>
        <w:bidi w:val="0"/>
        <w:spacing w:lineRule="auto" w:line="288" w:before="140" w:after="283"/>
        <w:ind w:left="0" w:right="0" w:firstLine="360"/>
        <w:jc w:val="left"/>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Arial;sans-serif" w:hAnsi="Arial;sans-serif"/>
          <w:b w:val="false"/>
          <w:color w:val="000000"/>
          <w:sz w:val="16"/>
        </w:rPr>
        <w:t>Yes   </w:t>
      </w:r>
      <w:r>
        <w:rPr>
          <w:color w:val="000000"/>
        </w:rPr>
        <w:t xml:space="preserve">☐ </w:t>
      </w:r>
      <w:r>
        <w:rPr>
          <w:rFonts w:ascii="Arial;sans-serif" w:hAnsi="Arial;sans-serif"/>
          <w:b w:val="false"/>
          <w:color w:val="000000"/>
          <w:sz w:val="16"/>
        </w:rPr>
        <w:t>No</w:t>
      </w:r>
    </w:p>
    <w:p>
      <w:pPr>
        <w:pStyle w:val="TextBody"/>
        <w:bidi w:val="0"/>
        <w:spacing w:lineRule="auto" w:line="288" w:before="120" w:after="283"/>
        <w:ind w:left="0" w:right="0" w:firstLine="360"/>
        <w:jc w:val="left"/>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Arial;sans-serif" w:hAnsi="Arial;sans-serif"/>
          <w:b w:val="false"/>
          <w:color w:val="000000"/>
          <w:sz w:val="16"/>
        </w:rPr>
        <w:t>Yes  </w:t>
      </w:r>
      <w:r>
        <w:rPr>
          <w:color w:val="000000"/>
        </w:rPr>
        <w:t>☐  </w:t>
      </w:r>
      <w:r>
        <w:rPr>
          <w:rFonts w:ascii="Arial;sans-serif" w:hAnsi="Arial;sans-serif"/>
          <w:b w:val="false"/>
          <w:color w:val="000000"/>
          <w:sz w:val="16"/>
        </w:rPr>
        <w:t>No</w:t>
      </w:r>
    </w:p>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85" w:type="dxa"/>
        <w:jc w:val="center"/>
        <w:tblInd w:w="0" w:type="dxa"/>
        <w:tblLayout w:type="fixed"/>
        <w:tblCellMar>
          <w:top w:w="28" w:type="dxa"/>
          <w:left w:w="28" w:type="dxa"/>
          <w:bottom w:w="28" w:type="dxa"/>
          <w:right w:w="28" w:type="dxa"/>
        </w:tblCellMar>
      </w:tblPr>
      <w:tblGrid>
        <w:gridCol w:w="657"/>
        <w:gridCol w:w="577"/>
        <w:gridCol w:w="580"/>
        <w:gridCol w:w="109"/>
        <w:gridCol w:w="109"/>
        <w:gridCol w:w="109"/>
        <w:gridCol w:w="109"/>
        <w:gridCol w:w="109"/>
        <w:gridCol w:w="109"/>
        <w:gridCol w:w="714"/>
        <w:gridCol w:w="714"/>
        <w:gridCol w:w="717"/>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ind w:left="0" w:right="0" w:firstLine="360"/>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360"/>
        <w:jc w:val="left"/>
        <w:rPr/>
      </w:pPr>
      <w:r>
        <w:rPr>
          <w:rFonts w:ascii="Arial;sans-serif" w:hAnsi="Arial;sans-serif"/>
          <w:b w:val="false"/>
          <w:color w:val="000000"/>
          <w:sz w:val="16"/>
        </w:rPr>
        <w:t>Indicate by check mark whether the registrant is a shell company (as defined in Rule 12b-2 of the Exchange Act).   </w:t>
      </w:r>
      <w:r>
        <w:rPr>
          <w:color w:val="000000"/>
        </w:rPr>
        <w:t xml:space="preserve">☐ </w:t>
      </w:r>
      <w:r>
        <w:rPr>
          <w:rFonts w:ascii="Arial;sans-serif" w:hAnsi="Arial;sans-serif"/>
          <w:b w:val="false"/>
          <w:color w:val="000000"/>
          <w:sz w:val="16"/>
        </w:rPr>
        <w:t xml:space="preserve">Yes </w:t>
      </w:r>
      <w:r>
        <w:rPr>
          <w:color w:val="000000"/>
        </w:rPr>
        <w:t>☑ </w:t>
      </w:r>
      <w:r>
        <w:rPr>
          <w:rFonts w:ascii="Arial;sans-serif" w:hAnsi="Arial;sans-serif"/>
          <w:b w:val="false"/>
          <w:color w:val="000000"/>
          <w:sz w:val="16"/>
        </w:rPr>
        <w:t>No</w:t>
      </w:r>
    </w:p>
    <w:p>
      <w:pPr>
        <w:pStyle w:val="TextBody"/>
        <w:bidi w:val="0"/>
        <w:spacing w:lineRule="auto" w:line="288" w:before="120" w:after="283"/>
        <w:ind w:left="0" w:right="0" w:firstLine="360"/>
        <w:jc w:val="left"/>
        <w:rPr>
          <w:rFonts w:ascii="Arial;sans-serif" w:hAnsi="Arial;sans-serif"/>
          <w:b w:val="false"/>
          <w:color w:val="000000"/>
          <w:sz w:val="16"/>
        </w:rPr>
      </w:pPr>
      <w:r>
        <w:rPr>
          <w:rFonts w:ascii="Arial;sans-serif" w:hAnsi="Arial;sans-serif"/>
          <w:b w:val="false"/>
          <w:color w:val="000000"/>
          <w:sz w:val="16"/>
        </w:rPr>
        <w:t>As of July 27, 2026, there were 19,827,188 outstanding shares of the registrant's common stock, par value $0.0001 per share.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1070"/>
        <w:gridCol w:w="941"/>
        <w:gridCol w:w="941"/>
        <w:gridCol w:w="2263"/>
        <w:gridCol w:w="2176"/>
        <w:gridCol w:w="2196"/>
        <w:gridCol w:w="180"/>
        <w:gridCol w:w="180"/>
        <w:gridCol w:w="258"/>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7"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10">
              <w:r>
                <w:rPr>
                  <w:rStyle w:val="InternetLink"/>
                  <w:rFonts w:ascii="Arial;sans-serif" w:hAnsi="Arial;sans-serif"/>
                  <w:b/>
                  <w:strike w:val="false"/>
                  <w:dstrike w:val="false"/>
                  <w:color w:val="000000"/>
                  <w:sz w:val="20"/>
                  <w:u w:val="none"/>
                  <w:effect w:val="none"/>
                </w:rPr>
                <w:t>SPECIAL NOTE REGARDING FORWARD-LOOKING STATEMENTS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10">
              <w:r>
                <w:rPr>
                  <w:rStyle w:val="InternetLink"/>
                  <w:rFonts w:ascii="Arial;sans-serif" w:hAnsi="Arial;sans-serif"/>
                  <w:b w:val="false"/>
                  <w:strike w:val="false"/>
                  <w:dstrike w:val="false"/>
                  <w:color w:val="000000"/>
                  <w:sz w:val="20"/>
                  <w:u w:val="none"/>
                  <w:effect w:val="none"/>
                </w:rPr>
                <w:t>2</w:t>
              </w:r>
            </w:hyperlink>
          </w:p>
        </w:tc>
      </w:tr>
      <w:tr>
        <w:trPr/>
        <w:tc>
          <w:tcPr>
            <w:tcW w:w="9587"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13">
              <w:r>
                <w:rPr>
                  <w:rStyle w:val="InternetLink"/>
                  <w:rFonts w:ascii="Arial;sans-serif" w:hAnsi="Arial;sans-serif"/>
                  <w:b/>
                  <w:strike w:val="false"/>
                  <w:dstrike w:val="false"/>
                  <w:color w:val="000000"/>
                  <w:sz w:val="20"/>
                  <w:u w:val="none"/>
                  <w:effect w:val="none"/>
                </w:rPr>
                <w:t>SPECIAL NOTE REGARDING COMPANY REFERENCES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13">
              <w:r>
                <w:rPr>
                  <w:rStyle w:val="InternetLink"/>
                  <w:rFonts w:ascii="Arial;sans-serif" w:hAnsi="Arial;sans-serif"/>
                  <w:b w:val="false"/>
                  <w:strike w:val="false"/>
                  <w:dstrike w:val="false"/>
                  <w:color w:val="000000"/>
                  <w:sz w:val="20"/>
                  <w:u w:val="none"/>
                  <w:effect w:val="none"/>
                </w:rPr>
                <w:t>3</w:t>
              </w:r>
            </w:hyperlink>
          </w:p>
        </w:tc>
      </w:tr>
      <w:tr>
        <w:trPr/>
        <w:tc>
          <w:tcPr>
            <w:tcW w:w="9587"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16">
              <w:r>
                <w:rPr>
                  <w:rStyle w:val="InternetLink"/>
                  <w:rFonts w:ascii="Arial;sans-serif" w:hAnsi="Arial;sans-serif"/>
                  <w:b/>
                  <w:strike w:val="false"/>
                  <w:dstrike w:val="false"/>
                  <w:color w:val="000000"/>
                  <w:sz w:val="20"/>
                  <w:u w:val="none"/>
                  <w:effect w:val="none"/>
                </w:rPr>
                <w:t>SPECIAL NOTE REGARDING TRADEMARKS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16">
              <w:r>
                <w:rPr>
                  <w:rStyle w:val="InternetLink"/>
                  <w:rFonts w:ascii="Arial;sans-serif" w:hAnsi="Arial;sans-serif"/>
                  <w:b w:val="false"/>
                  <w:strike w:val="false"/>
                  <w:dstrike w:val="false"/>
                  <w:color w:val="000000"/>
                  <w:sz w:val="20"/>
                  <w:u w:val="none"/>
                  <w:effect w:val="none"/>
                </w:rPr>
                <w:t>3</w:t>
              </w:r>
            </w:hyperlink>
          </w:p>
        </w:tc>
      </w:tr>
      <w:tr>
        <w:trPr/>
        <w:tc>
          <w:tcPr>
            <w:tcW w:w="9587" w:type="dxa"/>
            <w:gridSpan w:val="6"/>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SUMMARY OF SELECTED RISKS ASSOCIATED WITH OUR BUSINESS</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19">
              <w:r>
                <w:rPr>
                  <w:rStyle w:val="InternetLink"/>
                  <w:rFonts w:ascii="Arial;sans-serif" w:hAnsi="Arial;sans-serif"/>
                  <w:b w:val="false"/>
                  <w:strike w:val="false"/>
                  <w:dstrike w:val="false"/>
                  <w:color w:val="000000"/>
                  <w:sz w:val="20"/>
                  <w:u w:val="none"/>
                  <w:effect w:val="none"/>
                </w:rPr>
                <w:t>4</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PART I.</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22">
              <w:r>
                <w:rPr>
                  <w:rStyle w:val="InternetLink"/>
                  <w:rFonts w:ascii="Arial;sans-serif" w:hAnsi="Arial;sans-serif"/>
                  <w:b w:val="false"/>
                  <w:strike w:val="false"/>
                  <w:dstrike w:val="false"/>
                  <w:color w:val="000000"/>
                  <w:sz w:val="20"/>
                  <w:u w:val="none"/>
                  <w:effect w:val="none"/>
                </w:rPr>
                <w:t>FINANCIAL INFORMATION</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22">
              <w:r>
                <w:rPr>
                  <w:rStyle w:val="InternetLink"/>
                  <w:rFonts w:ascii="Arial;sans-serif" w:hAnsi="Arial;sans-serif"/>
                  <w:b w:val="false"/>
                  <w:strike w:val="false"/>
                  <w:dstrike w:val="false"/>
                  <w:color w:val="000000"/>
                  <w:sz w:val="20"/>
                  <w:u w:val="none"/>
                  <w:effect w:val="none"/>
                </w:rPr>
                <w:t>5</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22">
              <w:r>
                <w:rPr>
                  <w:rStyle w:val="InternetLink"/>
                  <w:rFonts w:ascii="Arial;sans-serif" w:hAnsi="Arial;sans-serif"/>
                  <w:b w:val="false"/>
                  <w:strike w:val="false"/>
                  <w:dstrike w:val="false"/>
                  <w:color w:val="000000"/>
                  <w:sz w:val="20"/>
                  <w:u w:val="none"/>
                  <w:effect w:val="none"/>
                </w:rPr>
                <w:t>Financial Statements (Unaudited)</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22">
              <w:r>
                <w:rPr>
                  <w:rStyle w:val="InternetLink"/>
                  <w:rFonts w:ascii="Arial;sans-serif" w:hAnsi="Arial;sans-serif"/>
                  <w:b w:val="false"/>
                  <w:strike w:val="false"/>
                  <w:dstrike w:val="false"/>
                  <w:color w:val="000000"/>
                  <w:sz w:val="20"/>
                  <w:u w:val="none"/>
                  <w:effect w:val="none"/>
                </w:rPr>
                <w:t>5</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25">
              <w:r>
                <w:rPr>
                  <w:rStyle w:val="InternetLink"/>
                  <w:rFonts w:ascii="Arial;sans-serif" w:hAnsi="Arial;sans-serif"/>
                  <w:b w:val="false"/>
                  <w:strike w:val="false"/>
                  <w:dstrike w:val="false"/>
                  <w:color w:val="000000"/>
                  <w:sz w:val="20"/>
                  <w:u w:val="none"/>
                  <w:effect w:val="none"/>
                </w:rPr>
                <w:t>Condensed Consolidated Balance Sheets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25">
              <w:r>
                <w:rPr>
                  <w:rStyle w:val="InternetLink"/>
                  <w:rFonts w:ascii="Arial;sans-serif" w:hAnsi="Arial;sans-serif"/>
                  <w:b w:val="false"/>
                  <w:strike w:val="false"/>
                  <w:dstrike w:val="false"/>
                  <w:color w:val="000000"/>
                  <w:sz w:val="20"/>
                  <w:u w:val="none"/>
                  <w:effect w:val="none"/>
                </w:rPr>
                <w:t>5</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28">
              <w:r>
                <w:rPr>
                  <w:rStyle w:val="InternetLink"/>
                  <w:rFonts w:ascii="Arial;sans-serif" w:hAnsi="Arial;sans-serif"/>
                  <w:b w:val="false"/>
                  <w:strike w:val="false"/>
                  <w:dstrike w:val="false"/>
                  <w:color w:val="000000"/>
                  <w:sz w:val="20"/>
                  <w:u w:val="none"/>
                  <w:effect w:val="none"/>
                </w:rPr>
                <w:t>Condensed Consolidated Statements of Operations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28">
              <w:r>
                <w:rPr>
                  <w:rStyle w:val="InternetLink"/>
                  <w:rFonts w:ascii="Arial;sans-serif" w:hAnsi="Arial;sans-serif"/>
                  <w:b w:val="false"/>
                  <w:strike w:val="false"/>
                  <w:dstrike w:val="false"/>
                  <w:color w:val="000000"/>
                  <w:sz w:val="20"/>
                  <w:u w:val="none"/>
                  <w:effect w:val="none"/>
                </w:rPr>
                <w:t>6</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31">
              <w:r>
                <w:rPr>
                  <w:rStyle w:val="InternetLink"/>
                  <w:rFonts w:ascii="Arial;sans-serif" w:hAnsi="Arial;sans-serif"/>
                  <w:b w:val="false"/>
                  <w:strike w:val="false"/>
                  <w:dstrike w:val="false"/>
                  <w:color w:val="000000"/>
                  <w:sz w:val="20"/>
                  <w:u w:val="none"/>
                  <w:effect w:val="none"/>
                </w:rPr>
                <w:t>Condensed Consolidated Statements of Stockholders’ Equity</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31">
              <w:r>
                <w:rPr>
                  <w:rStyle w:val="InternetLink"/>
                  <w:rFonts w:ascii="Arial;sans-serif" w:hAnsi="Arial;sans-serif"/>
                  <w:b w:val="false"/>
                  <w:strike w:val="false"/>
                  <w:dstrike w:val="false"/>
                  <w:color w:val="000000"/>
                  <w:sz w:val="20"/>
                  <w:u w:val="none"/>
                  <w:effect w:val="none"/>
                </w:rPr>
                <w:t>7</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34">
              <w:r>
                <w:rPr>
                  <w:rStyle w:val="InternetLink"/>
                  <w:rFonts w:ascii="Arial;sans-serif" w:hAnsi="Arial;sans-serif"/>
                  <w:b w:val="false"/>
                  <w:strike w:val="false"/>
                  <w:dstrike w:val="false"/>
                  <w:color w:val="000000"/>
                  <w:sz w:val="20"/>
                  <w:u w:val="none"/>
                  <w:effect w:val="none"/>
                </w:rPr>
                <w:t>Condensed Consolidated Statements of Cash Flows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34">
              <w:r>
                <w:rPr>
                  <w:rStyle w:val="InternetLink"/>
                  <w:rFonts w:ascii="Arial;sans-serif" w:hAnsi="Arial;sans-serif"/>
                  <w:b w:val="false"/>
                  <w:strike w:val="false"/>
                  <w:dstrike w:val="false"/>
                  <w:color w:val="000000"/>
                  <w:sz w:val="20"/>
                  <w:u w:val="none"/>
                  <w:effect w:val="none"/>
                </w:rPr>
                <w:t>8</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37">
              <w:r>
                <w:rPr>
                  <w:rStyle w:val="InternetLink"/>
                  <w:rFonts w:ascii="Arial;sans-serif" w:hAnsi="Arial;sans-serif"/>
                  <w:b w:val="false"/>
                  <w:strike w:val="false"/>
                  <w:dstrike w:val="false"/>
                  <w:color w:val="000000"/>
                  <w:sz w:val="20"/>
                  <w:u w:val="none"/>
                  <w:effect w:val="none"/>
                </w:rPr>
                <w:t>Notes to Condensed Consolidated Financial Statements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37">
              <w:r>
                <w:rPr>
                  <w:rStyle w:val="InternetLink"/>
                  <w:rFonts w:ascii="Arial;sans-serif" w:hAnsi="Arial;sans-serif"/>
                  <w:b w:val="false"/>
                  <w:strike w:val="false"/>
                  <w:dstrike w:val="false"/>
                  <w:color w:val="000000"/>
                  <w:sz w:val="20"/>
                  <w:u w:val="none"/>
                  <w:effect w:val="none"/>
                </w:rPr>
                <w:t>9</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88">
              <w:r>
                <w:rPr>
                  <w:rStyle w:val="InternetLink"/>
                  <w:rFonts w:ascii="Arial;sans-serif" w:hAnsi="Arial;sans-serif"/>
                  <w:b w:val="false"/>
                  <w:strike w:val="false"/>
                  <w:dstrike w:val="false"/>
                  <w:color w:val="000000"/>
                  <w:sz w:val="20"/>
                  <w:u w:val="none"/>
                  <w:effect w:val="none"/>
                </w:rPr>
                <w:t>Management’s Discussion and Analysis of Financial Condition and Results of Operations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88">
              <w:r>
                <w:rPr>
                  <w:rStyle w:val="InternetLink"/>
                  <w:rFonts w:ascii="Arial;sans-serif" w:hAnsi="Arial;sans-serif"/>
                  <w:b w:val="false"/>
                  <w:strike w:val="false"/>
                  <w:dstrike w:val="false"/>
                  <w:color w:val="000000"/>
                  <w:sz w:val="20"/>
                  <w:u w:val="none"/>
                  <w:effect w:val="none"/>
                </w:rPr>
                <w:t>20</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112">
              <w:r>
                <w:rPr>
                  <w:rStyle w:val="InternetLink"/>
                  <w:rFonts w:ascii="Arial;sans-serif" w:hAnsi="Arial;sans-serif"/>
                  <w:b w:val="false"/>
                  <w:strike w:val="false"/>
                  <w:dstrike w:val="false"/>
                  <w:color w:val="000000"/>
                  <w:sz w:val="20"/>
                  <w:u w:val="none"/>
                  <w:effect w:val="none"/>
                </w:rPr>
                <w:t>Quantitative and Qualitative Disclosures About Market Risk</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112">
              <w:r>
                <w:rPr>
                  <w:rStyle w:val="InternetLink"/>
                  <w:rFonts w:ascii="Arial;sans-serif" w:hAnsi="Arial;sans-serif"/>
                  <w:b w:val="false"/>
                  <w:strike w:val="false"/>
                  <w:dstrike w:val="false"/>
                  <w:color w:val="000000"/>
                  <w:sz w:val="20"/>
                  <w:u w:val="none"/>
                  <w:effect w:val="none"/>
                </w:rPr>
                <w:t>31</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115">
              <w:r>
                <w:rPr>
                  <w:rStyle w:val="InternetLink"/>
                  <w:rFonts w:ascii="Arial;sans-serif" w:hAnsi="Arial;sans-serif"/>
                  <w:b w:val="false"/>
                  <w:strike w:val="false"/>
                  <w:dstrike w:val="false"/>
                  <w:color w:val="000000"/>
                  <w:sz w:val="20"/>
                  <w:u w:val="none"/>
                  <w:effect w:val="none"/>
                </w:rPr>
                <w:t>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115">
              <w:r>
                <w:rPr>
                  <w:rStyle w:val="InternetLink"/>
                  <w:rFonts w:ascii="Arial;sans-serif" w:hAnsi="Arial;sans-serif"/>
                  <w:b w:val="false"/>
                  <w:strike w:val="false"/>
                  <w:dstrike w:val="false"/>
                  <w:color w:val="000000"/>
                  <w:sz w:val="20"/>
                  <w:u w:val="none"/>
                  <w:effect w:val="none"/>
                </w:rPr>
                <w:t>31</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PART II.</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118">
              <w:r>
                <w:rPr>
                  <w:rStyle w:val="InternetLink"/>
                  <w:rFonts w:ascii="Arial;sans-serif" w:hAnsi="Arial;sans-serif"/>
                  <w:b w:val="false"/>
                  <w:strike w:val="false"/>
                  <w:dstrike w:val="false"/>
                  <w:color w:val="000000"/>
                  <w:sz w:val="20"/>
                  <w:u w:val="none"/>
                  <w:effect w:val="none"/>
                </w:rPr>
                <w:t>OTHER INFORMATION</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118">
              <w:r>
                <w:rPr>
                  <w:rStyle w:val="InternetLink"/>
                  <w:rFonts w:ascii="Arial;sans-serif" w:hAnsi="Arial;sans-serif"/>
                  <w:b w:val="false"/>
                  <w:strike w:val="false"/>
                  <w:dstrike w:val="false"/>
                  <w:color w:val="000000"/>
                  <w:sz w:val="20"/>
                  <w:u w:val="none"/>
                  <w:effect w:val="none"/>
                </w:rPr>
                <w:t>32</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121">
              <w:r>
                <w:rPr>
                  <w:rStyle w:val="InternetLink"/>
                  <w:rFonts w:ascii="Arial;sans-serif" w:hAnsi="Arial;sans-serif"/>
                  <w:b w:val="false"/>
                  <w:strike w:val="false"/>
                  <w:dstrike w:val="false"/>
                  <w:color w:val="000000"/>
                  <w:sz w:val="20"/>
                  <w:u w:val="none"/>
                  <w:effect w:val="none"/>
                </w:rPr>
                <w:t>Legal Proceedings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121">
              <w:r>
                <w:rPr>
                  <w:rStyle w:val="InternetLink"/>
                  <w:rFonts w:ascii="Arial;sans-serif" w:hAnsi="Arial;sans-serif"/>
                  <w:b w:val="false"/>
                  <w:strike w:val="false"/>
                  <w:dstrike w:val="false"/>
                  <w:color w:val="000000"/>
                  <w:sz w:val="20"/>
                  <w:u w:val="none"/>
                  <w:effect w:val="none"/>
                </w:rPr>
                <w:t>32</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124">
              <w:r>
                <w:rPr>
                  <w:rStyle w:val="InternetLink"/>
                  <w:rFonts w:ascii="Arial;sans-serif" w:hAnsi="Arial;sans-serif"/>
                  <w:b w:val="false"/>
                  <w:strike w:val="false"/>
                  <w:dstrike w:val="false"/>
                  <w:color w:val="000000"/>
                  <w:sz w:val="20"/>
                  <w:u w:val="none"/>
                  <w:effect w:val="none"/>
                </w:rPr>
                <w:t>Risk Factors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124">
              <w:r>
                <w:rPr>
                  <w:rStyle w:val="InternetLink"/>
                  <w:rFonts w:ascii="Arial;sans-serif" w:hAnsi="Arial;sans-serif"/>
                  <w:b w:val="false"/>
                  <w:strike w:val="false"/>
                  <w:dstrike w:val="false"/>
                  <w:color w:val="000000"/>
                  <w:sz w:val="20"/>
                  <w:u w:val="none"/>
                  <w:effect w:val="none"/>
                </w:rPr>
                <w:t>32</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Unregistered Sales of Equity Securities and Use of Proceeds</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127">
              <w:r>
                <w:rPr>
                  <w:rStyle w:val="InternetLink"/>
                  <w:rFonts w:ascii="Arial;sans-serif" w:hAnsi="Arial;sans-serif"/>
                  <w:b w:val="false"/>
                  <w:strike w:val="false"/>
                  <w:dstrike w:val="false"/>
                  <w:color w:val="000000"/>
                  <w:sz w:val="20"/>
                  <w:u w:val="none"/>
                  <w:effect w:val="none"/>
                </w:rPr>
                <w:t>86</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130">
              <w:r>
                <w:rPr>
                  <w:rStyle w:val="InternetLink"/>
                  <w:rFonts w:ascii="Arial;sans-serif" w:hAnsi="Arial;sans-serif"/>
                  <w:b w:val="false"/>
                  <w:strike w:val="false"/>
                  <w:dstrike w:val="false"/>
                  <w:color w:val="000000"/>
                  <w:sz w:val="20"/>
                  <w:u w:val="none"/>
                  <w:effect w:val="none"/>
                </w:rPr>
                <w:t>Defaults Upon Senior Securities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130">
              <w:r>
                <w:rPr>
                  <w:rStyle w:val="InternetLink"/>
                  <w:rFonts w:ascii="Arial;sans-serif" w:hAnsi="Arial;sans-serif"/>
                  <w:b w:val="false"/>
                  <w:strike w:val="false"/>
                  <w:dstrike w:val="false"/>
                  <w:color w:val="000000"/>
                  <w:sz w:val="20"/>
                  <w:u w:val="none"/>
                  <w:effect w:val="none"/>
                </w:rPr>
                <w:t>87</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133">
              <w:r>
                <w:rPr>
                  <w:rStyle w:val="InternetLink"/>
                  <w:rFonts w:ascii="Arial;sans-serif" w:hAnsi="Arial;sans-serif"/>
                  <w:b w:val="false"/>
                  <w:strike w:val="false"/>
                  <w:dstrike w:val="false"/>
                  <w:color w:val="000000"/>
                  <w:sz w:val="20"/>
                  <w:u w:val="none"/>
                  <w:effect w:val="none"/>
                </w:rPr>
                <w:t>Mine Safety Disclosures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133">
              <w:r>
                <w:rPr>
                  <w:rStyle w:val="InternetLink"/>
                  <w:rFonts w:ascii="Arial;sans-serif" w:hAnsi="Arial;sans-serif"/>
                  <w:b w:val="false"/>
                  <w:strike w:val="false"/>
                  <w:dstrike w:val="false"/>
                  <w:color w:val="000000"/>
                  <w:sz w:val="20"/>
                  <w:u w:val="none"/>
                  <w:effect w:val="none"/>
                </w:rPr>
                <w:t>87</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136">
              <w:r>
                <w:rPr>
                  <w:rStyle w:val="InternetLink"/>
                  <w:rFonts w:ascii="Arial;sans-serif" w:hAnsi="Arial;sans-serif"/>
                  <w:b w:val="false"/>
                  <w:strike w:val="false"/>
                  <w:dstrike w:val="false"/>
                  <w:color w:val="000000"/>
                  <w:sz w:val="20"/>
                  <w:u w:val="none"/>
                  <w:effect w:val="none"/>
                </w:rPr>
                <w:t>Other Information</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136">
              <w:r>
                <w:rPr>
                  <w:rStyle w:val="InternetLink"/>
                  <w:rFonts w:ascii="Arial;sans-serif" w:hAnsi="Arial;sans-serif"/>
                  <w:b w:val="false"/>
                  <w:strike w:val="false"/>
                  <w:dstrike w:val="false"/>
                  <w:color w:val="000000"/>
                  <w:sz w:val="20"/>
                  <w:u w:val="none"/>
                  <w:effect w:val="none"/>
                </w:rPr>
                <w:t>87</w:t>
              </w:r>
            </w:hyperlink>
          </w:p>
        </w:tc>
      </w:tr>
      <w:tr>
        <w:trPr/>
        <w:tc>
          <w:tcPr>
            <w:tcW w:w="29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6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142">
              <w:r>
                <w:rPr>
                  <w:rStyle w:val="InternetLink"/>
                  <w:rFonts w:ascii="Arial;sans-serif" w:hAnsi="Arial;sans-serif"/>
                  <w:b w:val="false"/>
                  <w:strike w:val="false"/>
                  <w:dstrike w:val="false"/>
                  <w:color w:val="000000"/>
                  <w:sz w:val="20"/>
                  <w:u w:val="none"/>
                  <w:effect w:val="none"/>
                </w:rPr>
                <w:t>Exhibits</w:t>
              </w:r>
            </w:hyperlink>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hyperlink w:anchor="i41dfa732bbde4af09b74237eb0dff4e7_142">
              <w:r>
                <w:rPr>
                  <w:rStyle w:val="InternetLink"/>
                  <w:rFonts w:ascii="Arial;sans-serif" w:hAnsi="Arial;sans-serif"/>
                  <w:b w:val="false"/>
                  <w:strike w:val="false"/>
                  <w:dstrike w:val="false"/>
                  <w:color w:val="000000"/>
                  <w:sz w:val="20"/>
                  <w:u w:val="none"/>
                  <w:effect w:val="none"/>
                </w:rPr>
                <w:t>88</w:t>
              </w:r>
            </w:hyperlink>
          </w:p>
        </w:tc>
      </w:tr>
      <w:tr>
        <w:trPr/>
        <w:tc>
          <w:tcPr>
            <w:tcW w:w="9587"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41dfa732bbde4af09b74237eb0dff4e7_145">
              <w:r>
                <w:rPr>
                  <w:rStyle w:val="InternetLink"/>
                  <w:rFonts w:ascii="Arial;sans-serif" w:hAnsi="Arial;sans-serif"/>
                  <w:b w:val="false"/>
                  <w:strike w:val="false"/>
                  <w:dstrike w:val="false"/>
                  <w:color w:val="000000"/>
                  <w:sz w:val="20"/>
                  <w:u w:val="none"/>
                  <w:effect w:val="none"/>
                </w:rPr>
                <w:t>Signature</w:t>
              </w:r>
            </w:hyperlink>
            <w:r>
              <w:rPr>
                <w:rFonts w:ascii="Arial;sans-serif" w:hAnsi="Arial;sans-serif"/>
                <w:b w:val="false"/>
                <w:color w:val="000000"/>
                <w:sz w:val="20"/>
              </w:rPr>
              <w:t>s</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within the meaning of the Private Securities Litigation Reform Act of 1995. All statements other than statements of historical facts contained in this Quarterly Report on Form 10-Q are forward-looking statements, including statements about:</w:t>
      </w:r>
    </w:p>
    <w:p>
      <w:pPr>
        <w:pStyle w:val="TextBody"/>
        <w:bidi w:val="0"/>
        <w:spacing w:before="0" w:after="0"/>
        <w:jc w:val="left"/>
        <w:rPr/>
      </w:pPr>
      <w:r>
        <w:rPr/>
      </w:r>
    </w:p>
    <w:p>
      <w:pPr>
        <w:pStyle w:val="TextBody"/>
        <w:bidi w:val="0"/>
        <w:spacing w:lineRule="auto" w:line="256" w:before="60" w:after="283"/>
        <w:ind w:left="0" w:right="0" w:hanging="360"/>
        <w:jc w:val="left"/>
        <w:rPr/>
      </w:pPr>
      <w:r>
        <w:rPr>
          <w:color w:val="000000"/>
        </w:rPr>
        <w:t>▪</w:t>
      </w:r>
      <w:r>
        <w:rPr>
          <w:rFonts w:ascii="Arial;sans-serif" w:hAnsi="Arial;sans-serif"/>
          <w:b w:val="false"/>
          <w:color w:val="000000"/>
          <w:sz w:val="20"/>
        </w:rPr>
        <w:t>the timing of announcement of data from our ongoing Phase 2 clinical trial of our lead product candidate, rinvatercept (KER-065), in patients with Duchenne muscular dystrophy;</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the timing of engagement with regulators on the planned Phase 2 clinical trial of rinvatercept in patients with amyotrophic lateral sclerosis;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plans of Takeda Pharmaceuticals U.S.A., Inc., or Takeda, related to the development of elritercept (KER-050) in patients with myelodysplastic syndromes and in patients with myelofibrosis;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risks associated with public health crises, which may adversely impact our business, preclinical studies and clinical trials;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receive the required regulatory approvals and clearances to successfully market and sell our products, if approved in the United States and certain other countries;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successfully advance our pipeline of additional product candidates;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develop sales and marketing capabilities;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the rate and degree of market acceptance of any products we are able to commercialize;</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the effects of increased competition as well as innovations by new and existing competitors in our market;</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obtain funding for our operations;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the sufficiency of our existing capital resources;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establish and maintain collaborations;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effectively manage our anticipated growth;</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maintain, protect and enhance our intellectual property rights and proprietary technologies;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operate our business without infringing the intellectual property rights and proprietary technology of third parties;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costs associated with defending intellectual property infringement, product liability and other claims;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regulatory developments in the United States, Australia, New Zealand, Europe, the United Kingdom and other foreign countries;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our ability to attract and retain qualified employees;</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statements regarding future revenue, hiring plans, expenses, capital expenditures, capital requirements and stock performance; and</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the future trading prices of our common stock and the impact of securities analysts’ reports on these prices.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You should read the section titled “Risk Factors” set forth in Part II, Item 1A of this Quarterly Report on Form 10-Q for a discussion of important factors that may cause our actual results to differ materially from those expressed or implied by our forward-looking statements. Moreover, we operate in an evolving environment. New risk factors and uncertainties may emerge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You should read this Quarterly Report on Form 10-Q completely and with the understanding that our actual future results may be materially different from what we expect. We qualify all of our forward-looking statements by these cautionary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SPECIAL NOTE REGARDING COMPANY REFERENCES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Throughout this Quarterly Report on Form 10-Q, “Keros,” the “Company,” “we,” “us” and “our” refer to Keros Therapeutics, Inc. and its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SPECIAL NOTE REGARDING TRADEMARKS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trademarks, trade names and service marks appearing in this Quarterly Report on Form 10-Q are the property of their respective owners.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SUMMARY OF SELECTED RISKS ASSOCIATED WITH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II, Item 1A of this Quarterly Report on Form 10-Q. Some of the more significant risks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have a limited operating history, have incurred net losses in almost every year since our inception and anticipate that we will continue to incur net losses in the future.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are heavily dependent on the success of our product candidates, which are in clinical development.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All of our product candidates are in preclinical or clinical development stages. Clinical trials are difficult to design and implement, and they involve a lengthy and expensive process with uncertain outcomes. We may experience delays in completing, or ultimately be unable to complete, the development and commercialization of rinvatercept (KER-065), elritercept (KER-050) or any future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we are unable to successfully commercialize any product candidate for which we receive regulatory approval, or experience significant delays in doing so, our business will be materially harmed.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face significant competition from other biotechnology and pharmaceutical companies, and our operating results will suffer if we fail to compete effectively.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success depends in part on our ability to protect our intellectual property. It is difficult and costly to protect our proprietary rights and technology, and we may not be able to ensure their protection.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rely, and expect to continue to rely, on third parties, including independent clinical investigators, contracted laboratories and contract research organizations,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are dependent on our existing third-party collaborations with Takeda Pharmaceuticals U.S.A., Inc., or Takeda, and Hansoh (Shanghai) Healthtech Co., Ltd., or Hansoh, to commercialize elritercept, and if Takeda and Hansoh are not successful in commercializing elritercept in their respective licensed territories, we will lose a significant source of potential revenue.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current and future collaborations are and will be important to our business. If we are unable to enter into new collaborations, or if these or our current collaborations are not successful, our business could be adversely affected.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Public health crises could adversely impact our business, including the timing or results of our preclinical studies and clinical trials.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KEROS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 xml:space="preserve">(In thousands, except share and per share data) </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(Unaudited)</w:t>
      </w:r>
    </w:p>
    <w:tbl>
      <w:tblPr>
        <w:tblW w:w="10205" w:type="dxa"/>
        <w:jc w:val="left"/>
        <w:tblInd w:w="0" w:type="dxa"/>
        <w:tblLayout w:type="fixed"/>
        <w:tblCellMar>
          <w:top w:w="28" w:type="dxa"/>
          <w:left w:w="28" w:type="dxa"/>
          <w:bottom w:w="28" w:type="dxa"/>
          <w:right w:w="28" w:type="dxa"/>
        </w:tblCellMar>
      </w:tblPr>
      <w:tblGrid>
        <w:gridCol w:w="2974"/>
        <w:gridCol w:w="2180"/>
        <w:gridCol w:w="2192"/>
        <w:gridCol w:w="211"/>
        <w:gridCol w:w="826"/>
        <w:gridCol w:w="109"/>
        <w:gridCol w:w="109"/>
        <w:gridCol w:w="109"/>
        <w:gridCol w:w="109"/>
        <w:gridCol w:w="216"/>
        <w:gridCol w:w="848"/>
        <w:gridCol w:w="322"/>
      </w:tblGrid>
      <w:tr>
        <w:trPr/>
        <w:tc>
          <w:tcPr>
            <w:tcW w:w="297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2025</w:t>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257,606 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287,415 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Accounts receivable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3,567 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22,202 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3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income tax receivable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315,434 </w:t>
            </w:r>
          </w:p>
        </w:tc>
        <w:tc>
          <w:tcPr>
            <w:tcW w:w="3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16,841 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4,297 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287,600 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338,021 </w:t>
            </w:r>
          </w:p>
        </w:tc>
        <w:tc>
          <w:tcPr>
            <w:tcW w:w="3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LIABILITIES AND STOCKHOLDERS' EQUITY </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1,967 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16,039 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3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20,414 </w:t>
            </w:r>
          </w:p>
        </w:tc>
        <w:tc>
          <w:tcPr>
            <w:tcW w:w="3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net of current portion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14,475 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3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34,889 </w:t>
            </w:r>
          </w:p>
        </w:tc>
        <w:tc>
          <w:tcPr>
            <w:tcW w:w="3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Preferred stock, par value of $0.0001 per share; 10,000,000 shares authorized as of June 30, 2026 and December 31, 2025; no shares issued and outstanding</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Series A junior participating preferred stock, par value of $0.0001 per share; 500,000 shares authorized as of June 30, 2026 and December 31, 2025; no shares issued and outstanding</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Common stock, par value of $0.0001 per share; 200,000,000 shares authorized as of June 30, 2026 and December 31, 2025; 40,953,948 shares issued and 19,827,188 shares outstanding as of June 30, 2026 and 40,670,466 shares issued and 19,543,706 shares outstanding as of December 31, 2025</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21,126,760 shares as of June 30, 2026 and December 31, 2025</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(384,558)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(384,558)</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1,169,451 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(481,765)</w:t>
            </w:r>
          </w:p>
        </w:tc>
        <w:tc>
          <w:tcPr>
            <w:tcW w:w="32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303,132 </w:t>
            </w:r>
          </w:p>
        </w:tc>
        <w:tc>
          <w:tcPr>
            <w:tcW w:w="3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287,600 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338,021 </w:t>
            </w:r>
          </w:p>
        </w:tc>
        <w:tc>
          <w:tcPr>
            <w:tcW w:w="3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 w:after="283"/>
        <w:jc w:val="center"/>
        <w:rPr>
          <w:rFonts w:ascii="Arial;sans-serif" w:hAnsi="Arial;sans-serif"/>
          <w:b/>
          <w:color w:val="000000"/>
          <w:sz w:val="18"/>
        </w:rPr>
      </w:pPr>
      <w:r>
        <w:rPr>
          <w:rFonts w:ascii="Arial;sans-serif" w:hAnsi="Arial;sans-serif"/>
          <w:b/>
          <w:color w:val="000000"/>
          <w:sz w:val="18"/>
        </w:rPr>
        <w:t xml:space="preserve">KEROS THERAPEUTICS, INC. </w:t>
      </w:r>
    </w:p>
    <w:p>
      <w:pPr>
        <w:pStyle w:val="TextBody"/>
        <w:bidi w:val="0"/>
        <w:spacing w:lineRule="auto" w:line="288" w:before="6" w:after="283"/>
        <w:jc w:val="center"/>
        <w:rPr>
          <w:rFonts w:ascii="Arial;sans-serif" w:hAnsi="Arial;sans-serif"/>
          <w:b/>
          <w:color w:val="000000"/>
          <w:sz w:val="18"/>
        </w:rPr>
      </w:pPr>
      <w:r>
        <w:rPr>
          <w:rFonts w:ascii="Arial;sans-serif" w:hAnsi="Arial;sans-serif"/>
          <w:b/>
          <w:color w:val="000000"/>
          <w:sz w:val="18"/>
        </w:rPr>
        <w:t xml:space="preserve">Condensed Consolidated Statements of Operations </w:t>
      </w:r>
    </w:p>
    <w:p>
      <w:pPr>
        <w:pStyle w:val="TextBody"/>
        <w:bidi w:val="0"/>
        <w:spacing w:lineRule="auto" w:line="288" w:before="6" w:after="283"/>
        <w:jc w:val="center"/>
        <w:rPr>
          <w:rFonts w:ascii="Arial;sans-serif" w:hAnsi="Arial;sans-serif"/>
          <w:b w:val="false"/>
          <w:color w:val="000000"/>
          <w:sz w:val="18"/>
        </w:rPr>
      </w:pPr>
      <w:r>
        <w:rPr>
          <w:rFonts w:ascii="Arial;sans-serif" w:hAnsi="Arial;sans-serif"/>
          <w:b w:val="false"/>
          <w:color w:val="000000"/>
          <w:sz w:val="18"/>
        </w:rPr>
        <w:t xml:space="preserve">(In thousands, except share and per share data) </w:t>
      </w:r>
    </w:p>
    <w:p>
      <w:pPr>
        <w:pStyle w:val="TextBody"/>
        <w:bidi w:val="0"/>
        <w:spacing w:lineRule="auto" w:line="288" w:before="6" w:after="283"/>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763"/>
        <w:gridCol w:w="1279"/>
        <w:gridCol w:w="1287"/>
        <w:gridCol w:w="109"/>
        <w:gridCol w:w="109"/>
        <w:gridCol w:w="109"/>
        <w:gridCol w:w="220"/>
        <w:gridCol w:w="803"/>
        <w:gridCol w:w="113"/>
        <w:gridCol w:w="113"/>
        <w:gridCol w:w="113"/>
        <w:gridCol w:w="113"/>
        <w:gridCol w:w="220"/>
        <w:gridCol w:w="803"/>
        <w:gridCol w:w="113"/>
        <w:gridCol w:w="109"/>
        <w:gridCol w:w="109"/>
        <w:gridCol w:w="109"/>
        <w:gridCol w:w="211"/>
        <w:gridCol w:w="766"/>
        <w:gridCol w:w="109"/>
        <w:gridCol w:w="109"/>
        <w:gridCol w:w="109"/>
        <w:gridCol w:w="109"/>
        <w:gridCol w:w="211"/>
        <w:gridCol w:w="826"/>
        <w:gridCol w:w="161"/>
      </w:tblGrid>
      <w:tr>
        <w:trPr/>
        <w:tc>
          <w:tcPr>
            <w:tcW w:w="176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2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3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34,059 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195,355 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18,168 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229,414 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(22,331)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(43,503)</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(92,212)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(8,606)</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(24,979)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(30,937)</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(57,985)</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(57,181)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(117,191)</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(30,937)</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(39,817)</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(56,814)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112,223 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6,899 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13,353 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(28,710)</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(32,918)</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(52,418)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125,576 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(28,710)</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(30,696)</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(52,418)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117,755 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common stockholders — basic and diluted (Note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(28,710)</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(30,696)</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(52,418)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117,755 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of common stock outstanding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19,800,322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40,612,907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19,715,585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40,586,279</w:t>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of common stock outstanding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19,800,322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40,612,907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19,715,585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41,153,758</w:t>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 of common stock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(0.76)</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 of common stock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(0.76)</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KEROS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 xml:space="preserve">(In thousands, except share and per share data) </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(Unaudited)</w:t>
      </w:r>
    </w:p>
    <w:tbl>
      <w:tblPr>
        <w:tblW w:w="12597" w:type="dxa"/>
        <w:jc w:val="center"/>
        <w:tblInd w:w="0" w:type="dxa"/>
        <w:tblLayout w:type="fixed"/>
        <w:tblCellMar>
          <w:top w:w="28" w:type="dxa"/>
          <w:left w:w="28" w:type="dxa"/>
          <w:bottom w:w="28" w:type="dxa"/>
          <w:right w:w="28" w:type="dxa"/>
        </w:tblCellMar>
      </w:tblPr>
      <w:tblGrid>
        <w:gridCol w:w="625"/>
        <w:gridCol w:w="325"/>
        <w:gridCol w:w="326"/>
        <w:gridCol w:w="109"/>
        <w:gridCol w:w="109"/>
        <w:gridCol w:w="109"/>
        <w:gridCol w:w="540"/>
        <w:gridCol w:w="541"/>
        <w:gridCol w:w="291"/>
        <w:gridCol w:w="109"/>
        <w:gridCol w:w="109"/>
        <w:gridCol w:w="109"/>
        <w:gridCol w:w="330"/>
        <w:gridCol w:w="400"/>
        <w:gridCol w:w="171"/>
        <w:gridCol w:w="109"/>
        <w:gridCol w:w="109"/>
        <w:gridCol w:w="109"/>
        <w:gridCol w:w="548"/>
        <w:gridCol w:w="548"/>
        <w:gridCol w:w="291"/>
        <w:gridCol w:w="109"/>
        <w:gridCol w:w="109"/>
        <w:gridCol w:w="109"/>
        <w:gridCol w:w="211"/>
        <w:gridCol w:w="841"/>
        <w:gridCol w:w="109"/>
        <w:gridCol w:w="211"/>
        <w:gridCol w:w="976"/>
        <w:gridCol w:w="109"/>
        <w:gridCol w:w="109"/>
        <w:gridCol w:w="109"/>
        <w:gridCol w:w="109"/>
        <w:gridCol w:w="278"/>
        <w:gridCol w:w="1109"/>
        <w:gridCol w:w="144"/>
        <w:gridCol w:w="109"/>
        <w:gridCol w:w="109"/>
        <w:gridCol w:w="109"/>
        <w:gridCol w:w="303"/>
        <w:gridCol w:w="1186"/>
        <w:gridCol w:w="222"/>
      </w:tblGrid>
      <w:tr>
        <w:trPr/>
        <w:tc>
          <w:tcPr>
            <w:tcW w:w="6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COMMON STOCK</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$0.0001 PAR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TREASURY STOCK</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TOTAL STOCKHOLDERS’ EQUITY </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875" w:type="dxa"/>
            <w:gridSpan w:val="9"/>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40,670,466 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(21,126,760)</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(384,558)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1,169,451 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(481,765)</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303,132 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common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Vesting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173,827 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6,199 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(23,708)</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(23,708)</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40,859,597 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(21,126,760)</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(384,558)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1,175,657 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(505,473)</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285,630 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common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67,000 </w:t>
            </w:r>
          </w:p>
        </w:tc>
        <w:tc>
          <w:tcPr>
            <w:tcW w:w="29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22"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Vesting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27,351 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5,377 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(28,710)</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(28,710)</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40,953,948 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(21,126,760)</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(384,558)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1,181,057 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(534,183)</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262,320 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COMMON STOCK </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$0.0001 PAR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TREASURY STOCK</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TOTAL STOCKHOLDERS’ EQUITY </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875" w:type="dxa"/>
            <w:gridSpan w:val="9"/>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40,554,705 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1,140,328 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(568,779)</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571,553 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common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148,451 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148,451 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40,562,047 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1,149,195 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(420,328)</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728,871 </w:t>
            </w:r>
          </w:p>
        </w:tc>
        <w:tc>
          <w:tcPr>
            <w:tcW w:w="2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common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53,367 </w:t>
            </w:r>
          </w:p>
        </w:tc>
        <w:tc>
          <w:tcPr>
            <w:tcW w:w="29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22"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8,542 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(30,696)</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(30,696)</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40,615,414 </w:t>
            </w:r>
          </w:p>
        </w:tc>
        <w:tc>
          <w:tcPr>
            <w:tcW w:w="2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1,157,754 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(451,024)</w:t>
            </w:r>
          </w:p>
        </w:tc>
        <w:tc>
          <w:tcPr>
            <w:tcW w:w="1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706,734 </w:t>
            </w:r>
          </w:p>
        </w:tc>
        <w:tc>
          <w:tcPr>
            <w:tcW w:w="2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KEROS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Cash Flows </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 xml:space="preserve">(In thousands) </w:t>
      </w:r>
    </w:p>
    <w:p>
      <w:pPr>
        <w:pStyle w:val="TextBody"/>
        <w:bidi w:val="0"/>
        <w:spacing w:lineRule="auto" w:line="288" w:before="0" w:after="0"/>
        <w:jc w:val="center"/>
        <w:rPr>
          <w:rFonts w:ascii="Arial;sans-serif" w:hAnsi="Arial;sans-serif"/>
          <w:b w:val="false"/>
          <w:color w:val="000000"/>
          <w:sz w:val="19"/>
        </w:rPr>
      </w:pPr>
      <w:r>
        <w:rPr>
          <w:rFonts w:ascii="Arial;sans-serif" w:hAnsi="Arial;sans-serif"/>
          <w:b w:val="false"/>
          <w:color w:val="000000"/>
          <w:sz w:val="19"/>
        </w:rPr>
        <w:t>(Unaudited)</w:t>
      </w:r>
    </w:p>
    <w:tbl>
      <w:tblPr>
        <w:tblW w:w="10163" w:type="dxa"/>
        <w:jc w:val="left"/>
        <w:tblInd w:w="0" w:type="dxa"/>
        <w:tblLayout w:type="fixed"/>
        <w:tblCellMar>
          <w:top w:w="28" w:type="dxa"/>
          <w:left w:w="28" w:type="dxa"/>
          <w:bottom w:w="28" w:type="dxa"/>
          <w:right w:w="28" w:type="dxa"/>
        </w:tblCellMar>
      </w:tblPr>
      <w:tblGrid>
        <w:gridCol w:w="2715"/>
        <w:gridCol w:w="2389"/>
        <w:gridCol w:w="2395"/>
        <w:gridCol w:w="211"/>
        <w:gridCol w:w="826"/>
        <w:gridCol w:w="109"/>
        <w:gridCol w:w="109"/>
        <w:gridCol w:w="109"/>
        <w:gridCol w:w="109"/>
        <w:gridCol w:w="211"/>
        <w:gridCol w:w="826"/>
        <w:gridCol w:w="154"/>
      </w:tblGrid>
      <w:tr>
        <w:trPr/>
        <w:tc>
          <w:tcPr>
            <w:tcW w:w="2715"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income (loss)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used in 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Depreciation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on disposal of fixed asset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Non-cash lease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Right-of-use assets and operating lease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Deferred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tax liability</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131,548 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direct expenses associated with the treasury stock repurchase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exercise of stock options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period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561,380 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end of period</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259,055 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691,664 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SUPPLEMENTAL DISCLOSURE OF CASH FLOW INFORMATION:</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taxes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purchases in accounts payable and accrued expenses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The following table provides a reconciliation of the ending cash, cash equivalents and restricted cash as of each of the periods shown above:</w:t>
      </w:r>
    </w:p>
    <w:tbl>
      <w:tblPr>
        <w:tblW w:w="6684" w:type="dxa"/>
        <w:jc w:val="left"/>
        <w:tblInd w:w="0" w:type="dxa"/>
        <w:tblLayout w:type="fixed"/>
        <w:tblCellMar>
          <w:top w:w="28" w:type="dxa"/>
          <w:left w:w="28" w:type="dxa"/>
          <w:bottom w:w="28" w:type="dxa"/>
          <w:right w:w="28" w:type="dxa"/>
        </w:tblCellMar>
      </w:tblPr>
      <w:tblGrid>
        <w:gridCol w:w="1456"/>
        <w:gridCol w:w="1279"/>
        <w:gridCol w:w="1285"/>
        <w:gridCol w:w="211"/>
        <w:gridCol w:w="826"/>
        <w:gridCol w:w="109"/>
        <w:gridCol w:w="109"/>
        <w:gridCol w:w="109"/>
        <w:gridCol w:w="109"/>
        <w:gridCol w:w="211"/>
        <w:gridCol w:w="826"/>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257,606 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690,215 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cash equivalents and restricted cash</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259,055 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691,664 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val="false"/>
          <w:color w:val="000000"/>
          <w:sz w:val="18"/>
        </w:rPr>
      </w:pPr>
      <w:r>
        <w:rPr>
          <w:rFonts w:ascii="Arial;sans-serif" w:hAnsi="Arial;sans-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KEROS THERAPEUTICS,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1. NATURE OF BUSINESS AND BASIS OF PRESENTATION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Keros Therapeutics, Inc. (“Keros” or the “Company”) was incorporated in 2015 as a Delaware corporation. Its principal offices are in Lexington, Massachusetts. The Company is a clinical-stage biopharmaceutical company focused on developing and commercializing novel therapeutics to treat a wide range of patients with disorders that are linked to dysfunctional signaling of the transforming growth factor-beta (“TGF-ß”) family of proteins.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Company's lead product candidate, rinvatercept (KER-065), is being developed for the treatment of Duchenne muscular dystrophy and for the treatment of amyotrophic lateral sclerosis. The Company’s most advanced product candidate, elritercept (KER-050), is being developed for the treatment of low blood cell counts (“cytopenias”), including anemia and thrombocytopenia, in patients with myelodysplastic syndromes (“MDS”) and in patients with myelofibrosis.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Since its inception in 2015, the Company has devoted the majority of its resources to business planning, research and development of its product candidates, including conducting clinical trials and preclinical studies, raising capital and recruiting management and technical staff to support these operations. To date, the Company has not generated any revenue from product sales as none of its product candidates have been approved for commercialization. </w:t>
      </w:r>
    </w:p>
    <w:p>
      <w:pPr>
        <w:pStyle w:val="TextBody"/>
        <w:bidi w:val="0"/>
        <w:spacing w:lineRule="auto" w:line="276" w:before="240" w:after="283"/>
        <w:jc w:val="left"/>
        <w:rPr>
          <w:rFonts w:ascii="Arial;sans-serif" w:hAnsi="Arial;sans-serif"/>
          <w:b/>
          <w:i/>
          <w:color w:val="000000"/>
          <w:sz w:val="20"/>
        </w:rPr>
      </w:pPr>
      <w:r>
        <w:rPr>
          <w:rFonts w:ascii="Arial;sans-serif" w:hAnsi="Arial;sans-serif"/>
          <w:b/>
          <w:i/>
          <w:color w:val="000000"/>
          <w:sz w:val="20"/>
        </w:rPr>
        <w:t xml:space="preserve">Liquidity and Capital Resources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condensed consolidated financial statements have been prepared on the basis of the Company continuing as a going concern for the next 12 months. Management believes that the Company’s existing cash and cash equivalents as of June 30, 2026 will allow the Company to continue its operations for at least the next 12 months. In the absence of a significant source of recurring revenue, the continued viability of the Company is dependent on its ability to continue to raise additional capital to finance its operations. If the Company is unable to obtain additional funding, the Company may be forced to delay, reduce or eliminate some or all of its research and development programs, product portfolio expansion or commercialization efforts, which could adversely affect its business prospects, or the Company may be unable to continue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accompanying unaudited interim condensed consolidated financial statements as of June 30, 2026 and for the three and six months ended June 30, 2026 and 2025 have been prepared by the Company in conformity with generally accepted accounting principles in the United States of America (“U.S. GAAP”) and, pursuant to the rules and regulations of Article 10 of Regulation S-X of the Securities Act published by the Securities and Exchange Commission (“SEC”) for interim financial statements. Certain information and footnote disclosures normally included in financial statements prepared in accordance with U.S. GAAP have been condensed or omitted pursuant to such rules and regulations. However, the Company believes the disclosures are adequate to make the information presented not misleading. These unaudited interim condensed consolidated financial statements should be read in conjunction with the Company’s audited financial statements and notes thereto for the year ended December 31, 2025 included in the Company’s Annual Report on Form 10-K for the year ended December 31, 2025 filed with the SEC on March 4, 2026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2. SUMMARY OF SIGNIFICANT ACCOUNTING POLICIES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20" w:after="240"/>
        <w:jc w:val="left"/>
        <w:rPr>
          <w:rFonts w:ascii="Arial;sans-serif" w:hAnsi="Arial;sans-serif"/>
          <w:b w:val="false"/>
          <w:color w:val="000000"/>
          <w:sz w:val="20"/>
        </w:rPr>
      </w:pPr>
      <w:r>
        <w:rPr>
          <w:rFonts w:ascii="Arial;sans-serif" w:hAnsi="Arial;sans-serif"/>
          <w:b w:val="false"/>
          <w:color w:val="000000"/>
          <w:sz w:val="20"/>
        </w:rPr>
        <w:t xml:space="preserve">The significant accounting policies and estimates used in preparation of the unaudited interim condensed consolidated financial statements are described in the Company’s audited consolidated financial statements as of and for the year ended December 31, 2025, and the notes thereto, which are included in the Annual Report. Except as detailed below, there have been no changes to the Company’s significant accounting policies during the six months ended June 30, 2026.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accounts for all stock-based awards granted to employees and non-employees as stock-based compensation expense at fair value. The Company’s stock-based awards include stock options and restricted stock unit ("RSU") awards. The measurement date for employee and non-employee awards is the date of grant. For stock-based awards that vest based on service conditions, stock-based compensation costs are recognized as expense over the requisite service period, which is the vesting period, on a straight-line basis. For stock options and RSUs with performance conditions, stock-based compensation costs are recognized as expense using the accelerated attribution method when it is probable that the performance condition will be achieved. For stock options with market-based conditions, stock-based compensation costs are recognized ratably for each vesting tranche from the grant date through the requisite service period using the correlated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date fair value, regardless of when and if ever the market condition is met. If there is a non-substantive explicit service condition, the total compensation expense is recognized upon the date of grant. Stock-based compensation expense is classified in the accompanying consolidated statement of operations based on the function to which the related services are provided. Forfeitures are recorded as they occur.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fair value of each service-based and performance-based stock option grant is estimated on the date of grant using the Black-Scholes option-pricing model. The Company calculates expected volatility based solely on the historical volatilities of the common stock of the Company.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fair value of the market-based awards is estimated using a Monte Carlo Simulation, incorporating various option pricing inputs. The effect of the market condition is reflected in the grant-date fair value with valuation techniques developed to value path-dependent options.</w:t>
      </w:r>
    </w:p>
    <w:p>
      <w:pPr>
        <w:pStyle w:val="TextBody"/>
        <w:bidi w:val="0"/>
        <w:spacing w:lineRule="auto" w:line="268" w:before="120" w:after="120"/>
        <w:jc w:val="left"/>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88" w:before="0" w:after="0"/>
        <w:jc w:val="left"/>
        <w:rPr/>
      </w:pPr>
      <w:r>
        <w:rPr>
          <w:rFonts w:ascii="Arial;sans-serif" w:hAnsi="Arial;sans-serif"/>
          <w:b w:val="false"/>
          <w:color w:val="000000"/>
          <w:sz w:val="20"/>
        </w:rPr>
        <w:t xml:space="preserve">In November 2024, the Financial Accounting Standards Board issued ASU No. 2024-03, </w:t>
      </w:r>
      <w:r>
        <w:rPr>
          <w:rFonts w:ascii="Arial;sans-serif" w:hAnsi="Arial;sans-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Arial;sans-serif" w:hAnsi="Arial;sans-serif"/>
          <w:b w:val="false"/>
          <w:color w:val="000000"/>
          <w:sz w:val="20"/>
        </w:rPr>
        <w:t>(“ASU No. 2024-03”), which intends to improve financial reporting by requiring disclosure of additional information about specific expense categories. This guidance is effective for annual reporting periods beginning after December 15, 2026 and interim reporting periods beginning after December 15, 2027. Early adoption is permitted and the guidance is to be applied prospectively and may be applied retrospectively. The Company is currently evaluating the impact of this guidance on its consolidated financial statements and related disclosures.</w:t>
      </w:r>
    </w:p>
    <w:p>
      <w:pPr>
        <w:pStyle w:val="TextBody"/>
        <w:bidi w:val="0"/>
        <w:spacing w:lineRule="auto" w:line="288" w:before="120" w:after="240"/>
        <w:jc w:val="left"/>
        <w:rPr>
          <w:rFonts w:ascii="Arial;sans-serif" w:hAnsi="Arial;sans-serif"/>
          <w:b/>
          <w:i/>
          <w:color w:val="000000"/>
          <w:sz w:val="20"/>
        </w:rPr>
      </w:pPr>
      <w:r>
        <w:rPr>
          <w:rFonts w:ascii="Arial;sans-serif" w:hAnsi="Arial;sans-serif"/>
          <w:b/>
          <w:i/>
          <w:color w:val="000000"/>
          <w:sz w:val="20"/>
        </w:rPr>
        <w:t>Risks and Uncertainties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There have been significant disruptions to global financial markets that have contributed to a general global economic slowdown. Recent trends towards rising inflation and prices may materially affect the Company’s business and corresponding financial position and cash flows. Inflationary factors, such as increases in the cost of materials and supplies relating to the Company’s preclinical studies and clinical trials, interest rates and overhead costs may adversely affect its operating results. Rising interest rates and implementation of tariffs present a recent challenge impacting the U.S. economy and could make it more difficult for the Company to obtain traditional financing on acceptable terms, if at all, in the future. Although the Company does not believe that inflation, higher interest rates or tariffs have had a material impact on its financial position or results of operations to date, the Company may experience increases in the near future (especially if inflation rates rise more quickly) on its operating costs, including its labor costs and research and development costs, due to supply chain constraints, consequences associated with public health crises and global geopolitical tensions, such as the ongoing war between Russia and Ukraine and the wars in the Middle East, worsening global macroeconomic conditions and employee availability and wage increases, which may result in additional stress on the Company’s working capital resources. As of the date of issuance of these financial statements, the Company is not aware of any specific event or circumstance that would require the Company to update its estimates, assumptions and judgments or revise the carrying value of its assets or liabilities. Actual results could differ from those estimates, and any such differences may be material to the Company’s financial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addition, the Company is subject to other challenges and risks specific to its business and its ability to execute on its business plan and strategy, as well as risks and uncertainties common to companies in the biopharmaceutical industry with research and development operations, including, without limitation, risks and uncertainties associated with: obtaining regulatory approval of its product candidates; delays or problems in obtaining clinical supply, loss of single source suppliers or failure to comply with manufacturing regulations; product development and the inherent uncertainty of clinical success; the challenges of protecting and enhancing its intellectual property rights; the challenges of complying with applicable regulatory requirements; and identifying, acquiring or in-licensing additional products or product candidates.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3. FAIR VALUE MEASUREMENTS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 presents information about the Company’s financial assets and liabilities measured at fair value on a recurring basis and indicates the level of the fair value hierarchy utilized to determine such fair values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9"/>
        <w:gridCol w:w="457"/>
        <w:gridCol w:w="458"/>
        <w:gridCol w:w="214"/>
        <w:gridCol w:w="842"/>
        <w:gridCol w:w="110"/>
        <w:gridCol w:w="109"/>
        <w:gridCol w:w="109"/>
        <w:gridCol w:w="109"/>
        <w:gridCol w:w="455"/>
        <w:gridCol w:w="1784"/>
        <w:gridCol w:w="235"/>
        <w:gridCol w:w="109"/>
        <w:gridCol w:w="109"/>
        <w:gridCol w:w="109"/>
        <w:gridCol w:w="590"/>
        <w:gridCol w:w="1135"/>
        <w:gridCol w:w="306"/>
        <w:gridCol w:w="109"/>
        <w:gridCol w:w="109"/>
        <w:gridCol w:w="109"/>
        <w:gridCol w:w="577"/>
        <w:gridCol w:w="1112"/>
        <w:gridCol w:w="430"/>
      </w:tblGrid>
      <w:tr>
        <w:trPr/>
        <w:tc>
          <w:tcPr>
            <w:tcW w:w="5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QUOTED PRICES IN ACTIVE MARKETS FOR IDENTICAL ASSETS </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SIGNIFICANT OTHER OBSERVABLE INPUTS </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SIGNIFICANT UNOBSERVABLE INPUTS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(LEVEL 3)</w:t>
            </w:r>
          </w:p>
        </w:tc>
      </w:tr>
      <w:tr>
        <w:trPr/>
        <w:tc>
          <w:tcPr>
            <w:tcW w:w="1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Assets</w:t>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248,900 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248,900 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financial assets</w:t>
            </w:r>
          </w:p>
        </w:tc>
        <w:tc>
          <w:tcPr>
            <w:tcW w:w="2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248,900 </w:t>
            </w:r>
          </w:p>
        </w:tc>
        <w:tc>
          <w:tcPr>
            <w:tcW w:w="1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248,900 </w:t>
            </w:r>
          </w:p>
        </w:tc>
        <w:tc>
          <w:tcPr>
            <w:tcW w:w="2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tbl>
      <w:tblPr>
        <w:tblW w:w="10205" w:type="dxa"/>
        <w:jc w:val="left"/>
        <w:tblInd w:w="0" w:type="dxa"/>
        <w:tblLayout w:type="fixed"/>
        <w:tblCellMar>
          <w:top w:w="28" w:type="dxa"/>
          <w:left w:w="28" w:type="dxa"/>
          <w:bottom w:w="28" w:type="dxa"/>
          <w:right w:w="28" w:type="dxa"/>
        </w:tblCellMar>
      </w:tblPr>
      <w:tblGrid>
        <w:gridCol w:w="516"/>
        <w:gridCol w:w="454"/>
        <w:gridCol w:w="455"/>
        <w:gridCol w:w="242"/>
        <w:gridCol w:w="950"/>
        <w:gridCol w:w="125"/>
        <w:gridCol w:w="109"/>
        <w:gridCol w:w="109"/>
        <w:gridCol w:w="109"/>
        <w:gridCol w:w="442"/>
        <w:gridCol w:w="1733"/>
        <w:gridCol w:w="228"/>
        <w:gridCol w:w="109"/>
        <w:gridCol w:w="109"/>
        <w:gridCol w:w="109"/>
        <w:gridCol w:w="578"/>
        <w:gridCol w:w="1112"/>
        <w:gridCol w:w="300"/>
        <w:gridCol w:w="109"/>
        <w:gridCol w:w="109"/>
        <w:gridCol w:w="109"/>
        <w:gridCol w:w="568"/>
        <w:gridCol w:w="1096"/>
        <w:gridCol w:w="425"/>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DESCRIPTION</w:t>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QUOTED PRICES IN ACTIVE MARKETS FOR IDENTICAL ASSETS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SIGNIFICANT OTHER OBSERVABLE INPUTS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SIGNIFICANT UNOBSERVABLE INPUTS </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3)</w:t>
            </w:r>
          </w:p>
        </w:tc>
      </w:tr>
      <w:tr>
        <w:trPr/>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Assets</w:t>
            </w:r>
          </w:p>
        </w:tc>
        <w:tc>
          <w:tcPr>
            <w:tcW w:w="13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270,713 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3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270,713 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financial assets</w:t>
            </w:r>
          </w:p>
        </w:tc>
        <w:tc>
          <w:tcPr>
            <w:tcW w:w="2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270,713 </w:t>
            </w:r>
          </w:p>
        </w:tc>
        <w:tc>
          <w:tcPr>
            <w:tcW w:w="1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270,713 </w:t>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0" w:after="283"/>
        <w:jc w:val="left"/>
        <w:rPr>
          <w:rFonts w:ascii="Arial;sans-serif" w:hAnsi="Arial;sans-serif"/>
          <w:b w:val="false"/>
          <w:color w:val="000000"/>
          <w:sz w:val="20"/>
        </w:rPr>
      </w:pPr>
      <w:r>
        <w:rPr>
          <w:rFonts w:ascii="Arial;sans-serif" w:hAnsi="Arial;sans-serif"/>
          <w:b w:val="false"/>
          <w:color w:val="000000"/>
          <w:sz w:val="20"/>
        </w:rPr>
        <w:t xml:space="preserve">There have been no transfers between fair value levels during the six months ended June 30, 2026. The carrying values of other current assets, accounts payable and accrued expenses approximate their fair values due to the short-term nature of these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4. PREPAID EXPENSES AND OTHER CURRENT ASSETS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Prepaid expenses and other current assets consisted of the following (in thousands): </w:t>
      </w:r>
    </w:p>
    <w:tbl>
      <w:tblPr>
        <w:tblW w:w="6796" w:type="dxa"/>
        <w:jc w:val="left"/>
        <w:tblInd w:w="0" w:type="dxa"/>
        <w:tblLayout w:type="fixed"/>
        <w:tblCellMar>
          <w:top w:w="28" w:type="dxa"/>
          <w:left w:w="28" w:type="dxa"/>
          <w:bottom w:w="28" w:type="dxa"/>
          <w:right w:w="28" w:type="dxa"/>
        </w:tblCellMar>
      </w:tblPr>
      <w:tblGrid>
        <w:gridCol w:w="1517"/>
        <w:gridCol w:w="1328"/>
        <w:gridCol w:w="1339"/>
        <w:gridCol w:w="211"/>
        <w:gridCol w:w="616"/>
        <w:gridCol w:w="109"/>
        <w:gridCol w:w="109"/>
        <w:gridCol w:w="109"/>
        <w:gridCol w:w="109"/>
        <w:gridCol w:w="262"/>
        <w:gridCol w:w="896"/>
        <w:gridCol w:w="191"/>
      </w:tblGrid>
      <w:tr>
        <w:trPr/>
        <w:tc>
          <w:tcPr>
            <w:tcW w:w="15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external R&amp;D costs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1,609 </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external manufacturing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subscriptions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dividend receivable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consultants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Refunds due from contract research organizations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prepaid expenses and other current assets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22,202 </w:t>
            </w:r>
          </w:p>
        </w:tc>
        <w:tc>
          <w:tcPr>
            <w:tcW w:w="1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5. ACCRUED EXPENSES AND OTHER CURRENT LIABILITIES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Accrued expenses and other current liabilities consisted of the following (in thousands): </w:t>
      </w:r>
    </w:p>
    <w:tbl>
      <w:tblPr>
        <w:tblW w:w="6887" w:type="dxa"/>
        <w:jc w:val="left"/>
        <w:tblInd w:w="0" w:type="dxa"/>
        <w:tblLayout w:type="fixed"/>
        <w:tblCellMar>
          <w:top w:w="28" w:type="dxa"/>
          <w:left w:w="28" w:type="dxa"/>
          <w:bottom w:w="28" w:type="dxa"/>
          <w:right w:w="28" w:type="dxa"/>
        </w:tblCellMar>
      </w:tblPr>
      <w:tblGrid>
        <w:gridCol w:w="1546"/>
        <w:gridCol w:w="1359"/>
        <w:gridCol w:w="1370"/>
        <w:gridCol w:w="211"/>
        <w:gridCol w:w="616"/>
        <w:gridCol w:w="109"/>
        <w:gridCol w:w="109"/>
        <w:gridCol w:w="109"/>
        <w:gridCol w:w="109"/>
        <w:gridCol w:w="262"/>
        <w:gridCol w:w="896"/>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external R&amp;D costs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2,662 </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external manufacturing costs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 and benefits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excise tax</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legal and consulting fees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expenses and other current liabilities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16,039 </w:t>
            </w:r>
          </w:p>
        </w:tc>
        <w:tc>
          <w:tcPr>
            <w:tcW w:w="1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Accrued compensation and benefits consisted primarily of accrued payroll and accrued vacation.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6. STOCKHOLDERS' EQUITY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June 30, 2026, the Company’s amended and restated certificate of incorporation authorized the Company to issue 200,000,000 shares of common stock at a par value of $0.0001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Stockholder Rights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April 9, 2025, the Company’s board of directors (the “Board”) declared a dividend of one right (“Right”) to purchase one-thousandth of one share of the Company’s newly designated Series A Junior Participating Preferred Stock, par value $0.0001 per share (each, a “Preferred Share” and collectively, the “Preferred Shares”), for each outstanding share of common stock to the stockholders of record as of the close of business on April 24, 2025. The Company also adopted a limited duration stockholder rights plan (the “Rights Plan”), effective immediately, as set forth in the Rights Agreement, dated as of April 9, 2025 (the “Rights Agreement”), by and between the Company and Computershare Trust Company, N.A., as Rights Agent. The Rights Agent currently serves as the Company’s transfer agent with respect to the common stock and also has been appointed transfer agent with respect to the Preferred Shares, if any, that may be issued pursuant to the exercise of rights under the Rights Agreement. The Rights expired on April 9,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Arial;sans-serif" w:hAnsi="Arial;sans-serif"/>
          <w:b/>
          <w:color w:val="000000"/>
          <w:sz w:val="20"/>
        </w:rPr>
      </w:pPr>
      <w:r>
        <w:rPr>
          <w:rFonts w:ascii="Arial;sans-serif" w:hAnsi="Arial;sans-serif"/>
          <w:b/>
          <w:color w:val="000000"/>
          <w:sz w:val="20"/>
        </w:rPr>
        <w:t>7. TREASURY STOCK</w:t>
      </w:r>
    </w:p>
    <w:p>
      <w:pPr>
        <w:pStyle w:val="TextBody"/>
        <w:bidi w:val="0"/>
        <w:spacing w:lineRule="auto" w:line="288" w:before="0" w:after="190"/>
        <w:jc w:val="left"/>
        <w:rPr>
          <w:rFonts w:ascii="Arial;sans-serif" w:hAnsi="Arial;sans-serif"/>
          <w:b w:val="false"/>
          <w:color w:val="000000"/>
          <w:sz w:val="20"/>
        </w:rPr>
      </w:pPr>
      <w:r>
        <w:rPr>
          <w:rFonts w:ascii="Arial;sans-serif" w:hAnsi="Arial;sans-serif"/>
          <w:b w:val="false"/>
          <w:color w:val="000000"/>
          <w:sz w:val="20"/>
        </w:rPr>
        <w:t xml:space="preserve">The Board may authorize the repurchase of shares of the Company’s common stock in the open market or through negotiated transactions, at such times and at such prices as management deems appropriate. </w:t>
      </w:r>
    </w:p>
    <w:p>
      <w:pPr>
        <w:pStyle w:val="TextBody"/>
        <w:bidi w:val="0"/>
        <w:spacing w:lineRule="auto" w:line="288" w:before="0" w:after="190"/>
        <w:jc w:val="left"/>
        <w:rPr>
          <w:rFonts w:ascii="Arial;sans-serif" w:hAnsi="Arial;sans-serif"/>
          <w:b w:val="false"/>
          <w:color w:val="000000"/>
          <w:sz w:val="20"/>
        </w:rPr>
      </w:pPr>
      <w:r>
        <w:rPr>
          <w:rFonts w:ascii="Arial;sans-serif" w:hAnsi="Arial;sans-serif"/>
          <w:b w:val="false"/>
          <w:color w:val="000000"/>
          <w:sz w:val="20"/>
        </w:rPr>
        <w:t>On October 15, 2025, the Company entered into stock purchase agreements with certain entities affiliated with ADAR1 Capital Management (collectively, the “ADAR1 Parties”) and certain entities affiliated with Pontifax Venture Capital (collectively, the “Pontifax Parties”). Such stock purchase agreements for each of the Pontifax and ADAR1 Parties are collectively referred to as “Repurchase Agreements”. Pursuant to the terms and conditions of the Repurchase Agreements, the ADAR1 Parties and the Pontifax Parties sold all of the shares of common stock beneficially owned by them, being an aggregate of 10,176,595 shares of common stock, to the Company at a price of $17.75 per share for an aggregate purchase price of $180.6 million, excluding excise tax, direct fees and expenses related to the repurchases. The total cost of the repurchase was recorded as treasury stock using the cost method and is included as treasury stock in the Company’s consolidated balance sheets.</w:t>
      </w:r>
    </w:p>
    <w:p>
      <w:pPr>
        <w:pStyle w:val="TextBody"/>
        <w:bidi w:val="0"/>
        <w:spacing w:lineRule="auto" w:line="288" w:before="0" w:after="190"/>
        <w:jc w:val="left"/>
        <w:rPr>
          <w:rFonts w:ascii="Arial;sans-serif" w:hAnsi="Arial;sans-serif"/>
          <w:b w:val="false"/>
          <w:color w:val="000000"/>
          <w:sz w:val="20"/>
        </w:rPr>
      </w:pPr>
      <w:r>
        <w:rPr>
          <w:rFonts w:ascii="Arial;sans-serif" w:hAnsi="Arial;sans-serif"/>
          <w:b w:val="false"/>
          <w:color w:val="000000"/>
          <w:sz w:val="20"/>
        </w:rPr>
        <w:t xml:space="preserve">On October 20, 2025, the Company commenced a tender offer to repurchase shares of its common stock at a cash purchase price of $17.75 per share (the “Tender Offer”). The Tender Offer expired at 5:00 p.m. Eastern time on November 18, 2025, and following such expiration the Company accepted for purchase a total of 10,950,165 shares, for an aggregate purchase price of approximately $194.4 million, excluding excise tax, direct fees and expenses related to the Tender Offer. More than 10,950,165 shares were tendered in the Tender Offer, and as such, shares were accepted for purchase on a pro rata basis, except for conditional tenders that were automatically regarded as withdrawn if the condition was not satisfied. The total cost of the repurchase was recorded as treasury stock using the cost method and is included as treasury stock in the accompanying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90"/>
        <w:jc w:val="left"/>
        <w:rPr>
          <w:rFonts w:ascii="Arial;sans-serif" w:hAnsi="Arial;sans-serif"/>
          <w:b w:val="false"/>
          <w:color w:val="000000"/>
          <w:sz w:val="20"/>
        </w:rPr>
      </w:pPr>
      <w:r>
        <w:rPr>
          <w:rFonts w:ascii="Arial;sans-serif" w:hAnsi="Arial;sans-serif"/>
          <w:b w:val="false"/>
          <w:color w:val="000000"/>
          <w:sz w:val="20"/>
        </w:rPr>
        <w:t xml:space="preserve">The completion of the Repurchase Agreements in October 2025 and the Tender Offer in November 2025 concluded the Company’s previously announced $375.0 million capital return program. In connection with the Repurchase Agreements and Tender Offer, the Company incurred $9.6 million in excise tax, direct fees and expenses that were included in the cost of treasury stock in the accompanying consolidated balance sheets as of December 31, 2025. For the six months ended June 30, 2026, the Company did not acquire any shares of its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8. STOCK-BASED COMPENSATION</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2017 Stock Incentive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Board adopted the 2017 Stock Incentive Plan (the "2017 Plan") in February 2017, and the stockholders approved the 2017 Plan in March 2017. The 2017 Plan was most recently amended in March 2020.</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30, 2026, there was an aggregate of 329,795 shares of common stock issuable upon the exercise of outstanding options under the 2017 Plan. Any options or awards outstanding under the 2017 Plan remain outstanding and effective.</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2020 Equity Incentive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April 2020, the 2020 Equity Incentive Plan (the "2020 Plan") became effective, and, as a result, no further awards will be made under the 2017 Plan. The 2020 Plan provides for the grant of stock options qualifying as incentive stock options, to employees and for the grant of nonstatutory stock options, restricted stock awards, RSU awards, stock appreciation rights, performance stock awards and other forms of stock compensation to employees, consultants and directors. The 2020 Plan also provides for the grant of performance cash awards to employees, consultants and directors. Any previously granted awards under the 2017 Plan will remain outstanding in accordance with their respective terms.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Under the 2020 Plan, there is an annual increase on January 1 of each year from January 1, 2021 continuing through January 1, 2030, by 4.0% of the total number of shares of common stock outstanding on December 31 of the preceding calendar year, or a lesser number of shares as may be determined by the Board. On January 1, 2026, the Company increased the number of shares available for future grant under the 2020 Plan by 781,748 shares. The awards granted under the 2020 Plan typically vest over a two- to four-year period and have a 10-year contractual term.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30, 2026, there was an aggregate of 4,130,341 shares of common stock issuable upon the exercise of outstanding options and 720,365 shares of common stock issuable upon the vesting of the outstanding RSU awards under the 2020 Plan. Additionally, there were an aggregate of 3,082,375 shares reserved for future issuance under the 2020 Plan, including shares forfeited from the 2017 Plan.</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summary of RSU award activity during the six months ended June 30, 2026 is as follows (in thousands except share and per share data):</w:t>
      </w:r>
    </w:p>
    <w:p>
      <w:pPr>
        <w:pStyle w:val="TextBody"/>
        <w:bidi w:val="0"/>
        <w:spacing w:before="120" w:after="283"/>
        <w:jc w:val="left"/>
        <w:rPr/>
      </w:pPr>
      <w:r>
        <w:rPr/>
      </w:r>
    </w:p>
    <w:tbl>
      <w:tblPr>
        <w:tblW w:w="9356" w:type="dxa"/>
        <w:jc w:val="left"/>
        <w:tblInd w:w="0" w:type="dxa"/>
        <w:tblLayout w:type="fixed"/>
        <w:tblCellMar>
          <w:top w:w="28" w:type="dxa"/>
          <w:left w:w="28" w:type="dxa"/>
          <w:bottom w:w="28" w:type="dxa"/>
          <w:right w:w="28" w:type="dxa"/>
        </w:tblCellMar>
      </w:tblPr>
      <w:tblGrid>
        <w:gridCol w:w="1552"/>
        <w:gridCol w:w="1367"/>
        <w:gridCol w:w="1371"/>
        <w:gridCol w:w="469"/>
        <w:gridCol w:w="469"/>
        <w:gridCol w:w="471"/>
        <w:gridCol w:w="109"/>
        <w:gridCol w:w="109"/>
        <w:gridCol w:w="109"/>
        <w:gridCol w:w="714"/>
        <w:gridCol w:w="2091"/>
        <w:gridCol w:w="525"/>
      </w:tblGrid>
      <w:tr>
        <w:trPr/>
        <w:tc>
          <w:tcPr>
            <w:tcW w:w="155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Grant-Date Fair Value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RSU awards as of December 31, 2025</w:t>
            </w:r>
          </w:p>
        </w:tc>
        <w:tc>
          <w:tcPr>
            <w:tcW w:w="93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716,850 </w:t>
            </w:r>
          </w:p>
        </w:tc>
        <w:tc>
          <w:tcPr>
            <w:tcW w:w="4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12.37 </w:t>
            </w:r>
          </w:p>
        </w:tc>
        <w:tc>
          <w:tcPr>
            <w:tcW w:w="5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216,365 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(201,178)</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(11,672)</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RSU awards as of June 30, 2026</w:t>
            </w:r>
          </w:p>
        </w:tc>
        <w:tc>
          <w:tcPr>
            <w:tcW w:w="93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720,365 </w:t>
            </w:r>
          </w:p>
        </w:tc>
        <w:tc>
          <w:tcPr>
            <w:tcW w:w="4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13.23 </w:t>
            </w:r>
          </w:p>
        </w:tc>
        <w:tc>
          <w:tcPr>
            <w:tcW w:w="5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Arial;sans-serif" w:hAnsi="Arial;sans-serif"/>
          <w:b w:val="false"/>
          <w:color w:val="000000"/>
          <w:sz w:val="20"/>
        </w:rPr>
        <w:t>The summary of RSU award activity includes 90,500 performance-based awards granted during the year ended December 31, 2025. As of June 30, 2026, there has been no expense recognized for the performance-based awards, for w</w:t>
      </w:r>
      <w:r>
        <w:rPr>
          <w:rFonts w:ascii="Arial;sans-serif" w:hAnsi="Arial;sans-serif"/>
          <w:b w:val="false"/>
          <w:color w:val="000000"/>
          <w:sz w:val="20"/>
          <w:shd w:fill="FFFFFF" w:val="clear"/>
        </w:rPr>
        <w:t>hich the performance criteria was not deemed probable as of June 30, 2026. As of June 30, 2026, there was approximately $7.9 million of unrecognized stock-based compensation expense related to RSU awards that is expected to vest, including $1.4 million unrecognized stock-based compensation expen</w:t>
      </w:r>
      <w:r>
        <w:rPr>
          <w:rFonts w:ascii="Arial;sans-serif" w:hAnsi="Arial;sans-serif"/>
          <w:b w:val="false"/>
          <w:color w:val="000000"/>
          <w:sz w:val="20"/>
        </w:rPr>
        <w:t>se related to performance-based awards. These costs are expected to be recognized over a weighted-average remaining vesting period of approximat</w:t>
      </w:r>
      <w:r>
        <w:rPr>
          <w:rFonts w:ascii="Arial;sans-serif" w:hAnsi="Arial;sans-serif"/>
          <w:b w:val="false"/>
          <w:color w:val="000000"/>
          <w:sz w:val="20"/>
          <w:shd w:fill="FFFFFF" w:val="clear"/>
        </w:rPr>
        <w:t xml:space="preserve">ely 1.97 years. </w:t>
      </w:r>
    </w:p>
    <w:p>
      <w:pPr>
        <w:pStyle w:val="TextBody"/>
        <w:bidi w:val="0"/>
        <w:spacing w:lineRule="auto" w:line="288" w:before="120" w:after="283"/>
        <w:jc w:val="left"/>
        <w:rPr/>
      </w:pPr>
      <w:r>
        <w:rPr>
          <w:rFonts w:ascii="Arial;sans-serif" w:hAnsi="Arial;sans-serif"/>
          <w:b w:val="false"/>
          <w:color w:val="000000"/>
          <w:sz w:val="20"/>
        </w:rPr>
        <w:t>The aggregate fair value of RSU awards that vested during the six</w:t>
      </w:r>
      <w:r>
        <w:rPr>
          <w:color w:val="000000"/>
          <w:shd w:fill="FFFFFF" w:val="clear"/>
        </w:rPr>
        <w:t xml:space="preserve"> </w:t>
      </w:r>
      <w:r>
        <w:rPr>
          <w:rFonts w:ascii="Arial;sans-serif" w:hAnsi="Arial;sans-serif"/>
          <w:b w:val="false"/>
          <w:color w:val="000000"/>
          <w:sz w:val="20"/>
          <w:shd w:fill="FFFFFF" w:val="clear"/>
        </w:rPr>
        <w:t xml:space="preserve">months ended June 30, 2026 and </w:t>
      </w:r>
      <w:r>
        <w:rPr>
          <w:rFonts w:ascii="Arial;sans-serif" w:hAnsi="Arial;sans-serif"/>
          <w:b w:val="false"/>
          <w:color w:val="000000"/>
          <w:sz w:val="20"/>
        </w:rPr>
        <w:t>2025 was $3.2 million and zero,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summary of option activity during the six months ended June 30, 2026 is as follows (in thousands except share and per share data):</w:t>
      </w:r>
    </w:p>
    <w:tbl>
      <w:tblPr>
        <w:tblW w:w="8920" w:type="dxa"/>
        <w:jc w:val="left"/>
        <w:tblInd w:w="0" w:type="dxa"/>
        <w:tblLayout w:type="fixed"/>
        <w:tblCellMar>
          <w:top w:w="28" w:type="dxa"/>
          <w:left w:w="28" w:type="dxa"/>
          <w:bottom w:w="28" w:type="dxa"/>
          <w:right w:w="28" w:type="dxa"/>
        </w:tblCellMar>
      </w:tblPr>
      <w:tblGrid>
        <w:gridCol w:w="1226"/>
        <w:gridCol w:w="1080"/>
        <w:gridCol w:w="1083"/>
        <w:gridCol w:w="634"/>
        <w:gridCol w:w="634"/>
        <w:gridCol w:w="636"/>
        <w:gridCol w:w="109"/>
        <w:gridCol w:w="109"/>
        <w:gridCol w:w="109"/>
        <w:gridCol w:w="708"/>
        <w:gridCol w:w="2071"/>
        <w:gridCol w:w="521"/>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WEIGHTED-AVERAGE EXERCISE PRICE</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as of December 31, 2025</w:t>
            </w:r>
          </w:p>
        </w:tc>
        <w:tc>
          <w:tcPr>
            <w:tcW w:w="126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3,901,706 </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38.52 </w:t>
            </w:r>
          </w:p>
        </w:tc>
        <w:tc>
          <w:tcPr>
            <w:tcW w:w="5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870,503 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(82,304)</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0.36 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Cancelled or Forfeited </w:t>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(75,625)</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58.15 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Expired</w:t>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(154,144)</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39.51 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as of June 30, 2026</w:t>
            </w:r>
          </w:p>
        </w:tc>
        <w:tc>
          <w:tcPr>
            <w:tcW w:w="126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4,460,136 </w:t>
            </w:r>
          </w:p>
        </w:tc>
        <w:tc>
          <w:tcPr>
            <w:tcW w:w="6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34.30 </w:t>
            </w:r>
          </w:p>
        </w:tc>
        <w:tc>
          <w:tcPr>
            <w:tcW w:w="5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exercisable as of June 30, 2026</w:t>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3,127,451 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36.62 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Arial;sans-serif" w:hAnsi="Arial;sans-serif"/>
          <w:b w:val="false"/>
          <w:color w:val="000000"/>
          <w:sz w:val="20"/>
        </w:rPr>
        <w:t xml:space="preserve">The weighted-average grant date fair value price per share of options granted during the six months ended June 30, 2026 </w:t>
      </w:r>
      <w:r>
        <w:rPr>
          <w:rFonts w:ascii="Arial;sans-serif" w:hAnsi="Arial;sans-serif"/>
          <w:b w:val="false"/>
          <w:color w:val="000000"/>
          <w:sz w:val="20"/>
          <w:shd w:fill="FFFFFF" w:val="clear"/>
        </w:rPr>
        <w:t xml:space="preserve">and </w:t>
      </w:r>
      <w:r>
        <w:rPr>
          <w:rFonts w:ascii="Arial;sans-serif" w:hAnsi="Arial;sans-serif"/>
          <w:b w:val="false"/>
          <w:color w:val="000000"/>
          <w:sz w:val="20"/>
        </w:rPr>
        <w:t>2025 was</w:t>
      </w:r>
      <w:r>
        <w:rPr>
          <w:color w:val="000000"/>
          <w:shd w:fill="FFFFFF" w:val="clear"/>
        </w:rPr>
        <w:t xml:space="preserve"> </w:t>
      </w:r>
      <w:r>
        <w:rPr>
          <w:rFonts w:ascii="Arial;sans-serif" w:hAnsi="Arial;sans-serif"/>
          <w:b w:val="false"/>
          <w:color w:val="000000"/>
          <w:sz w:val="20"/>
          <w:shd w:fill="FFFFFF" w:val="clear"/>
        </w:rPr>
        <w:t>$11.00 and $10.36, res</w:t>
      </w:r>
      <w:r>
        <w:rPr>
          <w:rFonts w:ascii="Arial;sans-serif" w:hAnsi="Arial;sans-serif"/>
          <w:b w:val="false"/>
          <w:color w:val="000000"/>
          <w:sz w:val="20"/>
        </w:rPr>
        <w:t>pectively. As of June 30, 2026, th</w:t>
      </w:r>
      <w:r>
        <w:rPr>
          <w:rFonts w:ascii="Arial;sans-serif" w:hAnsi="Arial;sans-serif"/>
          <w:b w:val="false"/>
          <w:color w:val="000000"/>
          <w:sz w:val="20"/>
          <w:shd w:fill="FFFFFF" w:val="clear"/>
        </w:rPr>
        <w:t>ere was $23.0 million of unrecognized stock-based compensation expense related to unvested service-based stock options and $0.2 million of unrecognized stock-based compensation expense related to performance-based and market-based stock options. The unrecognized stock-based compensation expense is estimated to be recognized over a period of 2.47 years.</w:t>
      </w:r>
    </w:p>
    <w:p>
      <w:pPr>
        <w:pStyle w:val="TextBody"/>
        <w:bidi w:val="0"/>
        <w:spacing w:lineRule="auto" w:line="288" w:before="140" w:after="283"/>
        <w:jc w:val="left"/>
        <w:rPr/>
      </w:pPr>
      <w:r>
        <w:rPr>
          <w:rFonts w:ascii="Arial;sans-serif" w:hAnsi="Arial;sans-serif"/>
          <w:b w:val="false"/>
          <w:color w:val="000000"/>
          <w:sz w:val="20"/>
        </w:rPr>
        <w:t>The summary of option activity includes 125,000 performance-based stock options, 62,500 of which were cancelled during the six months ended June 30, 2026. The options include performance-based and service-based vesting criteria. During the six months ended June 30, 2026, the Company recogniz</w:t>
      </w:r>
      <w:r>
        <w:rPr>
          <w:rFonts w:ascii="Arial;sans-serif" w:hAnsi="Arial;sans-serif"/>
          <w:b w:val="false"/>
          <w:color w:val="000000"/>
          <w:sz w:val="20"/>
          <w:shd w:fill="FFFFFF" w:val="clear"/>
        </w:rPr>
        <w:t>ed $0.2 million of stock-based compensation expense related to these performance-based options. As of June 30, 2026, there was $0.2 million o</w:t>
      </w:r>
      <w:r>
        <w:rPr>
          <w:rFonts w:ascii="Arial;sans-serif" w:hAnsi="Arial;sans-serif"/>
          <w:b w:val="false"/>
          <w:color w:val="000000"/>
          <w:sz w:val="20"/>
        </w:rPr>
        <w:t>f unrecognized stock-based compensation expense related to service-based vesting criteria that the Company expects to recognize.</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summary of option activity also includes 100,000 market-based stock options that were granted during the six months ended June 30, 2026. The Company measured the fair value of the market-based awards on the grant date using a Monte Carlo Simulation, incorporating various option pricing inputs. The weighted-average grant date fair value of the market-based awards is estimated as $10.85 per share and the total compensation expense is $1.1 million. Due to a non-substantive explicit service condition, the total compensation expense was recognized during the six months ended June 30, 2026.</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the stock options outstanding and stock options exercisable was $3.4 million and $3.4 million as of June 30, 2026, respectively. The aggregate intrinsic value of stock options exercised was $0.9 million and $0.6 million during the six months ended June 30, 2026 and 2025, respectively. </w:t>
      </w:r>
    </w:p>
    <w:p>
      <w:pPr>
        <w:pStyle w:val="TextBody"/>
        <w:bidi w:val="0"/>
        <w:spacing w:lineRule="auto" w:line="288" w:before="140" w:after="283"/>
        <w:jc w:val="left"/>
        <w:rPr>
          <w:rFonts w:ascii="Arial;sans-serif" w:hAnsi="Arial;sans-serif"/>
          <w:b/>
          <w:i/>
          <w:color w:val="000000"/>
          <w:sz w:val="20"/>
        </w:rPr>
      </w:pPr>
      <w:r>
        <w:rPr>
          <w:rFonts w:ascii="Arial;sans-serif" w:hAnsi="Arial;sans-serif"/>
          <w:b/>
          <w:i/>
          <w:color w:val="000000"/>
          <w:sz w:val="20"/>
        </w:rPr>
        <w:t xml:space="preserve">2020 Employee Stock Purchase Plan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March 2020, the Board adopted and the Company's stockholders approved the 2020 Employee Stock Purchase Plan ("ESPP"). The ESPP became effective on April 7, 2020. Under the ESPP, eligible employees can purchase shares of the Company's common stock, based on a percentage of their compensation, subject to certain limits. The purchase price per share is equal to the lower of 85% of the fair market value of the Company's common stock on the first trading day of the twenty-four month offering period, or on the applicable purchase date. Each offering under the ESPP consists of two twelve-month purchase periods.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Under the ESPP, there is an annual increase on January 1 of each year from January 1, 2021 continuing through January 1, 2030, by the lesser of (i) 1.0% of the total number of shares of common stock outstanding on December 31 of the preceding calendar year, (ii) 455,852 shares or (iii) a lesser number of shares as may be determined by the Board. On January 1, 2026, the Company increased the number of shares available for future grant under the ESPP by 195,437 shares. If purchase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granted under the ESPP terminate without having been exercised, the shares of our common stock not purchased under such purchase rights will again become available for issuance under the ESPP.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30, 2026, 11,806 shares of common stock were purchased under the ESPP. As of June 30, 2026, there was an aggregate of 1,837,039 shares reserved for future issuance under the ESPP.</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Stock-Based Compensation Expense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stock-based compensation expense recorded for employees, directors and non-employees during the three and six months ended June 30, 2026 and 2025 was as follows (in thousands):</w:t>
      </w:r>
    </w:p>
    <w:tbl>
      <w:tblPr>
        <w:tblW w:w="10025" w:type="dxa"/>
        <w:jc w:val="left"/>
        <w:tblInd w:w="0" w:type="dxa"/>
        <w:tblLayout w:type="fixed"/>
        <w:tblCellMar>
          <w:top w:w="28" w:type="dxa"/>
          <w:left w:w="28" w:type="dxa"/>
          <w:bottom w:w="28" w:type="dxa"/>
          <w:right w:w="28" w:type="dxa"/>
        </w:tblCellMar>
      </w:tblPr>
      <w:tblGrid>
        <w:gridCol w:w="1273"/>
        <w:gridCol w:w="1115"/>
        <w:gridCol w:w="1121"/>
        <w:gridCol w:w="267"/>
        <w:gridCol w:w="781"/>
        <w:gridCol w:w="138"/>
        <w:gridCol w:w="138"/>
        <w:gridCol w:w="138"/>
        <w:gridCol w:w="138"/>
        <w:gridCol w:w="267"/>
        <w:gridCol w:w="781"/>
        <w:gridCol w:w="138"/>
        <w:gridCol w:w="109"/>
        <w:gridCol w:w="109"/>
        <w:gridCol w:w="109"/>
        <w:gridCol w:w="218"/>
        <w:gridCol w:w="745"/>
        <w:gridCol w:w="112"/>
        <w:gridCol w:w="112"/>
        <w:gridCol w:w="112"/>
        <w:gridCol w:w="112"/>
        <w:gridCol w:w="218"/>
        <w:gridCol w:w="745"/>
        <w:gridCol w:w="112"/>
        <w:gridCol w:w="109"/>
        <w:gridCol w:w="109"/>
        <w:gridCol w:w="109"/>
        <w:gridCol w:w="109"/>
        <w:gridCol w:w="109"/>
        <w:gridCol w:w="109"/>
        <w:gridCol w:w="109"/>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09" w:type="dxa"/>
            <w:gridSpan w:val="3"/>
            <w:vMerge w:val="continue"/>
            <w:tcBorders/>
            <w:tcMar>
              <w:top w:w="0" w:type="dxa"/>
              <w:left w:w="0" w:type="dxa"/>
              <w:bottom w:w="0" w:type="dxa"/>
              <w:right w:w="0" w:type="dxa"/>
            </w:tcMar>
            <w:vAlign w:val="center"/>
          </w:tcPr>
          <w:p>
            <w:pPr>
              <w:pStyle w:val="Normal"/>
              <w:bidi w:val="0"/>
              <w:jc w:val="left"/>
              <w:rPr/>
            </w:pPr>
            <w:r>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2,480 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4,973 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4,767 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10,238 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2,897 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stock-based compensation expense</w:t>
            </w:r>
          </w:p>
        </w:tc>
        <w:tc>
          <w:tcPr>
            <w:tcW w:w="2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5,377 </w:t>
            </w:r>
          </w:p>
        </w:tc>
        <w:tc>
          <w:tcPr>
            <w:tcW w:w="1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8,542 </w:t>
            </w:r>
          </w:p>
        </w:tc>
        <w:tc>
          <w:tcPr>
            <w:tcW w:w="1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11,576 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17,405 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9. INCOME (LOSS) PER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Basic and diluted income (loss) per share of common stock are calculated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744"/>
        <w:gridCol w:w="1311"/>
        <w:gridCol w:w="1325"/>
        <w:gridCol w:w="230"/>
        <w:gridCol w:w="859"/>
        <w:gridCol w:w="113"/>
        <w:gridCol w:w="113"/>
        <w:gridCol w:w="113"/>
        <w:gridCol w:w="113"/>
        <w:gridCol w:w="230"/>
        <w:gridCol w:w="859"/>
        <w:gridCol w:w="113"/>
        <w:gridCol w:w="109"/>
        <w:gridCol w:w="109"/>
        <w:gridCol w:w="109"/>
        <w:gridCol w:w="240"/>
        <w:gridCol w:w="841"/>
        <w:gridCol w:w="109"/>
        <w:gridCol w:w="109"/>
        <w:gridCol w:w="109"/>
        <w:gridCol w:w="109"/>
        <w:gridCol w:w="219"/>
        <w:gridCol w:w="862"/>
        <w:gridCol w:w="157"/>
      </w:tblGrid>
      <w:tr>
        <w:trPr/>
        <w:tc>
          <w:tcPr>
            <w:tcW w:w="174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Numerator:</w:t>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common stockholders - basic and diluted</w:t>
            </w:r>
          </w:p>
        </w:tc>
        <w:tc>
          <w:tcPr>
            <w:tcW w:w="2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(28,710)</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(30,696)</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(52,418)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117,755 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w:t>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of common stock outstanding - basic</w:t>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19,800,322 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40,612,907 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19,715,585 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40,586,279 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potentially dilutive stock options</w:t>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433,710 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potentially dilutive employee stock purchase plan shares</w:t>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potentially dilutive restricted stock units</w:t>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133,769 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potentially dilutive securities</w:t>
            </w:r>
          </w:p>
        </w:tc>
        <w:tc>
          <w:tcPr>
            <w:tcW w:w="108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567,479 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of common stock outstanding used to compute diluted net loss</w:t>
            </w:r>
            <w:r>
              <w:rPr>
                <w:rFonts w:ascii="Arial;sans-serif" w:hAnsi="Arial;sans-serif"/>
                <w:b w:val="false"/>
                <w:color w:val="000000"/>
                <w:sz w:val="12"/>
              </w:rPr>
              <w:t>1</w:t>
            </w:r>
          </w:p>
        </w:tc>
        <w:tc>
          <w:tcPr>
            <w:tcW w:w="1089"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19,800,322 </w:t>
            </w:r>
          </w:p>
        </w:tc>
        <w:tc>
          <w:tcPr>
            <w:tcW w:w="1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40,612,907 </w:t>
            </w:r>
          </w:p>
        </w:tc>
        <w:tc>
          <w:tcPr>
            <w:tcW w:w="1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19,715,585 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41,153,758 </w:t>
            </w:r>
          </w:p>
        </w:tc>
        <w:tc>
          <w:tcPr>
            <w:tcW w:w="157"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 of common stock</w:t>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(0.76)</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3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(0.76)</w:t>
            </w:r>
          </w:p>
        </w:tc>
        <w:tc>
          <w:tcPr>
            <w:tcW w:w="1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57"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excluded the following from the computation of diluted net income (loss) per share attributable to common stockholders as of June 30, 2026 and 2025 because including them would have had an anti-dilutive effect:</w:t>
      </w:r>
    </w:p>
    <w:p>
      <w:pPr>
        <w:pStyle w:val="TextBody"/>
        <w:bidi w:val="0"/>
        <w:spacing w:lineRule="auto" w:line="288"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In periods where there is a net loss, zero incremental shares are included as the effect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1"/>
        <w:gridCol w:w="976"/>
        <w:gridCol w:w="984"/>
        <w:gridCol w:w="677"/>
        <w:gridCol w:w="309"/>
        <w:gridCol w:w="296"/>
        <w:gridCol w:w="296"/>
        <w:gridCol w:w="296"/>
        <w:gridCol w:w="296"/>
        <w:gridCol w:w="676"/>
        <w:gridCol w:w="309"/>
        <w:gridCol w:w="296"/>
        <w:gridCol w:w="109"/>
        <w:gridCol w:w="109"/>
        <w:gridCol w:w="109"/>
        <w:gridCol w:w="677"/>
        <w:gridCol w:w="299"/>
        <w:gridCol w:w="258"/>
        <w:gridCol w:w="258"/>
        <w:gridCol w:w="258"/>
        <w:gridCol w:w="258"/>
        <w:gridCol w:w="676"/>
        <w:gridCol w:w="300"/>
        <w:gridCol w:w="372"/>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 awards</w:t>
            </w:r>
          </w:p>
        </w:tc>
        <w:tc>
          <w:tcPr>
            <w:tcW w:w="9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277,474 </w:t>
            </w:r>
          </w:p>
        </w:tc>
        <w:tc>
          <w:tcPr>
            <w:tcW w:w="2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12,462 </w:t>
            </w:r>
          </w:p>
        </w:tc>
        <w:tc>
          <w:tcPr>
            <w:tcW w:w="2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164,024 </w:t>
            </w:r>
          </w:p>
        </w:tc>
        <w:tc>
          <w:tcPr>
            <w:tcW w:w="2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6,265 </w:t>
            </w:r>
          </w:p>
        </w:tc>
        <w:tc>
          <w:tcPr>
            <w:tcW w:w="3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to purchase common stock</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4,139,826 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4,838,595 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3,906,745 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4,865,192 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stock purchase plan shares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7,176 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29,517 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5,957 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35,628 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98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4,424,476 </w:t>
            </w:r>
          </w:p>
        </w:tc>
        <w:tc>
          <w:tcPr>
            <w:tcW w:w="2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4,880,574 </w:t>
            </w:r>
          </w:p>
        </w:tc>
        <w:tc>
          <w:tcPr>
            <w:tcW w:w="2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4,076,726 </w:t>
            </w:r>
          </w:p>
        </w:tc>
        <w:tc>
          <w:tcPr>
            <w:tcW w:w="2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4,907,085 </w:t>
            </w:r>
          </w:p>
        </w:tc>
        <w:tc>
          <w:tcPr>
            <w:tcW w:w="3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10. INCOME TAXES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calculates income taxes at each interim reporting period based on the estimated annual effective tax rate for the full year, adjusted for any discrete events which are recorded in the period they occur. Cumulative adjustments to the income tax provision are recorded in the interim reporting period in which a change in the estimated annual effective tax rate is determined. The Company’s income tax (provision) benefit and effective tax rate are presented below (income tax (provision) benefit in thousands):</w:t>
      </w:r>
    </w:p>
    <w:tbl>
      <w:tblPr>
        <w:tblW w:w="8598" w:type="dxa"/>
        <w:jc w:val="left"/>
        <w:tblInd w:w="0" w:type="dxa"/>
        <w:tblLayout w:type="fixed"/>
        <w:tblCellMar>
          <w:top w:w="28" w:type="dxa"/>
          <w:left w:w="28" w:type="dxa"/>
          <w:bottom w:w="28" w:type="dxa"/>
          <w:right w:w="28" w:type="dxa"/>
        </w:tblCellMar>
      </w:tblPr>
      <w:tblGrid>
        <w:gridCol w:w="913"/>
        <w:gridCol w:w="801"/>
        <w:gridCol w:w="806"/>
        <w:gridCol w:w="233"/>
        <w:gridCol w:w="233"/>
        <w:gridCol w:w="579"/>
        <w:gridCol w:w="233"/>
        <w:gridCol w:w="233"/>
        <w:gridCol w:w="233"/>
        <w:gridCol w:w="352"/>
        <w:gridCol w:w="264"/>
        <w:gridCol w:w="579"/>
        <w:gridCol w:w="109"/>
        <w:gridCol w:w="109"/>
        <w:gridCol w:w="109"/>
        <w:gridCol w:w="204"/>
        <w:gridCol w:w="204"/>
        <w:gridCol w:w="509"/>
        <w:gridCol w:w="204"/>
        <w:gridCol w:w="204"/>
        <w:gridCol w:w="204"/>
        <w:gridCol w:w="395"/>
        <w:gridCol w:w="295"/>
        <w:gridCol w:w="593"/>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2,222 </w:t>
            </w:r>
          </w:p>
        </w:tc>
        <w:tc>
          <w:tcPr>
            <w:tcW w:w="5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(7,821)</w:t>
            </w:r>
          </w:p>
        </w:tc>
        <w:tc>
          <w:tcPr>
            <w:tcW w:w="5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did not record any income tax provision during the six months ended June 30, 2026 as the Company was in a net loss position during the period. The income tax (provision) benefit and the effective tax rate for the three and six months ended June 30, 2025 is primarily due to taxable income during the period resulting from the Takeda Agreement, partially offset by available net operating loss and tax credit carryforwards. The Company has evaluated the positive and negative evidence bearing upon its ability to realize the deferred tax assets. Management has considered the Company’s history of cumulative net losses incurred since inception and its lack of commercialization of any products that would generate revenue from product sales and has concluded that it is more likely than not that the Company will not realize the benefits of the deferred tax assets. Accordingly, a full valuation allowance is maintained against the net deferred tax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11. COMMITMENTS AND CONTINGENCIES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Purchase Commitments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enters into agreements in the normal course of business with contract manufacturing organizations for process development, raw material purchases and manufacturing services. These contracts typically do not contain minimum purchase commitments and are generally cancellable by the Company upon written notice. Payments due upon cancellation consist of payments for services provided or expenses incurred, including noncancellable obligations of the Company’s service providers, up to the date of cancellation and, in the case of certain arrangements with contract manufacturing organizations, may include noncancellable fees. Under such agreements, the exact amounts owed by the Company in the event of termination will be based on the timing of the termination and the exact terms of the agreement. As of June 30, 2026, the Company has committed up to approximately $7.0 million under these agreements which are expected to be paid through 2028.</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Distribution of Proceeds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plans to distribute 25% of any net cash proceeds it receives on or before December 31, 2028 from the Takeda Agreement (as defined below) to its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12. REVENUE FROM CONTRACTS WITH CUSTOMERS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Hansoh License Agreement</w:t>
      </w:r>
    </w:p>
    <w:p>
      <w:pPr>
        <w:pStyle w:val="TextBody"/>
        <w:bidi w:val="0"/>
        <w:spacing w:lineRule="auto" w:line="288" w:before="120" w:after="190"/>
        <w:jc w:val="both"/>
        <w:rPr>
          <w:rFonts w:ascii="Arial;sans-serif" w:hAnsi="Arial;sans-serif"/>
          <w:b w:val="false"/>
          <w:color w:val="000000"/>
          <w:sz w:val="20"/>
        </w:rPr>
      </w:pPr>
      <w:r>
        <w:rPr>
          <w:rFonts w:ascii="Arial;sans-serif" w:hAnsi="Arial;sans-serif"/>
          <w:b w:val="false"/>
          <w:color w:val="000000"/>
          <w:sz w:val="20"/>
        </w:rPr>
        <w:t>On December 12, 2021, the Company entered into a license agreement (the “Hansoh Agreement”) with Hansoh (Shanghai) Healthtech Co., Ltd. (“Hansoh”). Under the Hansoh Agreement, the Company granted to Hansoh the exclusive right to develop, manufacture and commercialize elritercept and licensed products containing elritercept within the territories of mainland China, Hong Kong and Macau (the “Hansoh Territory”).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90"/>
        <w:jc w:val="left"/>
        <w:rPr>
          <w:rFonts w:ascii="Arial;sans-serif" w:hAnsi="Arial;sans-serif"/>
          <w:b w:val="false"/>
          <w:color w:val="000000"/>
          <w:sz w:val="20"/>
        </w:rPr>
      </w:pPr>
      <w:r>
        <w:rPr>
          <w:rFonts w:ascii="Arial;sans-serif" w:hAnsi="Arial;sans-serif"/>
          <w:b w:val="false"/>
          <w:color w:val="000000"/>
          <w:sz w:val="20"/>
        </w:rPr>
        <w:t>In connection with the Hansoh Agreement, Hansoh will purchase clinical trial supply of elritercept from the Company, and the parties will also negotiate in good faith to enter into an agreement for commercial supply prior to any anticipated commercialization in the Hansoh Territory. In addition, Hansoh will use commercially reasonable efforts to develop, obtain regulatory approval for, and commercialize licensed products in any region in the Hansoh Territory.</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Pursuant to the Hansoh Agreement, the Company received a one-time, net $18.0 million upfront license payment in January 2022. In addition to the upfront payment and development milestones achieved to date, the Company will also be eligible to receive up to an aggregate of (i) $23.5 million upon the achievement of specified development milestones and (ii) $144.0 million upon the achievement of specified net sales thresholds for all licensed products in the Hansoh Territory. If a licensed product is approved for marketing in the Hansoh Territory, the Company will be entitled to receive royalty payments based on a tiered percentage of annual net sales in each region within the Hansoh Territory, with such percentage ranging from the low double digit to high teens, subject to specified potential royalty reductions. </w:t>
      </w:r>
    </w:p>
    <w:p>
      <w:pPr>
        <w:pStyle w:val="TextBody"/>
        <w:bidi w:val="0"/>
        <w:spacing w:before="0" w:after="0"/>
        <w:jc w:val="left"/>
        <w:rPr/>
      </w:pPr>
      <w:r>
        <w:rPr/>
      </w:r>
    </w:p>
    <w:p>
      <w:pPr>
        <w:pStyle w:val="TextBody"/>
        <w:bidi w:val="0"/>
        <w:spacing w:lineRule="auto" w:line="288" w:before="0" w:after="190"/>
        <w:jc w:val="left"/>
        <w:rPr>
          <w:rFonts w:ascii="Arial;sans-serif" w:hAnsi="Arial;sans-serif"/>
          <w:b w:val="false"/>
          <w:color w:val="000000"/>
          <w:sz w:val="20"/>
        </w:rPr>
      </w:pPr>
      <w:r>
        <w:rPr>
          <w:rFonts w:ascii="Arial;sans-serif" w:hAnsi="Arial;sans-serif"/>
          <w:b w:val="false"/>
          <w:color w:val="000000"/>
          <w:sz w:val="20"/>
        </w:rPr>
        <w:t>Hansoh’s obligation to pay royalties for a given licensed product in a given region in the Hansoh Territory will begin on the date of the first commercial sale for such licensed product in such region and continue until the latest of (i) 10 years from the date of the first commercial sale for such licensed product in such region, (ii) the expiration of the last valid claim of certain licensed patents or joint patents, and (iii) expiration of regulatory exclusivity in such region. During the royalty term, neither party will directly nor indirectly commercialize a competing product in the Hansoh Territory.</w:t>
      </w:r>
    </w:p>
    <w:p>
      <w:pPr>
        <w:pStyle w:val="TextBody"/>
        <w:bidi w:val="0"/>
        <w:spacing w:lineRule="auto" w:line="288" w:before="0" w:after="190"/>
        <w:jc w:val="left"/>
        <w:rPr>
          <w:rFonts w:ascii="Arial;sans-serif" w:hAnsi="Arial;sans-serif"/>
          <w:b w:val="false"/>
          <w:color w:val="000000"/>
          <w:sz w:val="20"/>
        </w:rPr>
      </w:pPr>
      <w:r>
        <w:rPr>
          <w:rFonts w:ascii="Arial;sans-serif" w:hAnsi="Arial;sans-serif"/>
          <w:b w:val="false"/>
          <w:color w:val="000000"/>
          <w:sz w:val="20"/>
        </w:rPr>
        <w:t>The Hansoh Agreement will continue in force on a region-by-region basis until the expiration of the royalty term. Hansoh may terminate the Hansoh Agreement in its entirety for convenience, with notice. The Company may terminate the Hansoh Agreement in its entirety for a patent challenge brought by Hansoh or its affiliates or their sublicensees. Either party may terminate the Hansoh Agreement in its entirety (i) if the other party materially breaches the Hansoh Agreement and fails to cure such breach or (ii) upon the bankruptcy of the other party.</w:t>
      </w:r>
    </w:p>
    <w:p>
      <w:pPr>
        <w:pStyle w:val="TextBody"/>
        <w:bidi w:val="0"/>
        <w:spacing w:lineRule="auto" w:line="288" w:before="0" w:after="190"/>
        <w:jc w:val="left"/>
        <w:rPr>
          <w:rFonts w:ascii="Arial;sans-serif" w:hAnsi="Arial;sans-serif"/>
          <w:b w:val="false"/>
          <w:color w:val="000000"/>
          <w:sz w:val="20"/>
        </w:rPr>
      </w:pPr>
      <w:r>
        <w:rPr>
          <w:rFonts w:ascii="Arial;sans-serif" w:hAnsi="Arial;sans-serif"/>
          <w:b w:val="false"/>
          <w:color w:val="000000"/>
          <w:sz w:val="20"/>
        </w:rPr>
        <w:t>The Company evaluated the Hansoh Agreement and concluded that it was subject to ASC 606, as the Company viewed the Hansoh Agreement as a contract with a customer. As such, the Company assessed the terms of the Hansoh Agreement and identified a single performance obligation for the Company to provide Hansoh an exclusive license to develop, manufacture and commercialize elritercept and licensed products containing elritercept in the Hansoh Territory, including the underlying know-how related to such licenses. All other promised goods/services were deemed immaterial in the context of the Hansoh Agreement. Under the Hansoh Agreement, the Company recognized a one-time, upfront license fee of $20.0 million as revenue and $2.0 million in withholding tax expense during the year ended December 31, 2021. The Company received the net payment of $18.0 million during the three months ended March 31, 2022.</w:t>
      </w:r>
    </w:p>
    <w:p>
      <w:pPr>
        <w:pStyle w:val="TextBody"/>
        <w:bidi w:val="0"/>
        <w:spacing w:lineRule="auto" w:line="288" w:before="0" w:after="190"/>
        <w:jc w:val="left"/>
        <w:rPr>
          <w:rFonts w:ascii="Arial;sans-serif" w:hAnsi="Arial;sans-serif"/>
          <w:b w:val="false"/>
          <w:color w:val="000000"/>
          <w:sz w:val="20"/>
        </w:rPr>
      </w:pPr>
      <w:r>
        <w:rPr>
          <w:rFonts w:ascii="Arial;sans-serif" w:hAnsi="Arial;sans-serif"/>
          <w:b w:val="false"/>
          <w:color w:val="000000"/>
          <w:sz w:val="20"/>
        </w:rPr>
        <w:t>The Company will recognize development milestone payments as revenue at the point in time when it is determined that it is probable such milestones will be achieved as all performance obligations will have been satisfied at the point which a milestone might occur (i.e., Hansoh will have assumed all responsibility for the activities under the Hansoh Agreement). The Company will recognize royalty payments and commercial milestone payments as the associated sales of licensed products are recorded by Hansoh, as they predominantly relate to the license granted with the Hansoh Agreement. The Company did not recognize any revenue related to milestones for the three and six months ended June 30, 2026 or 2025.</w:t>
      </w:r>
    </w:p>
    <w:p>
      <w:pPr>
        <w:pStyle w:val="TextBody"/>
        <w:bidi w:val="0"/>
        <w:spacing w:lineRule="auto" w:line="268" w:before="0" w:after="190"/>
        <w:jc w:val="left"/>
        <w:rPr>
          <w:rFonts w:ascii="Arial;sans-serif" w:hAnsi="Arial;sans-serif"/>
          <w:b w:val="false"/>
          <w:color w:val="000000"/>
          <w:sz w:val="20"/>
        </w:rPr>
      </w:pPr>
      <w:r>
        <w:rPr>
          <w:rFonts w:ascii="Arial;sans-serif" w:hAnsi="Arial;sans-serif"/>
          <w:b w:val="false"/>
          <w:color w:val="000000"/>
          <w:sz w:val="20"/>
        </w:rPr>
        <w:t>In connection with the Hansoh Agreement, the Company entered into a manufacturing technology transfer agreement (the “Tech Transfer Agreement”) with Hansoh, effective in June 2023. The Tech Transfer Agreement governs the transfer to Hansoh, by the Company of all documents and information required to complete the manufacturing technology transfer. Under the Tech Transfer Agreement, Hansoh is obligated to make certain payments to the Company, at the rates set forth in the Tech Transfer Agreement, as manufacturing technology transfer services are provided over the term of the Tech Transfer Agreement. The Company did not recognize any revenue during the three and six months ended June 30, 2026. The Company recognized zero and $0.1 million of service and other revenue during the three and six months ended June 30, 2025, respectively.</w:t>
      </w:r>
    </w:p>
    <w:p>
      <w:pPr>
        <w:pStyle w:val="TextBody"/>
        <w:bidi w:val="0"/>
        <w:spacing w:lineRule="auto" w:line="268" w:before="0" w:after="190"/>
        <w:jc w:val="left"/>
        <w:rPr>
          <w:rFonts w:ascii="Arial;sans-serif" w:hAnsi="Arial;sans-serif"/>
          <w:b w:val="false"/>
          <w:color w:val="000000"/>
          <w:sz w:val="20"/>
        </w:rPr>
      </w:pPr>
      <w:r>
        <w:rPr>
          <w:rFonts w:ascii="Arial;sans-serif" w:hAnsi="Arial;sans-serif"/>
          <w:b w:val="false"/>
          <w:color w:val="000000"/>
          <w:sz w:val="20"/>
        </w:rPr>
        <w:t xml:space="preserve">In connection with the Hansoh Agreement, the Company entered into a clinical product supply agreement (the “Supply Agreement”) with Hansoh, effective February 2024. The Company evaluated the Supply Agreement and concluded that it was subject to ASC 606, as the Company viewed the Supply Agreement as a contract with a customer. As such, the Company assessed the terms of the Supply Agreement and identified a single performance obligation for the Company to supply Hansoh with clinical product supply. The Company will recognize revenue at a point in time when control transfers, which is deemed to be at the shipping point when the clinical product supply is ready for shipment. The Company recognized zero and $0.3 million of service and other revenue during the three and six months ended June 30, 2026, respectively. The Company did not recognize any revenue during the three and six months ended June 30, 2025. The Company did not have any accounts receivable due from Hansoh as of June 30, 2026 and as of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Takeda License Agreement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On December 3, 2024, the Company entered into a license agreement with Takeda Pharmaceuticals U.S.A., Inc. ("Takeda"), which became effective on January 16, 2025. Under the terms of the license agreement with Takeda (the "Takeda Agreement"), the Company granted to Takeda the exclusive right to develop, manufacture and commercialize elritercept and certain derivative compounds globally, excluding the territories of mainland China, Hong Kong and Macau (collectively, the "Takeda Territory"). Concurrent with the Takeda Agreement, the Company entered into a separate Transition Services Agreement with Takeda (“TSA”), pursuant to which the Company will provide certain transitional services to Takeda, including, but not limited to, clinical trial and manufacturing services, during the term of the TSA (the "Transition Services"). In January 2026, the initial fifteen month term of the TSA was extended for six months through October 2026. The Company will receive reimbursement of certain costs incurred by the Company in connection with providing the Transition Services. </w:t>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Pursuant to the terms of the Takeda Agreement, the Company received a $200.0 million upfront payment in February 2025. In July 2025, a one-time $10.0 million development milestone was achieved upon dosing of the first patient in the Phase 3 RENEW clinical trial of elritercept. In addition to the upfront and development milestone payments, the Company is entitled to receive up to an aggregate of (i) $80.0 million upon the achievement of specified development milestones; (ii) $280.0 million upon the achievement of specified commercial milestones; and (iii) $740.0 million upon the achievement of specified sales milestones. If a licensed product is approved for marketing in the Takeda Territory, the Company will be entitled to receive royalty payments based on tiered increments of annual net sales in the Takeda Territory, with such percentage ranging from the low double-digits to high teens, subject to specified potential royalty reductions. The Company recognized $10.0 million as revenue upon the achievement of this development milestone related to the Takeda Agreement on its consolidated statement of operations for the year ended December 31, 2025. Payment was received during the year ended December 31, 2025.</w:t>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Takeda’s obligation to pay royalties for a given licensed product in a given country in the Takeda Territory will begin on the date of the first commercial sale for such licensed product in such country and continue until the latest of (i) 10 years from the date of the first commercial sale for such licensed product in such region, (ii) the expiration of the last valid claim of certain licensed patents, and (iii) expiration of regulatory exclusivity in such region.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Takeda Agreement will continue in force until the expiration of the royalty term. Takeda may terminate the Takeda Agreement (i) in its entirety or on a country-by-country basis for convenience, with notice or (ii) if Takeda reasonably determines that the development, manufacture, and commercialization of the licensed compound or licensed product pose a safety or public health risk. The Company may terminate the Takeda Agreement in its entirety in the event that Takeda or its affiliates bring a patent challenge. Either party may terminate the Takeda Agreement in its entirety (i) if the other party materially breaches the Takeda Agreement and fails to cure such breach; or (ii) upon the bankruptcy of the other party.</w:t>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The Company assessed this arrangement in accordance with ASC 606 and concluded it is a contract with a customer as defined in ASC 606. As the Company entered into the Takeda Agreement and the TSA concurrently, they were evaluated as a single contract under ASC 606. The Company identified two performance obligations in the Takeda Agreement and TSA including the license to its intellectual property (“License and Know-How”) and the Transition Services. The Company determined that the License and Know-How were distinct from the Transition Services as Takeda is able to derive benefit from the License and Know-How upon delivery and the Transition Services do not modify the License and Know-How.</w:t>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The transaction price at contract inception included fixed consideration consisting of the upfront fee of $200.0 million. The transaction price at inception also included estimated variable consideration of $51.4 million relating to the Transition Services revenue that was not constrained. The transaction price has been allocated to the License and Know-How and the Transition Services on a relative standalone selling price basis. The Company allocated $195.4 million of the transaction price to the License and Know-How, which was recognized at a point in time, when control of the License and Know-How was transferred to Takeda on the effective date of the Takeda Agreement. The remaining $56.1 million of the transaction price was allocated to the Transition Services, which will be recognized over time as services are provided using the input method, based on costs incurred to provide the Transition Services, as the level of costs incurred over-time best reflect the transfer of services. As of December 31, 2025, the Company recognized $38.5 million of service revenue for the Transition Services and such services are substantially complete. Any remaining services to be performed pursuant to the TSA will be recognized as performed and based on rates agreed to in the TSA. The $10.0 million development milestone was recognized as license revenue upon achievement in July 2025.</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 xml:space="preserve">The remaining $80.0 million of specified development milestones, $280.0 million of specified commercial milestones and $740.0 million of specified sales milestones were considered constrained at contract inception and excluded from the transaction price since the Company could not conclude it is probable that a significant revenue reversal in the amount recognized will not occur. The sales-based milestone payments and royalties will be recognized upon occurrence based on the sales and usage-based royalty exception. The Company will reevaluate the transaction price at the end of each reporting period and will adjust the estimate of the transaction price as uncertain events are resolved or other changes in circumstances occur. The Company determined that the Takeda Agreement and TSA did not contain a significant financing component. </w:t>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 xml:space="preserve">Accounts receivable due from Takeda were zero as of June 30, 2026 and $3.6 million as of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Revenue recognized from Takeda for the three and six months ended June 30, 2026 and 2025 is as follows (in thousands):</w:t>
      </w:r>
    </w:p>
    <w:tbl>
      <w:tblPr>
        <w:tblW w:w="8284" w:type="dxa"/>
        <w:jc w:val="left"/>
        <w:tblInd w:w="0" w:type="dxa"/>
        <w:tblLayout w:type="fixed"/>
        <w:tblCellMar>
          <w:top w:w="28" w:type="dxa"/>
          <w:left w:w="28" w:type="dxa"/>
          <w:bottom w:w="28" w:type="dxa"/>
          <w:right w:w="28" w:type="dxa"/>
        </w:tblCellMar>
      </w:tblPr>
      <w:tblGrid>
        <w:gridCol w:w="835"/>
        <w:gridCol w:w="734"/>
        <w:gridCol w:w="740"/>
        <w:gridCol w:w="109"/>
        <w:gridCol w:w="109"/>
        <w:gridCol w:w="109"/>
        <w:gridCol w:w="281"/>
        <w:gridCol w:w="541"/>
        <w:gridCol w:w="145"/>
        <w:gridCol w:w="145"/>
        <w:gridCol w:w="145"/>
        <w:gridCol w:w="145"/>
        <w:gridCol w:w="281"/>
        <w:gridCol w:w="960"/>
        <w:gridCol w:w="145"/>
        <w:gridCol w:w="109"/>
        <w:gridCol w:w="109"/>
        <w:gridCol w:w="109"/>
        <w:gridCol w:w="238"/>
        <w:gridCol w:w="458"/>
        <w:gridCol w:w="123"/>
        <w:gridCol w:w="123"/>
        <w:gridCol w:w="123"/>
        <w:gridCol w:w="123"/>
        <w:gridCol w:w="238"/>
        <w:gridCol w:w="933"/>
        <w:gridCol w:w="17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195,355 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34,005 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 from Takeda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18,168 </w:t>
            </w:r>
          </w:p>
        </w:tc>
        <w:tc>
          <w:tcPr>
            <w:tcW w:w="1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229,360 </w:t>
            </w:r>
          </w:p>
        </w:tc>
        <w:tc>
          <w:tcPr>
            <w:tcW w:w="1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9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13. SEGMENT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segment revenue and significant segment expenses (in thousands)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542"/>
        <w:gridCol w:w="1283"/>
        <w:gridCol w:w="1290"/>
        <w:gridCol w:w="471"/>
        <w:gridCol w:w="309"/>
        <w:gridCol w:w="262"/>
        <w:gridCol w:w="262"/>
        <w:gridCol w:w="262"/>
        <w:gridCol w:w="262"/>
        <w:gridCol w:w="500"/>
        <w:gridCol w:w="292"/>
        <w:gridCol w:w="262"/>
        <w:gridCol w:w="109"/>
        <w:gridCol w:w="109"/>
        <w:gridCol w:w="109"/>
        <w:gridCol w:w="450"/>
        <w:gridCol w:w="331"/>
        <w:gridCol w:w="231"/>
        <w:gridCol w:w="231"/>
        <w:gridCol w:w="231"/>
        <w:gridCol w:w="231"/>
        <w:gridCol w:w="573"/>
        <w:gridCol w:w="265"/>
        <w:gridCol w:w="338"/>
      </w:tblGrid>
      <w:tr>
        <w:trPr/>
        <w:tc>
          <w:tcPr>
            <w:tcW w:w="154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4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11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revenue</w:t>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18,168 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229,414 </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Rinvatercept program expenses</w:t>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(4,101)</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(6,751)</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(2,948)</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Elritercept program expenses</w:t>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(15,636)</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(34,531)</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Cibotercept program expenses</w:t>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(4,059)</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(9,967)</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Preclinical &amp; development expenses</w:t>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(6,111)</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(1,981)</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(8,117)</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(3,725)</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costs (excluding stock based compensation)</w:t>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(7,725)</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(13,842)</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(15,915)</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(27,619)</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external costs</w:t>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(6,874)</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(11,737)</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(13,921)</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(19,533)</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segment items</w:t>
            </w:r>
            <w:r>
              <w:rPr>
                <w:rFonts w:ascii="Arial;sans-serif" w:hAnsi="Arial;sans-serif"/>
                <w:b w:val="false"/>
                <w:color w:val="000000"/>
                <w:sz w:val="12"/>
              </w:rPr>
              <w:t>2</w:t>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(3,618)</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(8,121)</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(13,336)</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78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(28,710)</w:t>
            </w:r>
          </w:p>
        </w:tc>
        <w:tc>
          <w:tcPr>
            <w:tcW w:w="2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(30,696)</w:t>
            </w:r>
          </w:p>
        </w:tc>
        <w:tc>
          <w:tcPr>
            <w:tcW w:w="2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(52,418)</w:t>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117,755 </w:t>
            </w:r>
          </w:p>
        </w:tc>
        <w:tc>
          <w:tcPr>
            <w:tcW w:w="3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manages operations on a consolidated basis as a single reportable and single operating segment focused on developing novel therapeutics. Segment revenue above is 100 percent attributed to the Company’s agreements with Takeda and Hansoh and is equal to consolidated total revenue. All revenues are derived in the United States where the agreements originated. The Company manages expenses on a program level. The significant expense categories outlined above align with the segment-level information that is regularly provided to the chief operating decision maker (“CODM”) to allocate resources, assess performance of the reportable segment, and make key operating decisions. On a quarterly basis, the Company's CODM, who is its Chief Executive Officer, reviews financial information, including consolidated net income, clinical expenses by program, other company expenses and a long-range cash flow projection, to make resource decisions for the Company’s programs to achieve the approved corporate goals. No segment asset information is provided above as the CODM is focused on how expenses impact ending cash by period and overall cash runway. Any review of segment assets, which would focus on cash and cash equivalents, would be at the same level as the consolidated balance sheet. All long-lived assets are held in the United States.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14. CORPORATE RESTRUCTURING</w:t>
      </w:r>
    </w:p>
    <w:p>
      <w:pPr>
        <w:pStyle w:val="TextBody"/>
        <w:bidi w:val="0"/>
        <w:spacing w:lineRule="auto" w:line="276" w:before="120" w:after="283"/>
        <w:jc w:val="left"/>
        <w:rPr>
          <w:rFonts w:ascii="Arial;sans-serif" w:hAnsi="Arial;sans-serif"/>
          <w:b w:val="false"/>
          <w:color w:val="000000"/>
          <w:sz w:val="20"/>
        </w:rPr>
      </w:pPr>
      <w:r>
        <w:rPr>
          <w:rFonts w:ascii="Arial;sans-serif" w:hAnsi="Arial;sans-serif"/>
          <w:b w:val="false"/>
          <w:color w:val="000000"/>
          <w:sz w:val="20"/>
        </w:rPr>
        <w:t xml:space="preserve">In May 2025, the Board formally approved a plan to reduce the overall workforce by approximately 45% (the "2025 Restructuring"). In connection with the 2025 Restructuring, the Company incurred one-time employee termination benefits, including severance, retention and benefits costs. The total costs associated with the 2025 Restructuring was $3.1 million, including severance, retention and benefits costs, of which $2.5 million and $0.5 million were recognized as part of total research and development and general and administrative expenses, respectively, during the year ended December 31, 2025. </w:t>
      </w:r>
    </w:p>
    <w:p>
      <w:pPr>
        <w:pStyle w:val="TextBody"/>
        <w:bidi w:val="0"/>
        <w:spacing w:lineRule="auto" w:line="288" w:before="0" w:after="0"/>
        <w:jc w:val="left"/>
        <w:rPr/>
      </w:pP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Other segment items include other expense, income tax provision, bank fees, depreciation expense, dividend income and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jc w:val="left"/>
        <w:rPr>
          <w:rFonts w:ascii="Arial;sans-serif" w:hAnsi="Arial;sans-serif"/>
          <w:b w:val="false"/>
          <w:color w:val="000000"/>
          <w:sz w:val="20"/>
        </w:rPr>
      </w:pPr>
      <w:r>
        <w:rPr>
          <w:rFonts w:ascii="Arial;sans-serif" w:hAnsi="Arial;sans-serif"/>
          <w:b w:val="false"/>
          <w:color w:val="000000"/>
          <w:sz w:val="20"/>
        </w:rPr>
        <w:t>All costs have been incurred under the Company’s single reportable segment. The 2025 Restructuring was complete as of December 31, 2025.</w:t>
      </w:r>
    </w:p>
    <w:p>
      <w:pPr>
        <w:pStyle w:val="TextBody"/>
        <w:bidi w:val="0"/>
        <w:spacing w:lineRule="auto" w:line="268" w:before="120" w:after="190"/>
        <w:jc w:val="left"/>
        <w:rPr>
          <w:rFonts w:ascii="Arial;sans-serif" w:hAnsi="Arial;sans-serif"/>
          <w:b w:val="false"/>
          <w:color w:val="000000"/>
          <w:sz w:val="20"/>
        </w:rPr>
      </w:pPr>
      <w:r>
        <w:rPr>
          <w:rFonts w:ascii="Arial;sans-serif" w:hAnsi="Arial;sans-serif"/>
          <w:b w:val="false"/>
          <w:color w:val="000000"/>
          <w:sz w:val="20"/>
        </w:rPr>
        <w:t>Accrued compensation and benefits costs as of June 30, 2026 is as follows (in thousands):</w:t>
      </w:r>
    </w:p>
    <w:tbl>
      <w:tblPr>
        <w:tblW w:w="5714" w:type="dxa"/>
        <w:jc w:val="left"/>
        <w:tblInd w:w="0" w:type="dxa"/>
        <w:tblLayout w:type="fixed"/>
        <w:tblCellMar>
          <w:top w:w="28" w:type="dxa"/>
          <w:left w:w="28" w:type="dxa"/>
          <w:bottom w:w="28" w:type="dxa"/>
          <w:right w:w="28" w:type="dxa"/>
        </w:tblCellMar>
      </w:tblPr>
      <w:tblGrid>
        <w:gridCol w:w="1047"/>
        <w:gridCol w:w="922"/>
        <w:gridCol w:w="925"/>
        <w:gridCol w:w="826"/>
        <w:gridCol w:w="826"/>
        <w:gridCol w:w="1168"/>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RESTRUCTURING LIABILITY</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December 31, 2025</w:t>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 incurred</w:t>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payments</w:t>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165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15. SUBSEQUENT EVENTS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Takeda License Agreement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Under the terms of the Takeda Agreement, the Company is eligible to receive development, commercial and sales milestones with the potential to exceed $1.1 billion. In July 2026, a $20.0 million development milestone was achieved upon the dosing of the first patient in the open-label, randomized Phase 3 ELRiSE MDS clinical trial evaluating the efficacy and safety of elritercept versus epoetin alfa for the treatment of anemia due to very low, low, or intermediate risk MDS. The Company expects to distribute 25% of the net cash proceeds from this milestone payment to its stockholders following receipt of the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You should read the following discussion and analysis of our financial condition and results of operations together with (1) our unaudited interim condensed consolidated financial statements and the related notes and other financial information included elsewhere in this Quarterly Report on Form 10-Q and (2) the audited consolidated financial statements and the related notes and management’s discussion and analysis of financial condition and results of operations for the fiscal year ended December 31, 2025 included in our Annual Report on Form 10-K for the year ended December 31, 2025, and filed with the Securities and Exchange Commission, or SEC, on March 4, 2026, which we refer to as the Annual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 You should carefully read the section titled “Risk Factors” set forth in Part II, Item 1A of this Quarterly Report on Form 10-Q to gain an understanding of the important factors that could cause actual results to differ materially from our forward-looking statements. Please also see the section entitled “Special Note Regarding Forward-Looking Statements.” You should, therefore, not rely on these forward-looking statements as representing our views as of any date subsequent to the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a clinical-stage biopharmaceutical company focused on developing and commercializing novel therapeutics to treat a wide range of patients with disorders that are linked to dysfunctional signaling of the transforming growth factor-beta, or TGF-ß, family of proteins. We are a leader in understanding the role of the TGF-ß family of proteins, which are master regulators of the growth, repair and maintenance of a number of tissues, including skeletal muscle, bone, adipose, heart tissue and blood. By leveraging this understanding, we have discovered and are developing protein therapeutics that have the potential to provide meaningful and potentially disease-modifying benefit to patients.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lead product candidate, rinvatercept (KER-065), is designed to bind to and inhibit TGF-ß ligands, including myostatin (GDF8) and activin A, which are negative regulators of muscle and bone mass and strength. Through inhibition of these TGF-ß ligands, we believe that rinvatercept has the potential to increase skeletal muscle regeneration, increase muscle size and strength, reduce body fat, reduce fibrosis of the skeletal muscle and increase bone strength. We are developing rinvatercept for the treatment of Duchenne muscular dystrophy, or DMD, and for the treatment of amyotrophic lateral sclerosis, or ALS. Glucocorticoids, the standard of care in DMD, can have significant side effects when used long-term, including catabolism of muscle, increased fat and accelerated bone loss. In March 2025, we announced initial topline results from the Phase 1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trial of rinvatercept in healthy adult male volunteers. We have initiated a Phase 2 clinical trial of rinvatercept in patients with DMD, and expect to announce initial data from this trial in the first half of 2027. We also plan to engage regulators on the design of a Phase 2 clinical trial of rinvatercept in patients with ALS in the second half of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most advanced product candidate, elritercept (KER-050), is an engineered ligand trap comprised of a modified ligand-binding domain of the TGF-ß receptor known as activin receptor type IIA, or ActRIIA, that is fused to the portion of the human antibody known as the Fc domain. Elritercept is being developed for the treatment of low blood cell counts, or cytopenias, including anemia and thrombocytopenia, in patients with myelodysplastic syndromes, or MDS, and in patients with myelofibrosis. In December 2024, we entered into an exclusive license agreement with Takeda Pharmaceuticals U.S.A., Inc., or Takeda, to further develop, manufacture and commercialize elritercept worldwide outside of mainland China, Hong Kong and Macau, which became effective on January 16, 2025. Elritercept is designed to increase red blood cell and platelet production by inhibiting the signaling of a subset of the TGF-ß family of proteins to promote hematopoiesis. We believe elritercept has the potential to provide benefit to patients suffering from red blood cell and platelet differentiation and maturation defects occurring across the spectrum from early through terminal stages of hematopoiesis, and consequently may be effective for many patients that have limited treatment options or are refractory to available therapies. In July 2025, we announced that the first patient was dosed in the placebo-controlled Phase 3 RENEW clinical trial in patients with very low-, low-, or intermediate-risk MDS, which we refer to as lower-risk MDS. The dosing of the first patient triggered a $10 million milestone payment to us under the license agreement with Takeda. In July 2026, we announced that the first patient was dosed in the open-label, randomized Phase 3 ELRiSE MDS clinical trial evaluating the efficacy and safety of elritercept versus epoetin alfa for the treatment of anemia due to very low, low, or intermediate risk MDS. The dosing of the first patient triggered a $20 million milestone payment payable to us under the license agreement with Takeda. We expect to distribute 25% of the net cash proceeds from this milestone payment to our stockholders following receipt of the payment.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Since our inception in 2015, we have devoted the majority of our efforts to business planning, research and development of our product candidates, including by conducting clinical trials and preclinical studies, raising capital and recruiting management and technical staff to support these operations. To date, we have not generated any revenue from product sales as none of our product candidates have been approved for commercialization. We have historically financed our operations primarily through the sale of convertible preferred stock, common stock and cash received from licensing agreements.</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ATM Sales Agreement</w:t>
      </w:r>
    </w:p>
    <w:p>
      <w:pPr>
        <w:pStyle w:val="TextBody"/>
        <w:bidi w:val="0"/>
        <w:spacing w:lineRule="auto" w:line="288" w:before="0" w:after="0"/>
        <w:jc w:val="left"/>
        <w:rPr/>
      </w:pPr>
      <w:r>
        <w:rPr>
          <w:rFonts w:ascii="Arial;sans-serif" w:hAnsi="Arial;sans-serif"/>
          <w:b w:val="false"/>
          <w:color w:val="000000"/>
          <w:sz w:val="20"/>
          <w:shd w:fill="FFFFFF" w:val="clear"/>
        </w:rPr>
        <w:t xml:space="preserve">In December 2022, we filed a prospectus supplement </w:t>
      </w:r>
      <w:r>
        <w:rPr>
          <w:rFonts w:ascii="Arial;sans-serif" w:hAnsi="Arial;sans-serif"/>
          <w:b w:val="false"/>
          <w:color w:val="000000"/>
          <w:sz w:val="20"/>
        </w:rPr>
        <w:t>to our registration statement on Form S-3ASR with the Securities and Exchange Commission, or the SEC, for the issuance and sale, if any, of up to</w:t>
      </w:r>
      <w:r>
        <w:rPr>
          <w:color w:val="000000"/>
          <w:shd w:fill="FFFFFF" w:val="clear"/>
        </w:rPr>
        <w:t xml:space="preserve"> </w:t>
      </w:r>
      <w:r>
        <w:rPr>
          <w:rFonts w:ascii="Arial;sans-serif" w:hAnsi="Arial;sans-serif"/>
          <w:b w:val="false"/>
          <w:color w:val="000000"/>
          <w:sz w:val="20"/>
        </w:rPr>
        <w:t>$250.0 million</w:t>
      </w:r>
      <w:r>
        <w:rPr>
          <w:color w:val="000000"/>
          <w:shd w:fill="FFFFFF" w:val="clear"/>
        </w:rPr>
        <w:t xml:space="preserve"> </w:t>
      </w:r>
      <w:r>
        <w:rPr>
          <w:rFonts w:ascii="Arial;sans-serif" w:hAnsi="Arial;sans-serif"/>
          <w:b w:val="false"/>
          <w:color w:val="000000"/>
          <w:sz w:val="20"/>
        </w:rPr>
        <w:t>of shares of our common stock pursuant to a sales agreement with Leerink Partners LLC, or Leerink, as sales agent, which we refer to as the ATM Sales Agreement, under which we may offer and sell, from time to time, shares of our common stock, or the ATM Shares, through Leerink, which we refer to as the ATM Offering.</w:t>
      </w:r>
      <w:r>
        <w:rPr>
          <w:color w:val="000000"/>
          <w:shd w:fill="FFFFFF" w:val="clear"/>
        </w:rPr>
        <w:t xml:space="preserve"> </w:t>
      </w:r>
      <w:r>
        <w:rPr>
          <w:rFonts w:ascii="Arial;sans-serif" w:hAnsi="Arial;sans-serif"/>
          <w:b w:val="false"/>
          <w:color w:val="000000"/>
          <w:sz w:val="20"/>
          <w:shd w:fill="FFFFFF" w:val="clear"/>
        </w:rPr>
        <w:t xml:space="preserve">In May 2024, we filed a new registration statement on Form S-3ASR, which we refer to as the New Shelf Registration Statement, to replace the prior shelf registration statement that was set to expire, including a base prospectus, which became effective immediately upon filing, under which we could issue an unspecified amount of shares of our common stock, preferred stock, debt securities and warrants. In June 2024, we filed a prospectus supplement to the New Shelf Registration Statement for the issuance and sale, if any, of up to an additional </w:t>
      </w:r>
      <w:r>
        <w:rPr>
          <w:rFonts w:ascii="Arial;sans-serif" w:hAnsi="Arial;sans-serif"/>
          <w:b w:val="false"/>
          <w:color w:val="000000"/>
          <w:sz w:val="20"/>
        </w:rPr>
        <w:t>$350.0 million</w:t>
      </w:r>
      <w:r>
        <w:rPr>
          <w:color w:val="000000"/>
          <w:shd w:fill="FFFFFF" w:val="clear"/>
        </w:rPr>
        <w:t xml:space="preserve"> </w:t>
      </w:r>
      <w:r>
        <w:rPr>
          <w:rFonts w:ascii="Arial;sans-serif" w:hAnsi="Arial;sans-serif"/>
          <w:b w:val="false"/>
          <w:color w:val="000000"/>
          <w:sz w:val="20"/>
          <w:shd w:fill="FFFFFF" w:val="clear"/>
        </w:rPr>
        <w:t>of shares of our common stock under the ATM Sales Agreemen</w:t>
      </w:r>
      <w:r>
        <w:rPr>
          <w:rFonts w:ascii="Arial;sans-serif" w:hAnsi="Arial;sans-serif"/>
          <w:b w:val="false"/>
          <w:color w:val="000000"/>
          <w:sz w:val="20"/>
        </w:rPr>
        <w:t xml:space="preserve">t. As of the filing of our Annual Report on Form 10-K for the year ended December 31, 2024, we no longer qualified as a well-known seasoned issuer and therefore were not eligible to use the New Shelf Registration Statement as an automatic shelf registration statement, and no shares were sold during the six months ended </w:t>
      </w:r>
      <w:r>
        <w:rPr>
          <w:rFonts w:ascii="Arial;sans-serif" w:hAnsi="Arial;sans-serif"/>
          <w:b w:val="false"/>
          <w:color w:val="000000"/>
          <w:sz w:val="20"/>
          <w:shd w:fill="FFFFFF" w:val="clear"/>
        </w:rPr>
        <w:t>June 30, 2026</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Under the ATM Sales Agreement, Leerink may sell the ATM Shares by methods deemed to be an “at-the-market offering” as defined in Rule 415(a)(4) promulgated under the Securities Exchange Act of 1934, as amended. We may sell the ATM Shares in amounts and at times to be determined by us from time to time subject to the terms and conditions of the ATM Sales Agreement, but we have no obligation to sell any of the ATM Shares in the ATM Offering. As of June 30, 2026, we have sold a total of </w:t>
      </w:r>
      <w:r>
        <w:rPr>
          <w:rFonts w:ascii="Arial;sans-serif" w:hAnsi="Arial;sans-serif"/>
          <w:b w:val="false"/>
          <w:color w:val="000000"/>
          <w:sz w:val="20"/>
        </w:rPr>
        <w:t>4,290,096</w:t>
      </w:r>
      <w:r>
        <w:rPr>
          <w:color w:val="000000"/>
          <w:shd w:fill="FFFFFF" w:val="clear"/>
        </w:rPr>
        <w:t xml:space="preserve"> </w:t>
      </w:r>
      <w:r>
        <w:rPr>
          <w:rFonts w:ascii="Arial;sans-serif" w:hAnsi="Arial;sans-serif"/>
          <w:b w:val="false"/>
          <w:color w:val="000000"/>
          <w:sz w:val="20"/>
          <w:shd w:fill="FFFFFF" w:val="clear"/>
        </w:rPr>
        <w:t xml:space="preserve">shares of our common stock pursuant to the ATM Offering for aggregate net proceeds of approximately </w:t>
      </w:r>
      <w:r>
        <w:rPr>
          <w:rFonts w:ascii="Arial;sans-serif" w:hAnsi="Arial;sans-serif"/>
          <w:b w:val="false"/>
          <w:color w:val="000000"/>
          <w:sz w:val="20"/>
        </w:rPr>
        <w:t>$228.6 million</w:t>
      </w:r>
      <w:r>
        <w:rPr>
          <w:color w:val="000000"/>
          <w:shd w:fill="FFFFFF" w:val="clear"/>
        </w:rPr>
        <w:t xml:space="preserve"> </w:t>
      </w:r>
      <w:r>
        <w:rPr>
          <w:rFonts w:ascii="Arial;sans-serif" w:hAnsi="Arial;sans-serif"/>
          <w:b w:val="false"/>
          <w:color w:val="000000"/>
          <w:sz w:val="20"/>
          <w:shd w:fill="FFFFFF" w:val="clear"/>
        </w:rPr>
        <w:t>after deducting sales agent commissions and estimated offering expenses. As of June 30, 2026, we may not offer and sell any ATM shares.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October 2025 Share Repurchases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October 15, 2025, we entered into the Repurchase Agreements with the ADAR1 Parties and the Pontifax Parties. Pursuant to the terms and conditions of the Repurchase Agreements, the ADAR1 Parties and the Pontifax Parties sold all of the shares of our common stock beneficially owned by them, being an aggregate of 10,176,595 shares of common stock, to us at a per share purchase price of $17.75 per share, for an aggregate purchase price of $180.6 million. In addition, concurrently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execution of the Pontifax Repurchase Agreement, each of Tomer Kariv and Ran Nussbaum resigned from our board of directors and all committees thereof.</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the Repurchase Agreements, each of the ADAR1 Parties and the Pontifax Parties agreed to customary standstill restrictions and voting commitments, which will remain in effect until immediately following the final certification of the voting results for our 2028 annual stockholder meeting. We and each of the ADAR1 Parties and the Pontifax Parties also agreed to customary mutual non-disparagement obligations to remain in effect during the same period.</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November 2025 Issuer Tender Offer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October 20, 2025, we announced that our board of directors authorized the Tender Offer, which we launched on October 20, 2025 and completed on November 21, 2025.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November 20, 2025, we disclosed that a total of 17,712,262 shares of our common stock were validly tendered and not validly withdrawn. In accordance with the terms and conditions of the Tender Offer, we accepted for purchase a total of 10,950,165 Tender Offer Shares at a purchase price of $17.75 per share, for an aggregate purchase price of approximately $194.4 million. As a result of the Tender Offer, we had 19,543,706 shares of common stock outstanding immediately following the closing of the Tender Offer.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We have incurred recurring operating losses each fiscal year through December 31, 2024. Our net income for the year ended December 31, 2025 was primarily driven by revenue related to the Takeda Agreement. Our ability to generate product revenue sufficient to achieve profitability will depend on the successful development and commercialization of one or more of our product candidates. Our net loss was $28.7 million and </w:t>
      </w:r>
      <w:r>
        <w:rPr>
          <w:rFonts w:ascii="Arial;sans-serif" w:hAnsi="Arial;sans-serif"/>
          <w:b w:val="false"/>
          <w:color w:val="000000"/>
          <w:sz w:val="20"/>
        </w:rPr>
        <w:t xml:space="preserve">$52.4 million </w:t>
      </w:r>
      <w:r>
        <w:rPr>
          <w:rFonts w:ascii="Arial;sans-serif" w:hAnsi="Arial;sans-serif"/>
          <w:b w:val="false"/>
          <w:color w:val="000000"/>
          <w:sz w:val="20"/>
          <w:shd w:fill="FFFFFF" w:val="clear"/>
        </w:rPr>
        <w:t xml:space="preserve">for the </w:t>
      </w:r>
      <w:r>
        <w:rPr>
          <w:rFonts w:ascii="Arial;sans-serif" w:hAnsi="Arial;sans-serif"/>
          <w:b w:val="false"/>
          <w:color w:val="000000"/>
          <w:sz w:val="20"/>
        </w:rPr>
        <w:t>three and six</w:t>
      </w:r>
      <w:r>
        <w:rPr>
          <w:color w:val="000000"/>
          <w:shd w:fill="FFFFFF" w:val="clear"/>
        </w:rPr>
        <w:t xml:space="preserve"> </w:t>
      </w:r>
      <w:r>
        <w:rPr>
          <w:rFonts w:ascii="Arial;sans-serif" w:hAnsi="Arial;sans-serif"/>
          <w:b w:val="false"/>
          <w:color w:val="000000"/>
          <w:sz w:val="20"/>
          <w:shd w:fill="FFFFFF" w:val="clear"/>
        </w:rPr>
        <w:t xml:space="preserve">months ended June 30, 2026. As of June 30, 2026, we had an accumulated deficit of $534.2 million. We expect to continue to generate operating losses and negative operating cash flows for the foreseeable future in connection with our ongoing activities. As of June 30, 2026, we had cash and cash equivalents of </w:t>
      </w:r>
      <w:r>
        <w:rPr>
          <w:rFonts w:ascii="Arial;sans-serif" w:hAnsi="Arial;sans-serif"/>
          <w:b w:val="false"/>
          <w:color w:val="000000"/>
          <w:sz w:val="20"/>
        </w:rPr>
        <w:t>$257.6 million</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Known Trends, Events and Uncertainties</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Recent trends towards rising inflation and prices may materially affect our business and corresponding financial position and cash flows. Inflationary factors, such as increases in the cost of materials and supplies relating to our preclinical studies, clinical trials, interest rates and overhead costs may adversely affect our operating results. Rising interest rates and implementation of tariffs present a recent challenge impacting the U.S. economy and could make it more difficult for us to obtain traditional financing on acceptable terms, if at all, in the future. Additionally, the general consensus among economists suggests that we should expect a higher recession risk to continue over the next year due in part to ongoing tariff and trade issues, which, together with the foregoing, could result in further economic uncertainty and volatility in the capital markets in the near term, and could negatively affect our operations. Furthermore, such economic conditions have produced downward pressure on share prices. Although we do not believe that inflation, higher interest rates or tariffs have had a material impact on our financial position or results of operations to date, we may experience increases in the near future (especially if inflation rates rise more quickly) on our operating costs, including our labor costs and research and development costs, due to supply chain constraints, consequences associated with public health crises and global geopolitical tensions, such as the ongoing war between Russia and Ukraine and the wars in the Middle East, worsening global macroeconomic conditions and employee availability and wage increases, which may result in additional stress on our working capital resources.</w:t>
      </w:r>
    </w:p>
    <w:p>
      <w:pPr>
        <w:pStyle w:val="TextBody"/>
        <w:bidi w:val="0"/>
        <w:spacing w:before="0" w:after="0"/>
        <w:jc w:val="left"/>
        <w:rPr/>
      </w:pPr>
      <w:r>
        <w:rPr/>
      </w:r>
    </w:p>
    <w:p>
      <w:pPr>
        <w:pStyle w:val="TextBody"/>
        <w:bidi w:val="0"/>
        <w:spacing w:lineRule="auto" w:line="276" w:before="0" w:after="240"/>
        <w:jc w:val="left"/>
        <w:rPr>
          <w:rFonts w:ascii="Arial;sans-serif" w:hAnsi="Arial;sans-serif"/>
          <w:b/>
          <w:color w:val="000000"/>
          <w:sz w:val="20"/>
        </w:rPr>
      </w:pPr>
      <w:r>
        <w:rPr>
          <w:rFonts w:ascii="Arial;sans-serif" w:hAnsi="Arial;sans-serif"/>
          <w:b/>
          <w:color w:val="000000"/>
          <w:sz w:val="20"/>
        </w:rPr>
        <w:t>Licensing Agreements</w:t>
      </w:r>
    </w:p>
    <w:p>
      <w:pPr>
        <w:pStyle w:val="TextBody"/>
        <w:bidi w:val="0"/>
        <w:spacing w:lineRule="auto" w:line="268" w:before="120" w:after="120"/>
        <w:jc w:val="both"/>
        <w:rPr>
          <w:rFonts w:ascii="Arial;sans-serif" w:hAnsi="Arial;sans-serif"/>
          <w:b/>
          <w:color w:val="000000"/>
          <w:sz w:val="20"/>
        </w:rPr>
      </w:pPr>
      <w:r>
        <w:rPr>
          <w:rFonts w:ascii="Arial;sans-serif" w:hAnsi="Arial;sans-serif"/>
          <w:b/>
          <w:color w:val="000000"/>
          <w:sz w:val="20"/>
        </w:rPr>
        <w:t>2024 License Agreement with Takeda Pharmaceuticals U.S.A., Inc.</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In December 2024, we entered into a license agreement with Takeda, which became effective on January 16, 2025. Under the terms of the license agreement with Takeda, or the Takeda Agreement, we granted to Takeda the exclusive right to develop, manufacture and commercialize elritercept and certain derivative compounds globally, excluding the territories of mainland China, Hong Kong and Macau, which we refer to collectively as the Takeda Territory.</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Pursuant to the terms of the Takeda Agreement, we received a $200.0 million upfront payment in February 2025. In July 2025, we announced that the first patient was dosed in the Phase 3 RENEW clinical trial of elritercept, which triggered a $10 million milestone payment to us under the Takeda Agreement. We received the $10.0 million payment for the achievement of this development milestone in August 2025. In addition to the upfront payment and milestone payment, we are entitled to receive up to an aggregate of (i) $80.0 million upon the achievement of specified development milestones, (ii) $280.0 million upon the achievement of specified commercial milestones and (iii) $740.0 million upon the achievement of specified sales milestones. If a licensed product is approved for marketing in the Takeda Territory, we will be entitled to receive royalty payments based on tiered increments of annual net sales in the Takeda Territory, with such percentage ranging from the low double-digits to high teens, subject to specified potential royalty reductions.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Takeda’s obligation to pay royalties for a given licensed product in a given country in the Takeda Territory will begin on the date of the first commercial sale for such licensed product in such country and continue until the latest of (i) 10 years from the date of the first commercial sale for such licensed product in such region, (ii) the expiration of the last valid claim of certain licensed patents, and (iii) expiration of regulatory exclusivity in such region.</w:t>
      </w:r>
    </w:p>
    <w:p>
      <w:pPr>
        <w:pStyle w:val="TextBody"/>
        <w:bidi w:val="0"/>
        <w:spacing w:lineRule="auto" w:line="268" w:before="120" w:after="240"/>
        <w:jc w:val="both"/>
        <w:rPr>
          <w:rFonts w:ascii="Arial;sans-serif" w:hAnsi="Arial;sans-serif"/>
          <w:b w:val="false"/>
          <w:color w:val="000000"/>
          <w:sz w:val="20"/>
        </w:rPr>
      </w:pPr>
      <w:r>
        <w:rPr>
          <w:rFonts w:ascii="Arial;sans-serif" w:hAnsi="Arial;sans-serif"/>
          <w:b w:val="false"/>
          <w:color w:val="000000"/>
          <w:sz w:val="20"/>
        </w:rPr>
        <w:t xml:space="preserve">The Takeda Agreement will continue in force until the expiration of the royalty term. Takeda may terminate the Takeda Agreement (i) in its entirety or on a country-by-country basis for convenience, with notice or (ii) if Takeda reasonably determines that the development, manufacture, and commercialization of the licensed compound or licensed product pose a safety or public health risk. We may terminate the Takeda Agreement in its entirety in the event that Takeda or its affiliates bring a patent challenge. Either party may terminate the Takeda Agreement in its entirety (i) if the other party materially breaches the Takeda Agreement and fails to cure such breach; or (ii) upon the bankruptcy of the other party.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 xml:space="preserve">2021 License Agreement with Hansoh (Shanghai) Healthtech Co., Ltd.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December 12, 2021, we entered into a license agreement with Hansoh (Shanghai) Healthtech Co., Ltd., or Hansoh. Under the terms of the license agreement with Hansoh, or the Hansoh Agreement, we granted to Hansoh the exclusive right to develop, manufacture and commercialize elritercept and licensed products containing elritercept within the territories of mainland China, Hong Kong and Macau, which we refer to collectively as the Hansoh Territory.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connection with the Hansoh Agreement, Hansoh will purchase clinical trial supply of elritercept from us, and the parties will also negotiate in good faith to enter into an agreement for commercial supply prior to any anticipated commercialization in the Hansoh Territory. In addition, Hansoh will use commercially reasonable efforts to develop, obtain regulatory approval for, and commercialize licensed products in any region in the Hansoh Territory.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the terms of the Hansoh Agreement, we received a net $18.0 million upfront payment in January 2022. In addition to the upfront payment and development milestones achieved to date, we are entitled to receive up to an aggregate of (i) $23.5 million upon the achievement of specified development milestones and (ii) $144.0 million upon the achievement of specified net sales thresholds for all licensed products in the Hansoh Territory. If a licensed product is approved for marketing in the Hansoh Territory, we will be entitled to receive royalty payments based on a tiered percentage of annual net sales in each region within the Hansoh Territory, with such percentage ranging from the low double digit to high teens, subject to specified potential royalty reductions. We did not recognize any revenue related to milestones for the three and six months ended June 30, 2026 or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Hansoh’s obligation to pay royalties for a given licensed product in a given region in the Hansoh Territory will begin on the date of the first commercial sale for such licensed product in such region and continue until the latest of (i) ten years from the date of the first commercial sale for such licensed product in such region, (ii) the expiration of the last valid claim of certain licensed patents or joint patents, and (iii) expiration of regulatory exclusivity in such region. During the royalty term, neither party will directly or indirectly commercialize a competing product in the Hansoh Territory.</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 xml:space="preserve">Effective in June 2023, in connection with the Hansoh Agreement, we entered into a manufacturing technology transfer agreement, or the Tech Transfer Agreement, with Hansoh. The Tech Transfer Agreement governs the transfer to Hansoh of all documents and information required to complete the manufacturing technology transfer. Under the Tech Transfer Agreement, Hansoh is obligated to make certain payments to us, at the rates set forth in the Tech Transfer Agreement, as manufacturing technology transfer services are provided over the term of the Tech Transfer Agreement. We did not recognize any revenue during the three and six months ended June 30, 2026. We recognized zero and $0.1 million of service and other revenue during the three and six months ended June 30, 2025, respectively. </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Effective in February 2024, in connection with the Hansoh Agreement, we entered into a clinical product supply agreement with Hansoh, or the Supply Agreement. We recognized zero and $0.3 million of service and other revenue during the three and six months ended June 30, 2026, respectively. We did not recognize any revenue during the three and six months ended June 30, 2025.</w:t>
      </w:r>
    </w:p>
    <w:p>
      <w:pPr>
        <w:pStyle w:val="TextBody"/>
        <w:bidi w:val="0"/>
        <w:spacing w:lineRule="auto" w:line="268" w:before="120" w:after="283"/>
        <w:jc w:val="both"/>
        <w:rPr>
          <w:rFonts w:ascii="Arial;sans-serif" w:hAnsi="Arial;sans-serif"/>
          <w:b/>
          <w:i/>
          <w:color w:val="000000"/>
          <w:sz w:val="20"/>
        </w:rPr>
      </w:pPr>
      <w:r>
        <w:rPr>
          <w:rFonts w:ascii="Arial;sans-serif" w:hAnsi="Arial;sans-serif"/>
          <w:b/>
          <w:i/>
          <w:color w:val="000000"/>
          <w:sz w:val="20"/>
        </w:rPr>
        <w:t>2016 Exclusive Patent License Agreement with The General Hospital Corporation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April 2016, we entered into an exclusive patent license agreement with The General Hospital Corporation, or MGH, and such agreement was subsequently amended in May 2017 and February 2018. Under the license agreement with MGH, or the MGH Agreement, we obtained an exclusive, worldwide license, with the right to sublicense, under certain patents and technical information of MGH, to make, have made, use, have used, sell, have sold, lease, have leased, import, have imported or otherwise transfer licensed products and processes for use in the treatment, diagnosis, palliation and prevention of diseases and disorders in humans and animals. We are required to use commercially reasonable efforts to develop and commercialize licensed products and processes, and must achieve certain required diligence milestones.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Additionally, we are required to pay a low-five digit to mid-five digit annual maintenance fee prior to the first commercial sale of our first product or process, a mid-five digit annual maintenance fee after the first commercial sale of our first product or process that is creditable against royalties, certain clinical and regulatory milestone payments for the first three products or indications to achieve such milestones, which milestone payments are $8.6 million in the aggregate, and certain commercial milestone payments for the first three products or indications to achieve such milestones, which milestone payments are $18.0 million in the aggregate. We made payments of $50,000 and $300,000 in 2020 and 2021, respectively, for the achievement of the clinical and regulatory milestones of (i) filing of an IND in the first country and (ii) the completion of a Phase 1 clinical trial, respectively. We are also obligated to pay tiered royalties on net sales of licensed products ranging in the low-single digits to mid-single digits. The royalty rates are subject to up to a maximum 50% reduction for lack of a valid claim, in the event that it is necessary for us to obtain a license to any third-party intellectual property related to the licensed products, and generic competition. The obligation to pay royalties under the MGH Agreement expires on a licensed product-by-licensed product and country-by-country basis upon the later of expiry of the last valid claim of the licensed patents that cover such licensed product in such country and ten years from the first commercial sale of such product in such country. We are also obligated to pay a percentage of non-royalty-related payments received by us from sublicensees ranging in the sub-teen double digits and a change of control fee equal to a low-single digit percentage of the payments received as part of any completed transaction up to a low-seven digit amount.</w:t>
      </w:r>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Components of Our Results of Operations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date, we have not generated any revenue, and do not expect to generate any revenue in the foreseeable future, from product sales. We have generated revenue solely from research collaborations or licensing of intellectual property and related transition services. We may in the future generate revenue from other strategic collaborations or licensing arrangements.</w:t>
      </w:r>
    </w:p>
    <w:p>
      <w:pPr>
        <w:pStyle w:val="TextBody"/>
        <w:bidi w:val="0"/>
        <w:spacing w:lineRule="auto" w:line="288" w:before="240" w:after="120"/>
        <w:jc w:val="left"/>
        <w:rPr>
          <w:rFonts w:ascii="Arial;sans-serif" w:hAnsi="Arial;sans-serif"/>
          <w:b/>
          <w:i/>
          <w:color w:val="000000"/>
          <w:sz w:val="20"/>
        </w:rPr>
      </w:pPr>
      <w:r>
        <w:rPr>
          <w:rFonts w:ascii="Arial;sans-serif" w:hAnsi="Arial;sans-serif"/>
          <w:b/>
          <w:i/>
          <w:color w:val="000000"/>
          <w:sz w:val="20"/>
        </w:rPr>
        <w:t xml:space="preserve">Operating Expenses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Research and Development Expenses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expenses consist primarily of costs incurred for our research activities, including our discovery efforts and the preclinical and clinical development of our current and potential future product candidates, and include: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salaries, benefits and other related costs, including stock-based compensation expense, for personnel engaged in research and development functions;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expenses incurred under agreements with third parties, including CROs that conduct research, preclinical and clinical activities on our behalf, as well as contract manufacturing organizations, or CMOs, that manufacture drug product for use in our preclinical studies and clinical trials;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license fees incurred in connection with license agreements;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research and development supplies and services expenses;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facility-related expenses, which include direct depreciation costs and allocated expenses for rent and maintenance of facilities and other operating costs;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cost of outside consultants, including their fees and related travel expenses, engaged in research and development functions;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expenses related to regulatory affairs;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fees related to our scientific advisory board.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unaudited interim condensed consolidated financial statements as prepaid or accrued research and development expenses. Nonrefundable advance payments for goods or services to be received in the future for use in research and development activities are recorded as prepaid expenses and expensed as the related goods are delivered or the services are performed.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activities are central to our business model. We expect that our research and development expenses will continue to increase for the foreseeable future, with the exception of elritercept-related expenses which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expected to decrease once transitioned to Takeda, as we continue ongoing and initiate new clinical trials for our product candidates and continue to discover and develop additional product candidates. We expect research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development expenses to fluctuate from quarter to quarter depending on the timing of clinical trial activities, clinical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manufacturing and other development activities. If any of our product candidates enter into later stages of clinical development, they will generally have higher development costs than those in earlier stages of clinical development, primarily due to the increased size and duration of later-stage clinical trials. There are numerous factors associated with the successful commercialization of any product candidates we may develop in the future,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 and plans.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General and Administrative Expenses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expenses consist primarily of salaries and other related costs, including stock-based compensation for personnel in our executive, finance, corporate and business development and administrative functions. General and administrative expenses also include professional fees for legal, patent, accounting, information technology, auditing, tax and consulting services, and travel expenses and facility-related expenses, which include direct depreciation costs and allocated expenses for rent and maintenance of facilities and other operating costs.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expect that our general and administrative expenses will increase in the future as we increase our headcount to support our continued research and development and potential commercialization of our product candidates. We have incurred and expect to continue to incur increased expenses associated with being a public company, including costs of accounting, audit, legal, regulatory and tax compliance services, director and officer insurance costs, and investor and public relations costs.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Other Income (Expense), Net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Dividend Income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Dividend income consists of income earned on our money market funds that are recorded as cash equivalents on our consolidated balance sheets.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Other Expense, Net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Other expense, net primarily consists of unrealized and realized gains and losses on foreign currency and other taxes and fees.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Income Tax (Provision) Benefit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tax (provision) benefit has historically resulted from income tax related to taxable income generated from the Takeda Agreement. We have not recorded any income tax benefits for the losses incurred to date as it is more likely than not that these benefits will not be realized based on our history of losses and expected future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 xml:space="preserve">Comparison for the three months ended June 30, 2026 and 2025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results of operations for the three months ended June 30, 2026 and 2025 (in thousands): </w:t>
      </w:r>
    </w:p>
    <w:tbl>
      <w:tblPr>
        <w:tblW w:w="6098" w:type="dxa"/>
        <w:jc w:val="left"/>
        <w:tblInd w:w="0" w:type="dxa"/>
        <w:tblLayout w:type="fixed"/>
        <w:tblCellMar>
          <w:top w:w="28" w:type="dxa"/>
          <w:left w:w="28" w:type="dxa"/>
          <w:bottom w:w="28" w:type="dxa"/>
          <w:right w:w="28" w:type="dxa"/>
        </w:tblCellMar>
      </w:tblPr>
      <w:tblGrid>
        <w:gridCol w:w="1183"/>
        <w:gridCol w:w="1040"/>
        <w:gridCol w:w="1046"/>
        <w:gridCol w:w="229"/>
        <w:gridCol w:w="866"/>
        <w:gridCol w:w="118"/>
        <w:gridCol w:w="118"/>
        <w:gridCol w:w="118"/>
        <w:gridCol w:w="118"/>
        <w:gridCol w:w="229"/>
        <w:gridCol w:w="866"/>
        <w:gridCol w:w="167"/>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and other revenue</w:t>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License revenue</w:t>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18,168 </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(22,331)</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(43,503)</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(8,606)</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(14,482)</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(30,937)</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(57,985)</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OPERATIONS</w:t>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(30,937)</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(39,817)</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income</w:t>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6,899 </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(28,710)</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(32,918)</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(28,710)</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(30,696)</w:t>
            </w:r>
          </w:p>
        </w:tc>
        <w:tc>
          <w:tcPr>
            <w:tcW w:w="1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Revenue</w:t>
      </w:r>
    </w:p>
    <w:p>
      <w:pPr>
        <w:pStyle w:val="TextBody"/>
        <w:bidi w:val="0"/>
        <w:spacing w:lineRule="auto" w:line="288" w:before="120" w:after="283"/>
        <w:jc w:val="left"/>
        <w:rPr/>
      </w:pPr>
      <w:r>
        <w:rPr>
          <w:rFonts w:ascii="Arial;sans-serif" w:hAnsi="Arial;sans-serif"/>
          <w:b w:val="false"/>
          <w:color w:val="000000"/>
          <w:sz w:val="20"/>
        </w:rPr>
        <w:t>We did not recognize any</w:t>
      </w:r>
      <w:r>
        <w:rPr>
          <w:color w:val="000000"/>
          <w:shd w:fill="FFFFFF" w:val="clear"/>
        </w:rPr>
        <w:t xml:space="preserve"> </w:t>
      </w:r>
      <w:r>
        <w:rPr>
          <w:rFonts w:ascii="Arial;sans-serif" w:hAnsi="Arial;sans-serif"/>
          <w:b w:val="false"/>
          <w:color w:val="000000"/>
          <w:sz w:val="20"/>
          <w:shd w:fill="FFFFFF" w:val="clear"/>
        </w:rPr>
        <w:t>revenue</w:t>
      </w:r>
      <w:r>
        <w:rPr>
          <w:color w:val="000000"/>
        </w:rPr>
        <w:t xml:space="preserve"> </w:t>
      </w:r>
      <w:r>
        <w:rPr>
          <w:rFonts w:ascii="Arial;sans-serif" w:hAnsi="Arial;sans-serif"/>
          <w:b w:val="false"/>
          <w:color w:val="000000"/>
          <w:sz w:val="20"/>
          <w:shd w:fill="FFFFFF" w:val="clear"/>
        </w:rPr>
        <w:t xml:space="preserve">for the </w:t>
      </w:r>
      <w:r>
        <w:rPr>
          <w:rFonts w:ascii="Arial;sans-serif" w:hAnsi="Arial;sans-serif"/>
          <w:b w:val="false"/>
          <w:color w:val="000000"/>
          <w:sz w:val="20"/>
        </w:rPr>
        <w:t>three</w:t>
      </w:r>
      <w:r>
        <w:rPr>
          <w:color w:val="000000"/>
          <w:shd w:fill="FFFFFF" w:val="clear"/>
        </w:rPr>
        <w:t xml:space="preserve"> </w:t>
      </w:r>
      <w:r>
        <w:rPr>
          <w:rFonts w:ascii="Arial;sans-serif" w:hAnsi="Arial;sans-serif"/>
          <w:b w:val="false"/>
          <w:color w:val="000000"/>
          <w:sz w:val="20"/>
          <w:shd w:fill="FFFFFF" w:val="clear"/>
        </w:rPr>
        <w:t>months ended</w:t>
      </w:r>
      <w:r>
        <w:rPr>
          <w:color w:val="000000"/>
          <w:shd w:fill="FFFFFF" w:val="clear"/>
        </w:rPr>
        <w:t xml:space="preserve"> </w:t>
      </w:r>
      <w:r>
        <w:rPr>
          <w:rFonts w:ascii="Arial;sans-serif" w:hAnsi="Arial;sans-serif"/>
          <w:b w:val="false"/>
          <w:color w:val="000000"/>
          <w:sz w:val="20"/>
        </w:rPr>
        <w:t>June 30, 2026, compared to $18.2 million</w:t>
      </w:r>
      <w:r>
        <w:rPr>
          <w:color w:val="000000"/>
          <w:shd w:fill="FFFFFF" w:val="clear"/>
        </w:rPr>
        <w:t xml:space="preserve"> </w:t>
      </w:r>
      <w:r>
        <w:rPr>
          <w:rFonts w:ascii="Arial;sans-serif" w:hAnsi="Arial;sans-serif"/>
          <w:b w:val="false"/>
          <w:color w:val="000000"/>
          <w:sz w:val="20"/>
          <w:shd w:fill="FFFFFF" w:val="clear"/>
        </w:rPr>
        <w:t>of service and other revenue</w:t>
      </w:r>
      <w:r>
        <w:rPr>
          <w:color w:val="000000"/>
        </w:rPr>
        <w:t xml:space="preserve"> </w:t>
      </w:r>
      <w:r>
        <w:rPr>
          <w:rFonts w:ascii="Arial;sans-serif" w:hAnsi="Arial;sans-serif"/>
          <w:b w:val="false"/>
          <w:color w:val="000000"/>
          <w:sz w:val="20"/>
          <w:shd w:fill="FFFFFF" w:val="clear"/>
        </w:rPr>
        <w:t xml:space="preserve">for the </w:t>
      </w:r>
      <w:r>
        <w:rPr>
          <w:rFonts w:ascii="Arial;sans-serif" w:hAnsi="Arial;sans-serif"/>
          <w:b w:val="false"/>
          <w:color w:val="000000"/>
          <w:sz w:val="20"/>
        </w:rPr>
        <w:t>three</w:t>
      </w:r>
      <w:r>
        <w:rPr>
          <w:color w:val="000000"/>
          <w:shd w:fill="FFFFFF" w:val="clear"/>
        </w:rPr>
        <w:t xml:space="preserve"> </w:t>
      </w:r>
      <w:r>
        <w:rPr>
          <w:rFonts w:ascii="Arial;sans-serif" w:hAnsi="Arial;sans-serif"/>
          <w:b w:val="false"/>
          <w:color w:val="000000"/>
          <w:sz w:val="20"/>
          <w:shd w:fill="FFFFFF" w:val="clear"/>
        </w:rPr>
        <w:t>months ended</w:t>
      </w:r>
      <w:r>
        <w:rPr>
          <w:color w:val="000000"/>
        </w:rPr>
        <w:t xml:space="preserve"> </w:t>
      </w:r>
      <w:r>
        <w:rPr>
          <w:rFonts w:ascii="Arial;sans-serif" w:hAnsi="Arial;sans-serif"/>
          <w:b w:val="false"/>
          <w:color w:val="000000"/>
          <w:sz w:val="20"/>
        </w:rPr>
        <w:t>June 30, 2025. The decrease in total revenue of $18.2 million was primarily due to recognition of service and other revenue under the Takeda Agreement during the three</w:t>
      </w:r>
      <w:r>
        <w:rPr>
          <w:color w:val="000000"/>
          <w:shd w:fill="FFFFFF" w:val="clear"/>
        </w:rPr>
        <w:t xml:space="preserve"> </w:t>
      </w:r>
      <w:r>
        <w:rPr>
          <w:rFonts w:ascii="Arial;sans-serif" w:hAnsi="Arial;sans-serif"/>
          <w:b w:val="false"/>
          <w:color w:val="000000"/>
          <w:sz w:val="20"/>
          <w:shd w:fill="FFFFFF" w:val="clear"/>
        </w:rPr>
        <w:t>months ended</w:t>
      </w:r>
      <w:r>
        <w:rPr>
          <w:color w:val="000000"/>
        </w:rPr>
        <w:t xml:space="preserve"> </w:t>
      </w:r>
      <w:r>
        <w:rPr>
          <w:rFonts w:ascii="Arial;sans-serif" w:hAnsi="Arial;sans-serif"/>
          <w:b w:val="false"/>
          <w:color w:val="000000"/>
          <w:sz w:val="20"/>
        </w:rPr>
        <w:t>June 30, 2025.</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research and development expenses for the three months ended June 30, 2026 and 2025 (in thousands): </w:t>
      </w:r>
    </w:p>
    <w:tbl>
      <w:tblPr>
        <w:tblW w:w="10205" w:type="dxa"/>
        <w:jc w:val="center"/>
        <w:tblInd w:w="0" w:type="dxa"/>
        <w:tblLayout w:type="fixed"/>
        <w:tblCellMar>
          <w:top w:w="28" w:type="dxa"/>
          <w:left w:w="28" w:type="dxa"/>
          <w:bottom w:w="28" w:type="dxa"/>
          <w:right w:w="28" w:type="dxa"/>
        </w:tblCellMar>
      </w:tblPr>
      <w:tblGrid>
        <w:gridCol w:w="1732"/>
        <w:gridCol w:w="1520"/>
        <w:gridCol w:w="1531"/>
        <w:gridCol w:w="242"/>
        <w:gridCol w:w="829"/>
        <w:gridCol w:w="125"/>
        <w:gridCol w:w="125"/>
        <w:gridCol w:w="125"/>
        <w:gridCol w:w="125"/>
        <w:gridCol w:w="242"/>
        <w:gridCol w:w="829"/>
        <w:gridCol w:w="125"/>
        <w:gridCol w:w="109"/>
        <w:gridCol w:w="109"/>
        <w:gridCol w:w="109"/>
        <w:gridCol w:w="444"/>
        <w:gridCol w:w="1552"/>
        <w:gridCol w:w="332"/>
      </w:tblGrid>
      <w:tr>
        <w:trPr/>
        <w:tc>
          <w:tcPr>
            <w:tcW w:w="173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r>
      <w:tr>
        <w:trPr/>
        <w:tc>
          <w:tcPr>
            <w:tcW w:w="4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Rinvatercept</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Elritercept</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(15,622)</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Cibotercept</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(3,792)</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8" w:type="dxa"/>
            <w:gridSpan w:val="3"/>
            <w:tcBorders/>
            <w:vAlign w:val="center"/>
          </w:tcPr>
          <w:p>
            <w:pPr>
              <w:pStyle w:val="TableContents"/>
              <w:bidi w:val="0"/>
              <w:spacing w:before="0" w:after="283"/>
              <w:jc w:val="left"/>
              <w:rPr>
                <w:sz w:val="4"/>
                <w:szCs w:val="4"/>
              </w:rPr>
            </w:pPr>
            <w:r>
              <w:rPr>
                <w:sz w:val="4"/>
                <w:szCs w:val="4"/>
              </w:rPr>
            </w:r>
          </w:p>
        </w:tc>
      </w:tr>
      <w:tr>
        <w:trPr/>
        <w:tc>
          <w:tcPr>
            <w:tcW w:w="4783"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8" w:type="dxa"/>
            <w:gridSpan w:val="3"/>
            <w:tcBorders/>
            <w:vAlign w:val="center"/>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Preclinical and development fees</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Personnel expenses (including stock-based compensation)</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(7,684)</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Facilities and supplies</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22,331 </w:t>
            </w:r>
          </w:p>
        </w:tc>
        <w:tc>
          <w:tcPr>
            <w:tcW w:w="1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43,503 </w:t>
            </w:r>
          </w:p>
        </w:tc>
        <w:tc>
          <w:tcPr>
            <w:tcW w:w="1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(21,172)</w:t>
            </w:r>
          </w:p>
        </w:tc>
        <w:tc>
          <w:tcPr>
            <w:tcW w:w="3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Research and development expenses were $22.3 million for the three months ended June 30, 2026, compared to $43.5 million for the three months ended June 30, 2025. The decrease of $21.2 million was primarily due to (i) a decrease of $15.6 million of elritercept-related expenses, primarily driven by a decrease of $11.1 million in clinical spend and a decrease of $4.5 million in manufacturing activities as activities transitioned to Takeda during 2025; (ii) a decrease of $3.8 million of cibotercept-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related expenses, primarily driven by a decrease of $2.2 million in clinical spend associated with our terminated Phase 2 clinical trial and a decrease of $1.6 million in manufacturing and preclinical activities; (iii) a decrease of $7.7 million related to personnel expenses, including a decrease of $2.5 million of stock-based compensation costs, driven by a reduction in headcount; and (iv) a net decrease of $0.9 million in facilities, supplies, professional fees and other expenses. These decreases were partially offset by (a) an increase of $2.7 million of rinvatercept-related expenses, primarily driven by an increase of $1.6 million in clinical spend associated with our Phase 2 clinical trial in patients with DMD and our planned Phase 2 clinical trial in patients with ALS and an increase of $1.1 million in manufacturing and preclinical activities; and (b) an increase of $4.1 million in preclinical pipeline and development activities. We expect research and development expenses to fluctuate from quarter to quarter depending on the timing of clinical trial activities, clinical manufacturing and other development activities.</w:t>
      </w:r>
    </w:p>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General and Administrative Expenses </w:t>
      </w:r>
    </w:p>
    <w:p>
      <w:pPr>
        <w:pStyle w:val="TextBody"/>
        <w:bidi w:val="0"/>
        <w:spacing w:lineRule="auto" w:line="288" w:before="120" w:after="283"/>
        <w:jc w:val="left"/>
        <w:rPr/>
      </w:pPr>
      <w:r>
        <w:rPr>
          <w:rFonts w:ascii="Arial;sans-serif" w:hAnsi="Arial;sans-serif"/>
          <w:b w:val="false"/>
          <w:color w:val="000000"/>
          <w:sz w:val="20"/>
          <w:shd w:fill="FFFFFF" w:val="clear"/>
        </w:rPr>
        <w:t>General and administrative expenses were $8.6 million for the three months ended June 30, 2026, compared to $14.5 million for the three months ended June 30, 2025. The decrease of approximately $5.9 million was primarily due to</w:t>
      </w:r>
      <w:r>
        <w:rPr>
          <w:color w:val="000000"/>
        </w:rPr>
        <w:t xml:space="preserve"> </w:t>
      </w:r>
      <w:r>
        <w:rPr>
          <w:rFonts w:ascii="Arial;sans-serif" w:hAnsi="Arial;sans-serif"/>
          <w:b w:val="false"/>
          <w:color w:val="000000"/>
          <w:sz w:val="20"/>
        </w:rPr>
        <w:t xml:space="preserve">(i) a net decrease of </w:t>
      </w:r>
      <w:r>
        <w:rPr>
          <w:rFonts w:ascii="Arial;sans-serif" w:hAnsi="Arial;sans-serif"/>
          <w:b w:val="false"/>
          <w:color w:val="000000"/>
          <w:sz w:val="20"/>
          <w:shd w:fill="FFFFFF" w:val="clear"/>
        </w:rPr>
        <w:t>$4.3 million</w:t>
      </w:r>
      <w:r>
        <w:rPr>
          <w:color w:val="000000"/>
        </w:rPr>
        <w:t xml:space="preserve"> </w:t>
      </w:r>
      <w:r>
        <w:rPr>
          <w:rFonts w:ascii="Arial;sans-serif" w:hAnsi="Arial;sans-serif"/>
          <w:b w:val="false"/>
          <w:color w:val="000000"/>
          <w:sz w:val="20"/>
        </w:rPr>
        <w:t xml:space="preserve">in professional fees, insurance, facilities, supplies and other expenses; and (ii) a </w:t>
      </w:r>
      <w:r>
        <w:rPr>
          <w:rFonts w:ascii="Arial;sans-serif" w:hAnsi="Arial;sans-serif"/>
          <w:b w:val="false"/>
          <w:color w:val="000000"/>
          <w:sz w:val="20"/>
          <w:shd w:fill="FFFFFF" w:val="clear"/>
        </w:rPr>
        <w:t>decrease of $1.6 million in personnel expenses, which includes a</w:t>
      </w:r>
      <w:r>
        <w:rPr>
          <w:color w:val="000000"/>
        </w:rPr>
        <w:t xml:space="preserve"> </w:t>
      </w:r>
      <w:r>
        <w:rPr>
          <w:rFonts w:ascii="Arial;sans-serif" w:hAnsi="Arial;sans-serif"/>
          <w:b w:val="false"/>
          <w:color w:val="000000"/>
          <w:sz w:val="20"/>
        </w:rPr>
        <w:t>de</w:t>
      </w:r>
      <w:r>
        <w:rPr>
          <w:rFonts w:ascii="Arial;sans-serif" w:hAnsi="Arial;sans-serif"/>
          <w:b w:val="false"/>
          <w:color w:val="000000"/>
          <w:sz w:val="20"/>
          <w:shd w:fill="FFFFFF" w:val="clear"/>
        </w:rPr>
        <w:t xml:space="preserve">crease of </w:t>
      </w:r>
      <w:r>
        <w:rPr>
          <w:rFonts w:ascii="Arial;sans-serif" w:hAnsi="Arial;sans-serif"/>
          <w:b w:val="false"/>
          <w:color w:val="000000"/>
          <w:sz w:val="20"/>
        </w:rPr>
        <w:t>$0.7 million</w:t>
      </w:r>
      <w:r>
        <w:rPr>
          <w:color w:val="000000"/>
          <w:shd w:fill="FFFFFF" w:val="clear"/>
        </w:rPr>
        <w:t xml:space="preserve"> </w:t>
      </w:r>
      <w:r>
        <w:rPr>
          <w:rFonts w:ascii="Arial;sans-serif" w:hAnsi="Arial;sans-serif"/>
          <w:b w:val="false"/>
          <w:color w:val="000000"/>
          <w:sz w:val="20"/>
          <w:shd w:fill="FFFFFF" w:val="clear"/>
        </w:rPr>
        <w:t>of stock-based compensation costs.</w:t>
      </w:r>
    </w:p>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Total Other Income, Net</w:t>
      </w:r>
    </w:p>
    <w:p>
      <w:pPr>
        <w:pStyle w:val="TextBody"/>
        <w:bidi w:val="0"/>
        <w:spacing w:lineRule="auto" w:line="288" w:before="120" w:after="283"/>
        <w:jc w:val="left"/>
        <w:rPr/>
      </w:pPr>
      <w:r>
        <w:rPr>
          <w:rFonts w:ascii="Arial;sans-serif" w:hAnsi="Arial;sans-serif"/>
          <w:b w:val="false"/>
          <w:color w:val="000000"/>
          <w:sz w:val="20"/>
          <w:shd w:fill="FFFFFF" w:val="clear"/>
        </w:rPr>
        <w:t xml:space="preserve">Total other income, net was $2.2 million for the three months ended June 30, 2026, compared </w:t>
      </w:r>
      <w:r>
        <w:rPr>
          <w:rFonts w:ascii="Arial;sans-serif" w:hAnsi="Arial;sans-serif"/>
          <w:b w:val="false"/>
          <w:color w:val="000000"/>
          <w:sz w:val="20"/>
        </w:rPr>
        <w:t>to $6.9 million for the three months ended June 30, 2025. The decrease of $4.7 million was driven by a decrease of $4.8 million in dividend income, partially offset by a decrease of $0.2 million in other expense, net.</w:t>
      </w:r>
    </w:p>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Income Tax (Provision) Benefit</w:t>
      </w:r>
    </w:p>
    <w:p>
      <w:pPr>
        <w:pStyle w:val="TextBody"/>
        <w:bidi w:val="0"/>
        <w:spacing w:lineRule="auto" w:line="288" w:before="120" w:after="283"/>
        <w:jc w:val="left"/>
        <w:rPr/>
      </w:pPr>
      <w:r>
        <w:rPr>
          <w:rFonts w:ascii="Arial;sans-serif" w:hAnsi="Arial;sans-serif"/>
          <w:b w:val="false"/>
          <w:color w:val="000000"/>
          <w:sz w:val="20"/>
        </w:rPr>
        <w:t xml:space="preserve">Income tax provision was zero for the </w:t>
      </w:r>
      <w:r>
        <w:rPr>
          <w:rFonts w:ascii="Arial;sans-serif" w:hAnsi="Arial;sans-serif"/>
          <w:b w:val="false"/>
          <w:color w:val="000000"/>
          <w:sz w:val="20"/>
          <w:shd w:fill="FFFFFF" w:val="clear"/>
        </w:rPr>
        <w:t>three</w:t>
      </w:r>
      <w:r>
        <w:rPr>
          <w:color w:val="000000"/>
        </w:rPr>
        <w:t xml:space="preserve"> </w:t>
      </w:r>
      <w:r>
        <w:rPr>
          <w:rFonts w:ascii="Arial;sans-serif" w:hAnsi="Arial;sans-serif"/>
          <w:b w:val="false"/>
          <w:color w:val="000000"/>
          <w:sz w:val="20"/>
        </w:rPr>
        <w:t xml:space="preserve">months ended </w:t>
      </w:r>
      <w:r>
        <w:rPr>
          <w:rFonts w:ascii="Arial;sans-serif" w:hAnsi="Arial;sans-serif"/>
          <w:b w:val="false"/>
          <w:color w:val="000000"/>
          <w:sz w:val="20"/>
          <w:shd w:fill="FFFFFF" w:val="clear"/>
        </w:rPr>
        <w:t>June 30, 2026</w:t>
      </w:r>
      <w:r>
        <w:rPr>
          <w:rFonts w:ascii="Arial;sans-serif" w:hAnsi="Arial;sans-serif"/>
          <w:b w:val="false"/>
          <w:color w:val="000000"/>
          <w:sz w:val="20"/>
        </w:rPr>
        <w:t xml:space="preserve">, compared to an income tax benefit of $2.2 million for the </w:t>
      </w:r>
      <w:r>
        <w:rPr>
          <w:rFonts w:ascii="Arial;sans-serif" w:hAnsi="Arial;sans-serif"/>
          <w:b w:val="false"/>
          <w:color w:val="000000"/>
          <w:sz w:val="20"/>
          <w:shd w:fill="FFFFFF" w:val="clear"/>
        </w:rPr>
        <w:t>three</w:t>
      </w:r>
      <w:r>
        <w:rPr>
          <w:color w:val="000000"/>
        </w:rPr>
        <w:t xml:space="preserve"> </w:t>
      </w:r>
      <w:r>
        <w:rPr>
          <w:rFonts w:ascii="Arial;sans-serif" w:hAnsi="Arial;sans-serif"/>
          <w:b w:val="false"/>
          <w:color w:val="000000"/>
          <w:sz w:val="20"/>
        </w:rPr>
        <w:t>months ended June 30, 2025. The income tax benefit in 2025 was attributable to taxable income generated from the Takeda Agreement.</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 xml:space="preserve">Comparison for the six months ended June 30, 2026 and 2025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results of operations for the six months ended June 30, 2026 and 2025 (in thousands): </w:t>
      </w:r>
    </w:p>
    <w:tbl>
      <w:tblPr>
        <w:tblW w:w="5903" w:type="dxa"/>
        <w:jc w:val="left"/>
        <w:tblInd w:w="0" w:type="dxa"/>
        <w:tblLayout w:type="fixed"/>
        <w:tblCellMar>
          <w:top w:w="28" w:type="dxa"/>
          <w:left w:w="28" w:type="dxa"/>
          <w:bottom w:w="28" w:type="dxa"/>
          <w:right w:w="28" w:type="dxa"/>
        </w:tblCellMar>
      </w:tblPr>
      <w:tblGrid>
        <w:gridCol w:w="1183"/>
        <w:gridCol w:w="1040"/>
        <w:gridCol w:w="1046"/>
        <w:gridCol w:w="211"/>
        <w:gridCol w:w="796"/>
        <w:gridCol w:w="109"/>
        <w:gridCol w:w="109"/>
        <w:gridCol w:w="109"/>
        <w:gridCol w:w="109"/>
        <w:gridCol w:w="211"/>
        <w:gridCol w:w="826"/>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and other 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License revenue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229,414 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(57,181)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(117,191)</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OPERATIONS</w:t>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(56,814)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112,223 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income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(52,418)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125,576 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(52,418)</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117,755 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Revenue</w:t>
      </w:r>
    </w:p>
    <w:p>
      <w:pPr>
        <w:pStyle w:val="TextBody"/>
        <w:bidi w:val="0"/>
        <w:spacing w:lineRule="auto" w:line="288" w:before="120" w:after="283"/>
        <w:jc w:val="left"/>
        <w:rPr/>
      </w:pPr>
      <w:r>
        <w:rPr>
          <w:rFonts w:ascii="Arial;sans-serif" w:hAnsi="Arial;sans-serif"/>
          <w:b w:val="false"/>
          <w:color w:val="000000"/>
          <w:sz w:val="20"/>
        </w:rPr>
        <w:t>We recognized $0.4 million of service and other revenue and zero for license revenue for the six months ended</w:t>
      </w:r>
      <w:r>
        <w:rPr>
          <w:color w:val="000000"/>
        </w:rPr>
        <w:t xml:space="preserve"> </w:t>
      </w:r>
      <w:r>
        <w:rPr>
          <w:rFonts w:ascii="Arial;sans-serif" w:hAnsi="Arial;sans-serif"/>
          <w:b w:val="false"/>
          <w:color w:val="000000"/>
          <w:sz w:val="20"/>
        </w:rPr>
        <w:t xml:space="preserve">June 30, 2026, compared to $34.1 million of service and other revenue and $195.4 million of license revenue for the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June 30, 2025. The decrease in total revenue of $229.0 million was primarily due to recognition of license revenue under the Takeda Agreement during the six months ended June 30, 2025.</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research and development expenses for the six months ended June 30, 2026 and 2025 (in thousands): </w:t>
      </w:r>
    </w:p>
    <w:tbl>
      <w:tblPr>
        <w:tblW w:w="10133" w:type="dxa"/>
        <w:jc w:val="center"/>
        <w:tblInd w:w="0" w:type="dxa"/>
        <w:tblLayout w:type="fixed"/>
        <w:tblCellMar>
          <w:top w:w="28" w:type="dxa"/>
          <w:left w:w="28" w:type="dxa"/>
          <w:bottom w:w="28" w:type="dxa"/>
          <w:right w:w="28" w:type="dxa"/>
        </w:tblCellMar>
      </w:tblPr>
      <w:tblGrid>
        <w:gridCol w:w="1790"/>
        <w:gridCol w:w="1574"/>
        <w:gridCol w:w="1586"/>
        <w:gridCol w:w="218"/>
        <w:gridCol w:w="745"/>
        <w:gridCol w:w="112"/>
        <w:gridCol w:w="112"/>
        <w:gridCol w:w="112"/>
        <w:gridCol w:w="112"/>
        <w:gridCol w:w="218"/>
        <w:gridCol w:w="745"/>
        <w:gridCol w:w="112"/>
        <w:gridCol w:w="109"/>
        <w:gridCol w:w="109"/>
        <w:gridCol w:w="109"/>
        <w:gridCol w:w="454"/>
        <w:gridCol w:w="1584"/>
        <w:gridCol w:w="332"/>
      </w:tblGrid>
      <w:tr>
        <w:trPr/>
        <w:tc>
          <w:tcPr>
            <w:tcW w:w="179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Rinvatercept</w:t>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3,803 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Elritercept</w:t>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34,531 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(34,514)</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Cibotercept</w:t>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(10,024)</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Preclinical and development fees</w:t>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4,392 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Personnel expenses (including stock-based compensation)</w:t>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31,762 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(15,631)</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Facilities and supplies</w:t>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38,428 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92,212 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(53,784)</w:t>
            </w:r>
          </w:p>
        </w:tc>
        <w:tc>
          <w:tcPr>
            <w:tcW w:w="3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Research and development expenses were $38.4 million for the six months ended June 30, 2026, compared to $92.2 million for the six months ended June 30, 2025. The decrease of $53.8 million was primarily due to (i) a decrease of $34.5 million of elritercept-related expenses, primarily driven by a decrease of $21.1 million in clinical spend and a decrease of $13.4 million in manufacturing activities as activities transitioned to Takeda during 2025; (ii) a decrease of $10.0 million of cibotercept-related expenses, primarily driven by a decrease of $6.3 million in clinical spend associated with our terminated Phase 2 clinical trial and a decrease of $3.7 million in manufacturing and preclinical activities; (iii) a decrease of $15.6 million related to personnel expenses, including a decrease of $5.5 million of stock-based compensation costs, driven by a reduction in headcount; and (iv) a net decrease of $1.8 million in facilities, supplies, professional fees and other expenses. These decreases were partially offset by (a) an increase of $3.8 million of rinvatercept-related expenses, primarily driven by an increase of $3.1 million in clinical spend associated with our Phase 2 clinical trial in patients with DMD and our planned Phase 2 clinical trial in patients with ALS, and a net increase of $0.7 million in manufacturing and preclinical activities; and (b) an increase of $4.4 million in preclinical pipeline and development activities. We expect research and development expenses to fluctuate from quarter to quarter depending on the timing of clinical trial activities, clinical manufacturing and other development activities.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General and Administrative Expenses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General and administrative expenses were $18.8 million for the six months ended June 30, 2026, compared to $25.0 million for the six months ended June 30, 2025. The decrease of approximately $6.2 million was primarily due to a (i) net decrease of $4.3 million in professional fees, insurance, facilities, supplies and other expenses; and (ii) a decrease of $1.9 million in personnel expenses, which includes a decrease of $0.4 million of stock-based compensation costs.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Total Other Income,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other income, net was $4.4 million for the six months ended June 30, 2026, compared to $13.4 million for the six months ended June 30, 2025. The decrease of $9.0 million was driven by a decrease of $9.3 million in dividend income, partially offset by a decrease of $0.3 million in other expense, net.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Income Tax (Provision) Benefit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Income tax provision was zero for the six months ended June 30, 2026, compared to $7.8 million for the six months ended June 30, 2025. The income tax provision in 2025 was attributable to taxable income generated from the Takeda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Since our inception, we have incurred significant operating losses each fiscal year through December 31, 2024. Our net loss was $52.4 million for the six months ended June 30, 2026 compared to net income of $117.8 million for the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val="false"/>
          <w:color w:val="000000"/>
          <w:sz w:val="20"/>
        </w:rPr>
        <w:t xml:space="preserve">June 30, 2025, </w:t>
      </w:r>
      <w:r>
        <w:rPr>
          <w:rFonts w:ascii="Arial;sans-serif" w:hAnsi="Arial;sans-serif"/>
          <w:b w:val="false"/>
          <w:color w:val="000000"/>
          <w:sz w:val="20"/>
          <w:shd w:fill="FFFFFF" w:val="clear"/>
        </w:rPr>
        <w:t>which was primarily driven by the one-time upfront fee related to the Takeda Agreement</w:t>
      </w:r>
      <w:r>
        <w:rPr>
          <w:rFonts w:ascii="Arial;sans-serif" w:hAnsi="Arial;sans-serif"/>
          <w:b w:val="false"/>
          <w:color w:val="000000"/>
          <w:sz w:val="20"/>
        </w:rPr>
        <w:t>. As of June 30, 2026 and December 31, 2025, we had an accumulated deficit of $534.2 million and $481.8 million, respectively. To date, we have devoted the majority of our efforts to business planning, research and development of our product candidates, including by conducting clinical trials and preclinical studies, raising capital and recruiting management and technical staff to support these operations. Our primary uses of cash are to fund operating expenses, which are primarily research and development expenditures. We expect to continue to incur substantial expenses in connection with our ongoing activities, particularly as we advance the preclinical studies and clinical trials of our product candidates. Furthermore, we expect to incur costs associated with operating as a public company, including significant legal, accounting, investor relations, director and officer insurance premiums and other expenses. In addition, if we obtain marketing approval for any of our product candidates, we expect to incur significant commercialization expenses related to establishing sales, marketing, distribution and other commercial infrastructure to commercialize such products.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currently do not have any products approved for sale. We do not expect to generate any revenue from product sales unless and until we successfully complete development and obtain regulatory approval for one or more of our product candidates, which we expect will take a number of years. Since our inception, we have funded our operations primarily through equity financings, research collaborations, or licensing of intellectual property.</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December 2022, we filed a prospectus supplement to a registration statement on Form S-3ASR, including a base prospectus and sales agreement prospectus, or the Prior Shelf Registration Statement, for the issuance and sale of up to $250.0 million of shares of our common stock. On May 3, 2024, we filed a new registration statement on Form S-3ASR, or the New Shelf Registration Statement, to replace the Prior Shelf Registration Statement that was set to expire, which became automatically effective upon filing, and which permitted us to offer, from time to time, an unspecified amount of common stock, preferred stock, debt securities and warrants, including through an “at the market” program with Leerink, as sales agent, or the ATM Program. As of the filing of our Annual Report on Form 10-K for the year ended December 31, 2024, we were no longer qualified as a well-known seasoned issuer and therefore were not eligible to use the New Shelf Registration Statement as an automatic shelf registration statement. As of June 30, 2026, we have sold a total of 4,290,096 shares of our common stock pursuant to the ATM Program. As of June 30, 2026, we were not eligible to offer and sell any shares of our common stock under the ATM Program and did not sell any shares during the three months ended June 30, 2026.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October 2025, we entered into the Repurchase Agreements, pursuant to which the ADAR1 Parties and the Pontifax Parties sold all of the shares of our common stock beneficially owned by them, being an aggregate of 10,176,595 shares of common stock, to us at a per share purchase price of $17.75 per share, for an aggregate purchase price of $180.6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November 2025, we completed our Tender Offer and accepted for purchase a total of 10,950,165 shares of our common stock at a purchase price of $17.75 per share, for an aggregate purchase price of approximately $194.4 million.</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As of June 30, 2026, we had cash and cash equivalents of $257.6 million. Based on our current operating assumptions, we believe that our existing cash and cash equivalents will be sufficient to fund our projected liquidity requirements into the first half of 2028. We have based this estimate on assumptions that may prove to be wrong, and we could use our capital resources sooner than we currently expect. Due to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funding requirements, both near and long-term, will depend on many factors, including: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progress, timing and completion of preclinical studies and clinical trials for our current or any future product candidates, as well as the associated costs, including any unforeseen costs we may incur as a result of preclinical study or clinical trial delays due to public health crises or other causes;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timing and amount of milestone and royalty payments we are required to make or are eligible to receive under our license agreements with each of The General Hospital Corporation, Hansoh, and Takeda;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number of potential new product candidates we identify and decide to develop;</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need for additional or expanded preclinical studies and clinical trials beyond those that we plan to conduct with respect to our current and future product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costs involved in growing our organization to the size needed to allow for the research, development and potential commercialization of our current or any future product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costs involved in filing patent applications, maintaining and enforcing patents or defending against infringement or other claims raised by third 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maintenance of our existing license and collaboration agreements and the entry into new license and collaboration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time and costs involved in obtaining regulatory approval for our product candidates and any delays we may encounter as a result of evolving regulatory requirements or adverse results with respect to any of our product candidates;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competing technological and market developments;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costs of operating as a public company;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manufacturing rinvatercept and future product candidates for clinical trials in preparation for marketing approval and in preparation for commercialization;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cost of establishing sales, marketing and distribution capabilities for any product candidates for which we may receive regulatory approval in regions where we choose to commercialize our products, if approved, on our own;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amount of revenues, if any, we may derive either directly or in the form of royalty payments from future sales of our product candidates, if approved;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market acceptance of any approved product candidates.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implementation of tariffs, public health crises, bank failures, geopolitical tensions and resulting global slowdown of economic activity continue to rapidly evolve and have already resulted in a significant disruption of global financial markets. If the disruption persists and deepens, we could experience an inability to access additional capital when and if needed. If we are unable to obtain funding, we could be forced to delay, reduce or eliminate some or all of our research and development programs and clinical development efforts, which would adversely affect our business prospects, or we may be unable to continue operations. 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Adequate additional funding may not be available to us on acceptable terms, or at all. Any failure to raise capital as and when needed could have a negative impact on our financial condition and on our ability to pursue our business plans and strategies.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Cash Flows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six months ended June 30, 2026 and 2025 (in thousands):</w:t>
      </w:r>
    </w:p>
    <w:tbl>
      <w:tblPr>
        <w:tblW w:w="8409" w:type="dxa"/>
        <w:jc w:val="center"/>
        <w:tblInd w:w="0" w:type="dxa"/>
        <w:tblLayout w:type="fixed"/>
        <w:tblCellMar>
          <w:top w:w="28" w:type="dxa"/>
          <w:left w:w="28" w:type="dxa"/>
          <w:bottom w:w="28" w:type="dxa"/>
          <w:right w:w="28" w:type="dxa"/>
        </w:tblCellMar>
      </w:tblPr>
      <w:tblGrid>
        <w:gridCol w:w="2088"/>
        <w:gridCol w:w="1840"/>
        <w:gridCol w:w="1847"/>
        <w:gridCol w:w="211"/>
        <w:gridCol w:w="796"/>
        <w:gridCol w:w="109"/>
        <w:gridCol w:w="109"/>
        <w:gridCol w:w="109"/>
        <w:gridCol w:w="109"/>
        <w:gridCol w:w="211"/>
        <w:gridCol w:w="826"/>
        <w:gridCol w:w="154"/>
      </w:tblGrid>
      <w:tr>
        <w:trPr/>
        <w:tc>
          <w:tcPr>
            <w:tcW w:w="2088"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(29,809)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130,284 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left"/>
        <w:rPr>
          <w:rFonts w:ascii="Arial;sans-serif" w:hAnsi="Arial;sans-serif"/>
          <w:b w:val="false"/>
          <w:i/>
          <w:color w:val="000000"/>
          <w:sz w:val="20"/>
        </w:rPr>
      </w:pPr>
      <w:r>
        <w:rPr>
          <w:rFonts w:ascii="Arial;sans-serif" w:hAnsi="Arial;sans-serif"/>
          <w:b w:val="false"/>
          <w:i/>
          <w:color w:val="000000"/>
          <w:sz w:val="20"/>
        </w:rPr>
        <w:t xml:space="preserve">Cash Provided by (Used in) Operating Activities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operating activities was $24.0 million for the six months ended June 30, 2026, which was driven by a net loss of $52.4 million and partially offset by (i) $14.8 million in net cash provided by operating assets and liabilities; and (ii) non-cash charges including $11.6 million of stock-based compensation expense, $1.3 million in lease expenses and $0.8 million in depreciation. The $14.8 million of net cash provided by operating assets and liabilities was comprised of (i) a $15.2 million decrease in prepaid expenses and other current assets due to timing of expense recognition for our research and development costs; and (ii) a $3.6 million decrease in accounts receivable related to the Takeda Agreement, which was partially offset by (a) a $2.8 million decrease in accounts payable and accrued expenses; and (b) a $1.2 million change in operating lease liabilities.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cash provided by operating activities was $131.5 million for the six months ended June 30, 2025, which was driven by a (i) net income of $117.8 million and (ii) non-cash charges including $17.4 million of stock-based compensation expense, $1.2 million in lease expenses and $0.7 million in depreciation; partially offset by $5.5 million in net cash used in operating assets and liabilities. The $5.5 million of net cash used in operating assets and liabilities was comprised of (i) a $13.1 million increase in accounts receivable related to the Takeda Agreement; (ii) a $0.6 million increase in prepaid expenses and other current assets due to timing of expense recognition for our research and development costs; (iii) a $0.3 million decrease in accounts payable and accrued expenses to support the advancement of our programs; and (iv) a $0.9 million change in operating lease liabilities, which was partially offset by; (a) a $0.9 million increase in deferred revenue; (b) a $6.3 million increase in current tax liability; and (c) a $2.1 million decrease in other long-term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Arial;sans-serif" w:hAnsi="Arial;sans-serif"/>
          <w:b w:val="false"/>
          <w:i/>
          <w:color w:val="000000"/>
          <w:sz w:val="20"/>
        </w:rPr>
      </w:pPr>
      <w:r>
        <w:rPr>
          <w:rFonts w:ascii="Arial;sans-serif" w:hAnsi="Arial;sans-serif"/>
          <w:b w:val="false"/>
          <w:i/>
          <w:color w:val="000000"/>
          <w:sz w:val="20"/>
        </w:rPr>
        <w:t>Cash Used in Investing Activities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Net cash used in investing activities was $0.2 million for the six months ended June 30, 2026 and $1.3 million for the six months ended June 30, 2025. The cash used in investing activities in both periods was due to purchases of property and equipment. </w:t>
      </w:r>
    </w:p>
    <w:p>
      <w:pPr>
        <w:pStyle w:val="TextBody"/>
        <w:bidi w:val="0"/>
        <w:spacing w:before="0" w:after="0"/>
        <w:jc w:val="left"/>
        <w:rPr/>
      </w:pPr>
      <w:r>
        <w:rPr/>
      </w:r>
    </w:p>
    <w:p>
      <w:pPr>
        <w:pStyle w:val="TextBody"/>
        <w:bidi w:val="0"/>
        <w:spacing w:lineRule="auto" w:line="276" w:before="0" w:after="120"/>
        <w:jc w:val="both"/>
        <w:rPr>
          <w:rFonts w:ascii="Arial;sans-serif" w:hAnsi="Arial;sans-serif"/>
          <w:b w:val="false"/>
          <w:i/>
          <w:color w:val="000000"/>
          <w:sz w:val="20"/>
        </w:rPr>
      </w:pPr>
      <w:r>
        <w:rPr>
          <w:rFonts w:ascii="Arial;sans-serif" w:hAnsi="Arial;sans-serif"/>
          <w:b w:val="false"/>
          <w:i/>
          <w:color w:val="000000"/>
          <w:sz w:val="20"/>
        </w:rPr>
        <w:t xml:space="preserve">Cash Provided by (Used in) Financing Activities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Net cash used in financing activities was $5.6 million for the six months ended June 30, 2026, which was primarily related to $5.7 million in cash paid for direct expenses associated with the Repurchase Agreements and the Tender Offer, partially offset by exercises of options to purchase common stock.</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Net cash provided by financing activities was nominal for the six months ended June 30, 2025 and was related to exercises of options to purchase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Contractual Obligations and Commitments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disclosure of our contractual obligations and commitments was included in the Annual Report. There have been no material changes from the contractual commitments and obligations previously disclosed in the Annual Report, except as described herein.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Purchase Commitments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enter into agreements in the normal course of business with contract manufacturing organizations for process development, raw material purchases and manufacturing services. These contracts typically do not contain minimum purchase commitments and are generally cancellable by us upon written notice. Payments due upon cancellation consist of payments for services provided or expenses incurred, including noncancellable obligations of our service providers, up to the date of cancellation and, in the case of certain arrangements with contract manufacturing organizations, may include noncancellable fees. Under such agreements, the exact amounts owed by us in the event of termination will be based on the timing of the termination and the exact terms of the agreement. As of June 30, 2026, we have committed up to approximately $7.0 million under these agreements which are expected to be paid through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unaudited interim condensed consolidated financial statements are prepared in accordance with generally accepted accounting principles in the United States. The preparation of our unaudited interim condensed consolidated financial statements and related disclosures requires us to make estimates and judgments that affect the reported amounts of assets, liabilities, costs and expenses, and the disclosure of contingent assets and liabilities in our condensed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have been no significant changes to our critical accounting policies from those described in “Management’s Discussion and Analysis of Financial Condition and Results of Operations,”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Recently Issued Accounting Pronouncements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2 in the accompanying notes to our unaudited interim condensed consolidated financial statements appearing elsewhere in this Quarterly Report on Form 10-Q for a discussion of recent accounting pronouncements. In the six months ended June 30, 2026, there were no newly applicable recently issued accounting pronouncements.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are a “smaller reporting company,” as defined in Item 10(f)(1) of Regulation S-K. As a result, pursuant to Item 305(e) of Regulation S-K, we are not required to provide the information required by this Item 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our Chief Financial Officer, evaluated the effectiveness of our disclosure controls and procedures as of June 30, 2026.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Inherent Limitations on Effectiveness of Controls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From time to time, we may become subject to arbitration, litigation or claims arising in the ordinary course of business.</w:t>
      </w:r>
      <w:r>
        <w:rPr>
          <w:color w:val="000000"/>
          <w:shd w:fill="FFFFFF" w:val="clear"/>
        </w:rPr>
        <w:t xml:space="preserve"> </w:t>
      </w:r>
      <w:r>
        <w:rPr>
          <w:rFonts w:ascii="Arial;sans-serif" w:hAnsi="Arial;sans-serif"/>
          <w:b w:val="false"/>
          <w:color w:val="000000"/>
          <w:sz w:val="20"/>
          <w:shd w:fill="FFFFFF" w:val="clear"/>
        </w:rPr>
        <w:t>We are not currently a party to any material arbitration or legal proceedings.</w:t>
      </w:r>
      <w:r>
        <w:rPr>
          <w:color w:val="000000"/>
        </w:rPr>
        <w:t xml:space="preserve"> </w:t>
      </w:r>
      <w:r>
        <w:rPr>
          <w:rFonts w:ascii="Arial;sans-serif" w:hAnsi="Arial;sans-serif"/>
          <w:b w:val="false"/>
          <w:color w:val="000000"/>
          <w:sz w:val="20"/>
        </w:rPr>
        <w:t>The results of any future claims or proceedings cannot be predicted with certainty, and regardless of the outcome, litigation can have an adverse impact on us because of defense and litigation costs, diversion of management resources, and other factors.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 xml:space="preserve">Our business is subject to numerous risks. You should consider carefully the risks and uncertainties described below, in addition to other information contained in this Quarterly Report on Form 10-Q as well as our other public filings with the Securities and Exchange Commission, or the SEC. Any of the following risks could have a material adverse effect on our business, financial condition, results of operations and growth prospects and cause the trading price of our common stock to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Financial Position and Need for Additional Capital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have a limited operating history, have incurred net losses in almost every year since our inception and anticipate that we will continue to incur net losses in the future.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are a clinical-stage biopharmaceutical company with a limited operating history. Since our inception in 2015, we have invested most of our resources in developing our product candidates, building our intellectual property portfolio, developing our supply chain,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not yet demonstrated the ability to progress any product candidate through late-stage clinical trials, we have no products approved for commercial sale and we have not generated any revenue from product sales to date. While we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profitable in the year ended December 31, 2025, this was primarily driven by the one-time upfront payment from our license agreement with Takeda Pharmaceuticals U.S.A., Inc., or Takeda. We continue to incur significant research and development and other expenses related to our ongoing operations. As a result, we have incurred losses in all fiscal years prior to the fiscal year ended December 31, 2025. For the three and six months ended June 30, 2026, we reported a net loss of $28.7 million and $52.4 million, respectively. As of June 30, 2026, we had an accumulated deficit of $534.2 million. We expect to continue to incur significant losses for the foreseeable future, and we expect these losses to increase as we continue our research and development of, and seek regulatory approvals for, our lead product candidate, rinvatercept, our most advanced product candidate, elritercept, and any future product candidates we may develop.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anticipate that our expenses will increase substantially if, and as, we: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progress our Phase 2 clinical trial of rinvatercept in patients with Duchenne muscular dystrophy, or DMD;</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commence our Phase 2 clinical trial of rinvatercept in patients with amyotrophic lateral sclerosis, or ALS;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continue the research and development of our other clinical- and preclinical-stage product candidates and discovery-stage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increase the amount of research and development activities to identify and develop product candidates using our proprietary discovery approach;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make milestone, royalty or other payments under in-license or collaboration agreements;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maintain, expand and protect our intellectual property portfolio;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expand our operational, financial and management systems and increase personnel, including personnel to support our clinical development, manufacturing and commercialization efforts and our operations as a public company;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 a sales, marketing, medical affairs and distribution infrastructure to commercialize any products for which we may obtain marketing approval and intend to commercialize on our own or jointly with third 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invest in or in-license other technologies;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experience any delays or encounter any issues with any of the above, including but not limited to failed studies, complex results, manufacturing challenges, safety issues or other regulatory challenges.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our collaborators and any potential future collaborators may never succeed in any or all of these activities and, even if we do, we may never generate revenue that is significant or large enough to achieve profitability. Revenue we generate from our collaborations with Takeda and Hansoh (Shanghai) Healthtech Co., Ltd., or Hansoh, and any future collaboration arrangements may not be sufficient to sustain our operations.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 date, we have funded our operations primarily through private placements of our equity securities, upfront, milestone and expense reimbursement payments received from our collaborators, from our initial public offering, or IPO, in April 2020, from our public offerings of common stock in November 2020 and January 2024, and from our “at-the-market offering,” in connection with our Sales Agreement with Leerink Partners LLC, or Leerink, as agent, pursuant to which we may offer and sell, from time to time, shares of our common stock through Leerink, or the ATM Offering. We expect our expenses to increase in connection with our ongoing activities, particularly as we progress our Phase 2 clinical trial of rinvatercept in patients with DMD and commence our Phase 2 clinical trial of rinvatercept in patients with ALS, and continue to research, develop and initiate clinical trials of any other future product candidates. In addition, if we obtain regulatory approval for any of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34" name="Frame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candidates, we expect to incur significant commercialization expenses related to product manufacturing, marketing,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June 30, 2026, we had $257.6 million in cash and cash equivalents. Based on our current operating assumptions, we expect that our existing cash and cash equivalents as of June 30, 2026 will enable us to fund our operating expenses and capital expenditure requirements into the first half of 2028. We have based this estimate on assumptions that may prove to be wrong, and we could use our capital resources sooner than we currently expect. Our future capital requirements for rinvatercept, elritercept or our other preclinical programs will depend on many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progress, timing and completion of preclinical studies and clinical trials for our current or any future product candidates, as well as the associated costs, including any unforeseen costs we may incur as a result of preclinical study or clinical trial delays due to public health crises or other causes;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the timing and amount of milestone and royalty payments we are required to make or are eligible to receive under our license agreements with each of The General Hospital Corporation, Takeda and Hansoh;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number of potential new product candidates we identify and decide to develop;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need for additional or expanded preclinical studies and clinical trials beyond those that we plan to conduct with respect to our current and future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costs involved in growing our organization to the size needed to allow for the research, development and potential commercialization of our current or any future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costs involved in filing patent applications, maintaining and enforcing patents or defending against infringement or other claims raised by third parties;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maintenance of our existing license and collaboration agreements and the entry into new license and collaboration agreements;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time and costs involved in obtaining regulatory approval for our product candidates and any delays we may encounter as a result of evolving regulatory requirements or adverse results with respect to any of our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competing technological and market developments;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 of manufacturing rinvatercept and future product candidates for clinical trials in preparation for marketing approval applications and in preparation for commercialization;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 of establishing sales, marketing and distribution capabilities for any product candidates for which we may receive regulatory approval in regions where we choose to commercialize our products, if approved, on our own;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amount of revenues, if any, we may derive either directly or in the form of royalty payments from future sales of our product candidates, if approved;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market acceptance of any approved product candidates.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do not have any committed external source of funds or other support for our development efforts and we cannot be certain that additional funding will be available on acceptable terms, or at all. Further, in the event that the license agreement we entered into with Takeda, or the Takeda Agreement, is terminated, we may not receive any additional fees or milestone payments under that agreement. Absent the funding support obtained under the Takeda Agreement, our further development of elritercept would require significant additional capital from us, or the establishment of alternative collaborations with third parties, which may not be possible.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ability to raise additional funds will depend on financial, economic and market conditions and other factors, over which we may have no or limited control. Disruptions in the financial markets in general, geopolitical conflicts and economic instability may make equity and debt financing more difficult to obtain, and may have a material adverse effect on our ability to meet our fundraising needs. We cannot guarantee that future financing will be available in sufficient amounts or on terms acceptable to us, if at all. If we are unable to obtain additional funding, we could be forced to delay, reduce or eliminate some or all of our research and development programs and clinical development efforts, which would adversely affect our business prospects, or we may be unable to continue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35" name="Frame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Raising additional capital may cause dilution to holders of our common stock, restrict our operations or require us to relinquish rights to our technologies or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Until such time, if ever, as we can generate substantial product revenues, we expect to finance our operations with our existing cash and cash equivalents and revenue from our collaborations. In order to further advance development of our product candidates, discover additional product candidates and pursue our other business objectives, we will need to seek additional funds.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cannot guarantee that future financing will be available in sufficient amounts or on commercially reasonable terms, if at all. Moreover, the terms of any financing may adversely affect the holdings or the rights of holders of our common stock and the issuance of additional securities, whether equity or debt, by us, or the possibility of such issuance, may cause the market price of our common stock to decline. The sale of additional common stock or securities convertible or exchangeable into common stock would dilute all of our existing stockholders and the terms of these securities may include liquidation or other preferences that adversely affect your rights as a holder of our common stock. The incurrence of indebtedness could result in increased fixed payment obligations and we may be required to agree to certain restrictive covenants, such as limitations on our ability to incur additional debt or declare dividends, limitations on our ability to acquire, sell or license intellectual property rights and other operating restrictions that could adversely impact our ability to conduct our business.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collaborators for rinvatercept or any future product candidate at an earlier stage than otherwise would be desirable or relinquish our rights to product candidates or technologies that we otherwise would seek to develop or commercialize ourselves. Further, any additional fundraising efforts may divert our management from its day-to-day activities, which may adversely affect our ability to develop and commercialize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the Discovery, Development and Regulatory Approval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heavily dependent on the success of our product candidates, which are in clinical development. If we are unable to advance our current or future product candidates through clinical trials, obtain marketing approval and ultimately commercialize any product candidates we develop, or experience significant delays in doing so, our business will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rinvatercept and elritercept are still in clinical trials. If either of rinvatercept or elritercept encounters safety or efficacy problems, development delays or regulatory issues or other problems, our development plans and business would be significantly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ability to generate product revenues, which we do not expect will occur for several years, if ever, will depend heavily on the successful development and eventual commercialization of rinvatercept, elritercept and any future product candidates we develop, which may never occur. Rinvatercept, elritercept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successful and timely completion of clinical trials and preclinical studies for which the U.S. Food and Drug Administration, or the FDA, or any comparable foreign regulatory authority agree with the design, endpoints or implementation;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sufficiency of our financial and other resources to complete the necessary preclinical studies and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36" name="Frame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receiving regulatory approvals or authorizations for conducting our planned clinical trials or future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commencement of and successful patient enrollment in, and completion of, additional clinical trials on a timely basis;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demonstrate to the satisfaction of the FDA or any comparable foreign regulatory authority that the applicable product candidate is safe and effective as a treatment for our targeted indications or, in the case of an applicable product candidate which is regulated as a biological product, that the applicable product candidate is safe, pure, and potent for our targeted indications;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demonstrate to the satisfaction of the FDA or any comparable foreign regulatory authority that the applicable product candidate’s risk-benefit ratio for its proposed indication is acceptable;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timely receipt of marketing approvals for our product candidates from applicable regulatory authorities;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extent of any required post-marketing approval commitments to applicable regulatory authorities;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establishing and scaling up, either alone or with third-party manufacturers, manufacturing capabilities of clinical supply for our clinical trials and commercial manufacturing, if any of our product candidates are approved;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obtaining and maintaining patent and trade secret protection or regulatory exclusivity for our product candidates, both in the United States and internationally;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successfully scaling a sales and marketing organization and launching commercial sales of our product candidates, if approved;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acceptance of our product candidates’ benefits and uses, if approved, by patients, the medical community and third-party payors;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maintaining a continued acceptable safety profile of our product candidates following approval;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effectively competing with companies developing and commercializing other therapies in the indications which our product candidates target;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obtaining and maintaining healthcare coverage and adequate reimbursement from third-party payors;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enforcing and defending intellectual property rights and claims.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or our collaborators are not successful with respect to one or more of these factors in a timely manner or at all, we or our collaborators could experience significant delays or an inability to successfully commercialize rinvatercept, elritercept or any future product candidates we develop, which would materially harm our business. If we do not receive marketing approvals for our current and future product candidates, we may not be able to continue our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All of our product candidates are in preclinical or clinical development stages. Clinical trials are difficult to design and implement, and they involve a lengthy and expensive process with uncertain outcomes. We may experience delays in completing, or ultimately be unable to complete, the development and commercialization of rinvatercept, elritercept or any future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 For example, in January 2025, we announced the early termination of our Phase 2 clinical trial evaluating cibotercept in patients with pulmonary arterial hypertension, or PAH, which we refer to as the TROPOS trial, based on an ongoing safety review due to the unanticipated observation of pericardial effusion adverse events in the trial.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date, we have not completed any pivotal clinical trials required for the approval of any of our product candidates. Although we have completed our Phase 1 clinical trial of rinvatercept and our Phase 1 clinical trial of elritercept, both in healthy volunteers, we may experience delays in our ongoing clinical trials or preclinical studies and we do not know whether planned clinical trials will begin on time, need to be redesigned, enroll patients on time, have sufficient drug supply for our product candidates on a timely basis or be completed on schedule, if at all. A failure of one or more clinical trials can occur at any stage of testing, and our ongoing and future clinical trials may not be successful. We or our collaborators also may experience numerous unforeseen events during our clinical trials that could delay or prevent our ability to receive marketing approval or commercialize rinvatercept, elritercept or any future product candidates,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or failure to obtain regulatory authorizations to commence a trial;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delays in reaching a consensus with regulatory agencies as to the design or implementation of our clinical trials;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or failure to reach agreement on acceptable terms with prospective contract research organizations, or CROs, and clinical trial sites, the terms of which can be subject to extensive negotiation and may vary significantly among different CROs and trial sites;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or failure to obtain institutional review board, or IRB, or positive ethics committee opinions at each site;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0520"/>
                <wp:effectExtent l="0" t="0" r="0" b="0"/>
                <wp:wrapNone/>
                <wp:docPr id="37" name="Frame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or failure to recruit a sufficient number of suitable patients to participate in a trial;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failure to have patients complete a trial or return for post-treatment follow-up, including disruptions in our ability to treat patients or conduct post-treatment follow-up due to public health crises;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clinical sites deviating from trial protocol, missing data or dropping out of a trial;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adding new clinical trial sites;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failure to manufacture sufficient quantities of our product candidates for use in clinical trials in a timely manner;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occurrence of adverse events associated with the product candidate that are viewed to outweigh its potential benefits, or safety or tolerability concerns that could cause us or our collaborators, as applicable, to suspend or terminate a trial if we or our collaborators find that the participants are being exposed to unacceptable health risks;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failure to perform clinical trials in accordance with the FDA’s or any comparable foreign regulatory authority’s good clinical practices, or GCP, requirements, or regulatory guidelines in other countries;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regulatory requirements, policies and guidelines;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failure of our third-party research contractors to comply with regulatory requirements or meet their contractual obligations to us in a timely manner, or at all;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establishing the appropriate dosage levels and frequency of dosing in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quality or stability of our product candidates falling below acceptable standards; and</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business interruptions resulting from geopolitical actions, including war, such as the current Russia-Ukraine war and the wars in the Middle East, and terrorism or the perception that such hostilities may be imminent, another outbreak of a contagious disease, or natural disasters including earthquakes, typhoons, floods and fires.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public health crises may increase the likelihood that we encounter additional difficulties and delays in the future. We could also encounter delays if a clinical trial is suspended or terminated by us, the IRBs of the institutions in which such trials are being conducted, or the FDA or comparable foreign regulatory authorities, or recommended for suspension or termination by the Safety Review Committee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Our clinical trials may fail to demonstrate substantial evidence of the safety and efficacy or safety, purity and potency of our product candidates or any future product candidates, which would prevent or delay or limit the scope of regulatory approval and commercialization.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obtain the requisite regulatory approvals to market and sell any of our product candidates, including rinvatercept, elritercept and any other future product candidates, we must demonstrate through extensive preclinical studies and clinical trials that our investigational drug products are safe and effective for use in each targeted indication, and in the case of our product candidates regulated as biological products, such as rinvatercept and elritercept, that the product candidate is safe, pure and potent for use in its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0520"/>
                <wp:effectExtent l="0" t="0" r="0" b="0"/>
                <wp:wrapNone/>
                <wp:docPr id="38" name="Frame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commercialize rinvatercept, elritercept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 For example, in January 2025, we announced the early termination of our TROPOS trial evaluating cibotercept in patients with PAH, based on an ongoing safety review due to the unanticipated observation of pericardial effusion adverse events in the trial. Consequently, we determined to deprioritize cibotercept, and pause all material, internal development activities associated with this asset.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Even if the trials are successfully completed, clinical data are often susceptible to varying interpretations and analyses, and we cannot guarantee that the FDA or comparable foreign regulatory authorities will interpret the results as we do,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rinvatercept, elritercept and any future product candidates may be significantly delayed, or we may be required to expend significant additional resources, which may not be available to us or our collaborators,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results of nonclinical and preclinical studies and clinical trials may not be predictive of the results of later-stage clinical trials. Product candidates in later stages of clinical trials may fail to show the desired safety and efficacy traits despite having progressed through preclinical studies and initial clinical trials. For example, in a Phase 1 clinical trial evaluating cibotercept in healthy volunteers, cibotercept was generally well tolerated at doses up to 4.5 mg/kg, and there were no reported pericardial effusion adverse events. However, in January 2025, we announced the early termination of our TROPOS trial evaluating cibotercept in patients with PAH, based on an ongoing safety review due to the unanticipated observation of pericardial effusion adverse events in the trial.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or comparable foreign regulatory authority approval. Any such setbacks in our clinical development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Additionally, some of the clinical trials we conduct may include open-label trials conducted at a limited number of clinical sites on a limited number of patients. For example, the ongoing Phase 2 clinical trials of elritercept, one in patients with lower-risk MDS and one in patients with myelofibrosis, and our ongoing Phase 2 clinical trial of rinvatercept in patients with DMD, are open-label trials. An “open-label” clinical trial is one where both the patient and investigator know whether the patient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0520"/>
                <wp:effectExtent l="0" t="0" r="0" b="0"/>
                <wp:wrapNone/>
                <wp:docPr id="39" name="Frame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receiving the investigational product candidate or either an existing approved product or placebo. Most typically, open-label clinical trials test only the investigational product candidate and sometimes may do so at different dose levels. For example, in our ongoing Phase 2 clinical trial for rinvatercept in patients with DMD, rinvatercept is being administered at a starting dose of 0.5 mg/kg, and, based on individual titration rules, the dose may be escalated in 0.5 mg/kg increments after two doses, up to a maximum dose of 2.0 mg/kg.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Open-label clinical trials are also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Given that two open-label Phase 2 clinical trials are ongoing for elritercept, one in patients with lower-risk MDS and one in patients with myelofibrosis, and one open-label Phase 2 clinical trial is ongoing for rinvatercept in patients with DMD, the results from these clinical trial may not be predictive of future clinical trial results with these or other product candidates for which we include an open-label clinical trial, when studied in a controlled environment with a placebo or active control.</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rinvatercept and elritercept have generally been well tolerated in our preclinical studies and clinical trials to date, the results from future preclinical studies and clinical trials, including of cibotercept and our other product candidates, may identify additional safety concerns or other undesirable properties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results of our ongoing Phase 2 clinical trials of elritercept, our ongoing Phase 1 clinical trial of rinvatercept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Additionally, adverse developments in clinical trials of pharmaceutical and biopharmaceutical products conducted by others may cause the FDA or other foreign regulatory oversight bodies to suspend or terminate our clinical trials or to change the requirements for approval of any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if any of our product candidates receives marketing approval and we or others later identify undesirable or unacceptable side effects caused by such products, a number of potentially significant negative consequences could result, including: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authorities may withdraw approvals of such product and require us to take our approved product off the market;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authorities may require the addition of labeling statements, specific warnings, a contraindication or field alerts to physicians and pharmacies;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authorities may require a medication guide outlining the risks of such side effects for distribution to patients, or that we implement a risk evaluation and mitigation strategy, or REMS, plan to ensure that the benefits of the product outweigh its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0520"/>
                <wp:effectExtent l="0" t="0" r="0" b="0"/>
                <wp:wrapNone/>
                <wp:docPr id="40" name="Frame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be required to conduct additional clinical trials, which may lead to additional interactions with regulatory authorities;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be required to change the way the product is administered, conduct additional clinical trials or change the labeling of the product;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be subject to limitations on how we may promote the product;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sales of the product may decrease significantly;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be subject to litigation or product liability claims;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reputation may suffer.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find it difficult to enroll patients in our clinical trials, which could delay or prevent us from proceeding with, or otherwise adversely affect, clinical trials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Identifying and qualifying patients to participate in clinical trials of our product candidates is critical to our success. The timely completion of our clinical trials in accordance with their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including public health crises. Any delays related to patient enrollment or difficulties related to patient retention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size and nature of the patient population and process for identifying patients;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proximity and availability of clinical trial sites for prospective patients;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ability of patients to travel to clinical trial sites;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eligibility and exclusion criteria for the trial;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design of the clinical trial;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safety profile, to date, of the product candidate under study;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perceived risks and benefits of the product candidate under study;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perceived risks and benefits of our approach;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approval of competing product candidates currently under investigation for the treatment of similar diseases or conditions, or competing clinical trials for similar product candidates or targeting patient populations meeting our patient eligibility criteria;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severity of the disease under investigation;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degree of progression of the patient’s disease at the time of enrollment and throughout the clinical trial;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ability to obtain and maintain patient consent;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risk that enrolled patients will drop out before completion of the trial;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patient referral practices of physicians;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ability to adequately monitor patients during and after treatment.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Enrollment risks are heightened with respect to indications that are rare or orphan diseases, which may limit the pool of patients that may be enrolled in our planned clinical trials.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Delays related to patient enrollment and difficulties related to patient retention may result in increased costs or may affect the timing or outcome of our future clinical trials, which could prevent completion of these trials and adversely affect our ability to advance the development of our product candidates.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0520"/>
                <wp:effectExtent l="0" t="0" r="0" b="0"/>
                <wp:wrapNone/>
                <wp:docPr id="41" name="Frame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From time to time, we may publish interim, topline or preliminary data from our clinical trials. Preliminary and interim data from our clinical trials may change as more participant data become available. For example, in December 2024, we announced preliminary efficacy results from Parts 1 and 2 of our Phase 2 clinical trial evaluating elritercept for the treatment of anemia and thrombocytopenia in patients with lower-risk MDS. Preliminary or interim data from our clinical trials are not necessarily predictive of final results. Preliminary and interim data are subject to the risk that one or more of the clinical outcomes may materially change as enrollment continues, more trial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our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Before we can commence clinical trials for any product candidate, we must complete extensive preclinical studies that support any future Investigational New Drug, or IND, applications in the United States, or similar applications in other jurisdictions. All of our completed clinical trials have, to date, been conducted outside of the United States. However, we submitted and cleared an IND with the FDA for our Phase 2 clinical trial for elritercept in patients with MDS in October 2022 and submitted and cleared an IND with the FDA for our Phase 2 clinical trial for elritercept in patients with myelofibrosis in February 2025. Conducting preclinical testing is a lengthy, time-consuming and expensive process and delays associated with product candidates for which we are directly conducting preclinical testing and studies may cause us to incur additional operating expenses. While we are initially conducting a Phase 2 clinical trial of rinvatercept in patients with DMD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 </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Our research and development activities could be affected or delayed as a result of shortages in animal availability or possible restrictions on animal testing.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Certain laws and regulations require us to test our product candidates on animals before initiating clinical trials involving humans. Failure to access or a significant delay in accessing animal research models that meet our needs or that fulfill regulatory requirements may materially adversely affect our ability to advance our preclinical and clinical programs and successfully develop our product candidates, and this could result in significant harm to our business.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Additionally, animal testing activities have been the subject of controversy and adverse publicity. Animal rights groups and other organizations and individuals have attempted to stop animal testing activities by pressing for legislation and regulation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0520"/>
                <wp:effectExtent l="0" t="0" r="0" b="0"/>
                <wp:wrapNone/>
                <wp:docPr id="42" name="Frame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The regulatory approval processes of the FDA and comparable foreign regulatory authorities are lengthy, time-consuming and inherently unpredictable, and if we are ultimately unable to obtain regulatory approval for our product candidates, our business will be substantially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product candidates could fail to receive regulatory approval for many reasons,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FDA or comparable foreign regulatory authorities may disagree with the design or implementation of our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be unable to demonstrate to the satisfaction of the FDA or comparable foreign regulatory authorities that a product candidate is safe and effective as a treatment for our targeted indications, or, in the case of a product candidate regulated as a biological product, that the product candidate is safe, pure and potent for its proposed indication;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population studied may not be sufficiently broad or representative to assure safety or efficacy in the population for which we seek approval;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results of clinical trials may not meet the level of statistical significance required by the FDA or comparable foreign regulatory authorities for approval;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be unable to demonstrate that a product candidate’s clinical and other benefits outweigh its safety risks;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FDA or comparable foreign regulatory authorities may disagree with our interpretation of data from preclinical studies or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FDA or comparable foreign regulatory authorities may require additional preclinical studies or clinical trials beyond those that we currently anticipate;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data collected from clinical trials of our product candidates may not be sufficient to support the submission of a New Drug Application, or NDA, or a Biologics License Application, or BLA, as applicable, to the FDA or other submission or to obtain regulatory approval in the United States or elsewhere;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approval policies or regulations of the FDA or any comparable foreign regulatory authorities or the laws they enforce may significantly change in a manner rendering our clinical data insufficient for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 If global health concerns such as a pandemic prevent the FDA or other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0520"/>
                <wp:effectExtent l="0" t="0" r="0" b="0"/>
                <wp:wrapNone/>
                <wp:docPr id="43" name="Frame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The FDA and any comparable foreign regulatory authorities may not accept data from trials conducted in locations outside of their jurisdiction.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acceptance of trial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Similar requirements and limitations regarding the acceptability of foreign clinical trial data may apply in other countries.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Practices, or cGMPs, and GCP requirements for any clinical trials that we conduct post-approval.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or BLA, other foreign marketing authorization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impose similar requirements to the FDA REMS program. As an example, the European Commission may require the implementation of a risk mitigation plan in order to collect additional information on a medicine’s safety profile which may include plans for pharmacovigilance activities and measures to minimize risks. In addition, if the FDA or a comparable foreign regulatory authority approves our product candidates, we will have to comply with requirements including submissions of safety and other post-marketing information and reports and registration.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FDA or comparable foreign regulatory authorities may impose consent decrees, or similar requirements,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or comparable foreign program. Other potential consequences include, among other things: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0520"/>
                <wp:effectExtent l="0" t="0" r="0" b="0"/>
                <wp:wrapNone/>
                <wp:docPr id="44" name="Frame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restrictions or suspensions on operations including on the marketing or manufacturing of our products, if approved, withdrawal of the product from the market or voluntary or mandatory product recalls;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fines, warning letters or holds on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refusal by the FDA or comparable foreign regulatory authorities to approve pending applications or supplements to approved applications filed by us or suspension or revocation of license approvals;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product seizure or detention or refusal to permit the import or export of our product candidates;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injunctions or the imposition of civil or criminal penalties.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FDA and comparable foreign regulatory authorities strictly regulate marketing, labeling, advertising, and promotion of products that are placed on the market. Products may be promoted only for the approved indications and in accordance with the provisions of the approved label. The FDA and other agencies and comparable foreign regulatory authorities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or comparable foreign regulatory authorities. Physicians may believe that such off-label uses are the best treatment for many patients in varied circumstances. The FDA and comparable foreign regulatory authorities do not govern the behavior of physicians in their choice of treatments. The FDA and comparable foreign regulatory authorities do, however, restrict manufacturer’s communications on the subject of off-label use of their products. As an example, the United States federal government has levied large civil and criminal fines against companies for alleged improper promotion of off-label use and has enjoined companies from engaging in off-label promotion. The FDA and other foreign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approved labeling.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holder of an NDA or BLA and equivalent foreign applications must submit new or supplemental applications and obtain approval for certain changes to the approved product, product labeling, or manufacturing process. We could also be asked to conduct post-marketing clinical trials to confirm the safety and efficacy of our products, if approved, in general or in specific patient subsets. If original marketing approval was obtained via the accelerated approval pathway, we could be required to conduct a successful post-marketing clinical trial to confirm clinical benefit for our products, if approved. An unsuccessful post-marketing study or failure to complete such a study could result in the withdrawal of marketing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(EU) No 536/2014, or CTR, which repealed the EU Clinical Trials Directive, or CTD,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or CTIS. In addition, the CTR requires the publication of certain data and documents in relation to the conduct of a clinical trial, which will take place in accordance with specific timelines. The timelines are established by the European Medicines Agency, or the EMA, and are determined based on the documents and the categorization of the clinical trial. The CTR provided a three-year transition period that ended on January 31, 2025. Since this date, all new or ongoing trials are subject to the provisions of the CTR. Our compliance with the CTR requirements and that of our third-party service providers, such as CROs, may impact our development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UK regulatory framework in relation to clinical trials is governed by the Medicines for Human Use (Clinical Trials) Regulations 2004, as amended, which is derived from the CTD, as implemented into UK national law through secondary legislation. The United Kingdom government has enacted new legislation to overhaul the clinical trials regulatory framework. In April 2025, the UK adopted the Medicines for Human Use (Clinical Trials) (Amendment) Regulations 2025, intended to support a more streamlined and flexible regulation of clinical trials, remove unnecessary administrative burdens on trial sponsors, and protect the interests of trial participants. The amendment became applicable on April 28, 2026 following a one-year transition period. While these changes introduce efficiencies, the new requirements may impose additional compliance burdens on us and our CROs conducting trials in the United Kingdom and could result in increased costs or delays in trial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0520"/>
                <wp:effectExtent l="0" t="0" r="0" b="0"/>
                <wp:wrapNone/>
                <wp:docPr id="45" name="Frame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initiation or conduct. Any significant divergence between the United Kingdom and EU regulatory systems could affect the cost and complexity of conducting clinical trials in the United Kingdom and may impact the acceptability of United Kingdom-based trial data for seeking marketing authorizations in the EU, and vice versa.</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In addition, </w:t>
      </w:r>
      <w:r>
        <w:rPr>
          <w:rFonts w:ascii="Arial;sans-serif" w:hAnsi="Arial;sans-serif"/>
          <w:b w:val="false"/>
          <w:color w:val="000000"/>
          <w:sz w:val="20"/>
        </w:rPr>
        <w:t>on December 11, 2025, the European Commission, the European Parliament and the European Council reached a political agreement on a comprehensive overhaul of EU pharmaceutical legislation, or the Pharma Package. The reform has been under negotiation since the European Commission submitted its proposal in April 2023. This package – comprised of a new directive and regulation to replace existing legislation – aims to modernize the EU framework. The political agreement is currently subject to formal approval by the European Parliament and Council. If adopted substantially in its proposed form, the Pharma Package could, among other changes, reduce the baseline market protection period by one year, reshape the incentives regime for orphan medicinal products (including by reducing the baseline orphan market exclusivity from ten to nine years and replacing the current indication-based system with a product-based approach under which subsequent orphan indications for the same active substance will no longer benefit from separate periods of market exclusivity), and expand the Bolar exemption to permit generic and biosimilar manufacturers to conduct preparatory activities for regulatory submissions, including pricing and reimbursement, and participate in procurement tenders while patent protection remains in force. Under the agreed transitional provisions, marketing authorizations already granted, and marketing authorization applications submitted before the new regulation becomes applicable, will generally continue to be governed by current protection rules; however, any marketing authorization application we submit after that date, any subsequent application for an additional orphan indication, and the expanded Bolar exemption (for which no transitional protection applies) could reduce the period of market exclusivity available to our product candidates in the EU and accelerate exposure to generic or biosimilar competition, potentially materially impacting the commercial prospects of our product candidates. The new framework is expected to enter into force in 2026/2027 and to be subject to transitional arrangements, with full application not anticipated before 2028.</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approved, our investigational products regulated as biologics, including rinvatercept and elritercept, may face competition from biosimilars approved through an abbreviated regulatory pathway.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or our collaborators, as applicable, are developing rinvatercept for the treatment of DMD and for the treatment of ALS, and elritercept for the treatment of cytopenias, including anemia and thrombocytopenia, in patients with MDS and myelofibrosis, both of which we anticipate will be regulated as a biological product. 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products, if approved, our products may become subject to competition from such biosimilars, with the attendant competitive pressure and consequences.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EU also provides opportunities for data and market exclusivity related to marketing authorizations. Upon receiving a marketing authorization, innovative medicinal products are generally entitled to receive eight years of data exclusivity and 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0520"/>
                <wp:effectExtent l="0" t="0" r="0" b="0"/>
                <wp:wrapNone/>
                <wp:docPr id="46" name="Frame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The market exclusivity period prevents a successful generic or biosimilar applicant from commercializing its product in the EU until 10 years have elapsed from the initial marketing authorization of the reference product in the EU. The overall 10-year period may, occasionally, be extended for a further year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 Guidelines from the EMA detail the type of quantity of supplementary data to be provided for different types of biological product.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also believe that our product candidates in the EU should benefit from this data and market exclusivity. As with the United States, however, if competitors obtain marketing authorization for their biosimilar products, our products may become subject to competition from these biosimilars, with the attendant competitive pressure and consequences.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become exposed to costly and damaging liability claims, either when testing our product candidates in the clinic or at the commercial stage, and our product liability insurance may not cover all damages from such claims.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exposed to potential product liability and professional indemnity risks that are inherent in the research, development, manufacturing, marketing and use of biopharmaceutical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Regardless of the merits or eventual outcome, liability claims may result in: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decreased demand for our products, if approved, due to negative public perception;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injury to our reputation;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withdrawal of clinical trial participants or difficulties in recruiting new trial participants;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initiation of investigations by regulators;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costs to defend or settle the related litigation;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 diversion of management’s time and our resources;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substantial monetary awards to trial participants or patients;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product recalls, withdrawals or labeling, marketing or promotional restrictions;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loss of revenues from product sales;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inability to commercialize any of our product candidates, if approved.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Should any of the events described above occur, this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Due to our limited resources and access to capital, we must, and have in the past decided to, prioritize development of certain product candidates over other potential product candidates. These decisions may prove to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47" name="Frame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wrong and may adversely affect our ability to develop our own programs, our attractiveness as a commercial partner and may ultimately have an impact on our commercial success.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Because we have limited resources and access to capital to fund our operations, we must decide which product candidates to pursue and the amount of resources to allocate to each. For example, in August 2025, we announced the deprioritization of cibotercept, including our decision to discontinue all material, internal development activities related to this asset. This decision came after the termination of the development of cibotercept in PAH following the analysis of all available safety and efficacy data from the TROPOS Phase 2 clinical trial in patients with PAH. Additionally, in November 2023, we announced the deprioritization of our small molecule product candidate, KER-047, a potent and selective inhibitor of activin receptor-like kinase-2, a TGF-ß superfamily receptor, including our decision to pause all development activities associated with this asset.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rinvatercept and elritercept, our business, financial condition and results of operations could be materially adversely affected.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We may seek Fast Track Designation by the FDA for product candidates that we develop, and we may be unsuccessful. If we are successful, the designation may not actually lead to a faster development or regulatory review or approval process.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may seek Fast Track Designation for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We received Fast Track Designation for elritercept for the treatment of anemia in adults with lower-risk MDS, however we may not experience a faster development process, review or approval compared to conventional FDA procedures. The FDA may rescind the Fast Track Designation if it believes that the designation is no longer supported by data from our clinical development activities.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seek orphan drug designation for product candidates we develop, and we may be unsuccessful or may be unable to maintain the benefits associated with orphan drug designation, including the potential for market exclusivity.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As part of our business strategy, we may seek orphan drug designation for any product candidates we develop, which meets the related applicable criteria, and we may be unsuccessful. For example, in August 2025, we announced that the FDA granted orphan drug designation for rinvatercept for the treatment of DMD.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drug and indication for seven years, except in limited circumstances.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8" name="Frame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determines that the request for designation was materially defective or if the manufacturer is unable to assure sufficient quantity of the drug to meet the needs of patients with the rare disease or condition.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the EU, the European Commission, on the basis of the opinion of the EMA Committee for Orphan Medicinal Products, grants orphan drug designation for medicines to be developed for the diagnosis, prevention or treatment of diseases that are life-threatening or chronically debilitating, for which either no satisfactory method of diagnosis, prevention, or treatment exists, or if such method exists, the medicine is of significant benefit to those affected by such condition. To benefit from such designation, either the prevalence of such condition must not be more than five in 10,000 people across the EU or, if more prevalent, it must be unlikely that the marketing of the medicine would generate sufficient returns to justify the investment needed for its development.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benefit from those designations.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Commercialization of Our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are unable to successfully commercialize any product candidate for which we receive regulatory approval, or experience significant delays in doing so, our business will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we are successful in obtaining marketing approval from applicable regulatory authorities for rinvatercept, elritercept or any other product candidate, our ability to generate revenues from any such products will depend on our success 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launching commercial sales of such products, whether alone or in collaboration with others;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receiving approved labels with claims that are necessary or desirable for successful marketing, and that do not contain safety or other limitations that would impede our ability to market such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creating market demand for such products through marketing, sales and promotion activities;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hiring, training, and deploying a sales force or contracting with third parties to commercialize such products in the United States;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creating strategic collaborations with, or offering licenses to, third parties to promote and sell such products in foreign markets where we receive marketing approval;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manufacturing such products in sufficient quantities and at acceptable quality and cost to meet commercial demand at launch and thereafter;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establishing and maintaining agreements with wholesalers, distributors, and group purchasing organizations on commercially reasonable terms;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maintaining patent and trade secret protection and regulatory exclusivity for such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achieving market acceptance of such products by patients, the medical community, and third-party payors;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achieving coverage and adequate reimbursement from third-party payors for such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patients’ willingness to pay out-of-pocket in the absence of such coverage and adequate reimbursement from third-party payors;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effectively competing with other therapies;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maintaining a continued acceptable safety profile of such products following launch.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extent we are not able to do any of the foregoing, our business, financial condition, results of operations, stock price and prospects will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We face significant competition from other biotechnology and pharmaceutical companies, and our operating results will suffer if we fail to compete effectively.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biopharmaceutical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9" name="Frame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compete in the segments of the biotechnology, pharmaceutical and other related industries that develop and market therapies in our target indications. There are many other companies, including large biotechnology and pharmaceutical companies, that have commercialized and/or are developing therapies for the same therapeutic areas that our product candidates target.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Currently, patients with DMD are treated with corticosteroids to manage the inflammatory component of the disease. EMFLAZA (deflazacort) is an FDA-approved corticosteroid marketed by PTC Therapeutics, Inc. and Agamree (vamorolone) is an FDA-approved corticosteroid marketed by Catalyst Pharmaceuticals in the United States. In addition, there are four FDA-approved exon skipping drugs: EXONDYS 51 (eteplirsen), VYONDYS 53 (golodirsen), and AMONDYS 45 (casimersen), which are phosphorodiamidate morpholino oligomers, or PMOs, approved for the treatment of patients with DMD who are amenable to exon 51, exon 53 and exon 45 skipping, respectively, and are marketed by Sarepta Therapeutics, Inc., or Sarepta, and VILTEPSO (vitolarsen), a PMO approved for the treatment of patients with DMD who are amenable to exon 53 skipping, which is marketed by Nippon Shinyaku Co. Ltd. Additionally, in June 2023, Sarepta announced that the FDA accelerated approval of its product, ELEVIDYS, an adeno-associated virus based gene therapy for the treatment of ambulatory pediatric patients aged 4 through 5 years with DMD with a confirmed mutation in the DMD gene. In June 2024, the FDA granted ELEVIDYS full approval for the treatment of ambulatory individuals aged four years and older, and accelerated approval for the treatment of non-ambulatory individuals aged four years and older. In July 2025, Sarepta announced its decision to voluntarily and temporarily pause all shipments of ELEVIDYS for patients with DMD in the United States. Subsequently, in July 2025, Sarepta announced that the FDA notified Sarepta that it may lift its voluntary pause on shipments of ELEVIDYS for ambulatory patients age four years and older with DMD, and Sarepta resumed shipping to such patients immediately.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March 2024, Italfarmaco S.p.A. announced that the FDA approved Duvyzat (givinostat), a histone deacetylase inhibitor for the treatment of DMD in patients aged six years and older.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several companies are developing gene therapies to treat DMD, including REGENXBIO Inc. and Solid Biosciences Inc. RNA-targeted treatments that are in clinical and preclinical development are also being pursued by several companies, including Avidity Biosciences, Inc., Wave Life Sciences Ltd., Dyne Therapeutics, Inc. and Sarepta. Edgewise Therapeutics, Inc. (which was acquired by Servier in July 2026) is developing sevasemten, a myosin ATPase inhibitor, for both DMD and Becker muscular dystrophy. Satellos Bioscience Inc. is developing SAT-3277, an AAK1 inhibitor, for the treatment of DMD. Capricor Therapeutics, Inc. is developing Deramiocel, a cell therapy, for the treatment of DMD.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are three therapies approved by FDA to treat ALS and its symptoms: riluzole, an anti-glutamatergic agent; edaravone, a free-radical scavenger; and tofersen, an antisense oligonucleotide treatment of SOD1-ALS. One additional therapeutic, sodium phenylbutyrate and taurursodiol, was approved under an accelerated pathway by the FDA but subsequently withdrawn from the market following negative results from a confirmatory Phase 3 trial. To the best of our knowledge, there are no other companies developing product candidates to treat ALS by targeting skeletal muscle. However, several companies are developing product candidates to treat ALS through other mechanisms, including Otsuka Pharmaceutical Co., Ltd., Novartis AG and Genervon Biopharmaceuticals LLC.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Kyntra Bio Inc. (formerly FibroGen Inc.) and Astellas Pharma Inc. are developing product candidates for the treatment of anemia, and Merck &amp; Co. Inc., or Merck, Bristol-Myers Squibb Company and Disc Medicine are developing product candidates targeting diseases associated with MDS and myelofibrosis, including chronic anemia. Additionally, in April 2020, Merck and Bristol-Myers Squibb Company received FDA approval of its product, Reblozyl, for the treatment of anemia failing an erythropoiesis stimulating agent and requiring two or more red blood cell units over eight weeks in adult patients with very low- to intermediate-risk MDS with ring sideroblasts or with myelodysplastic/myeloproliferative neoplasm with ring sideroblasts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0520"/>
                <wp:effectExtent l="0" t="0" r="0" b="0"/>
                <wp:wrapNone/>
                <wp:docPr id="50" name="Frame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thrombocytosis. In June 2020, Merck further announced that the European Commission approved Reblozyl for the treatment of transfusion-dependent anemia in adult patients with MDS or beta thalassemia and in September 2020, Merck announced that Health Canada approved Reblozyl for the treatment of adult patients with red blood cell transfusion-dependent anemia associated with beta thalassemia. In August 2023, Bristol-Myers Squibb Company announced that the FDA approved Reblozyl for the treatment of anemia without previous erythropoiesis stimulating agent use (ESA-naïve) in adult patients with very low- to intermediate-risk MDS who may require regular red blood cell transfusions. In April 2024, Bristol-Myers Squibb Company further announced that the European Commission expanded approval of Reblozyl to include treatment of adult patients with and without ring sideroblasts with transfusion-dependent anemia due to lower-risk MDS. In June 2024, Geron Corporation announced that the FDA approved imetelstat (RYTELO) for the treatment of adult patients with low- to intermediate-1 risk MDS with transfusion-dependent anemia requiring four or more red blood cell units over eight weeks who have not responded to or have lost response to or are ineligible for erythropoiesis-stimulating agents.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 March 2022, CTI BioPharma Corp. (which was acquired by Swedish Orphan Biovitrum AB in June 2023) received FDA accelerated approval of its product, pacritinib (Vonjo), for the treatment of adults with intermediate or high-risk primary or secondary (post-polycythemia vera or post-essential thrombocythemia) myelofibrosis with a platelet count below 50 × 10</w:t>
      </w:r>
      <w:r>
        <w:rPr>
          <w:rFonts w:ascii="Arial;sans-serif" w:hAnsi="Arial;sans-serif"/>
          <w:b w:val="false"/>
          <w:color w:val="000000"/>
          <w:sz w:val="13"/>
        </w:rPr>
        <w:t>9</w:t>
      </w:r>
      <w:r>
        <w:rPr>
          <w:rFonts w:ascii="Arial;sans-serif" w:hAnsi="Arial;sans-serif"/>
          <w:b w:val="false"/>
          <w:color w:val="000000"/>
          <w:sz w:val="20"/>
        </w:rPr>
        <w:t xml:space="preserve">/L. In September 2023, GSK plc announced that the FDA approved its product, Ojjaara, for the treatment of intermediate or high-risk myelofibrosis, including primary myelofibrosis or secondary myelofibrosis (post-polycythaemia vera and post-essential thrombocythaemia), in adults with anemia. Additionally, MorphoSys AG (which was acquired by Novartis AG in July 2024) is also developing a product candidate as a treatment for myelofibrosis, and Incyte Corporation is developing an ALK2 inhibitor product candidate for the treatment of myelofibrosis. Geron Corporation is also developing imetelstat as a treatment for myelofibrosis.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companies that are developing product candidates that are designed to target the TGF-ß signaling pathways include Scholar Rock Holding Corporation, Biogen Inc. and Regeneron Pharmaceuticals, Inc.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do not have a sales or marketing infrastructure and have no experience in the sale or marketing of biopharmaceutical products. To achieve commercial success for any approved product, we must develop or acquire a sales and marketing organization, outsource these functions to third parties or enter into strategic collaborations.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if approved, effectively or to market our products effectively since we have no experience in the sales and marketing of biopharmaceutical products. In addition, recruiting and training a sales force is expensive and time-consuming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if approved, on our own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inability to recruit, train and retain adequate numbers of effective sales and marketing personnel;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inability of sales personnel to obtain access to or educate adequate numbers of physicians on the benefits of our products, if approved;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unforeseen costs and expenses associated with creating an independent sales and marketing organization;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costs of marketing and promotion above those anticipated by 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51" name="Frame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if approved, outside of our control and would make us subject to a number of risks including that we may not be able to control the amount or timing of resources that our collaborative partner devotes to our products, if any,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if approved, or may be unable to do so on terms that are favorable to us. Acceptable third parties may fail to devote the necessary resources and attention to sell and market our products, if any, effectively.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Even if a product candidate we develop receives marketing approval, it may fail to achieve the degree of market acceptance by physicians, patients, third-party payors and others in the medical community necessary for commercial success. The revenues that we generate from their sales may be limited, and we may never become profitable.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clinical indications for which our product candidates are approved;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physicians, hospitals and patients considering our product candidates as a safe and effective treatment;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potential and perceived advantages of our product candidates over alternative treatments;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prevalence and severity of any side effects;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product labeling or product insert requirements of the FDA or comparable foreign regulatory authorities;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limitations or warnings contained in the labeling approved by the FDA or comparable foreign regulatory authorities;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timing of market introduction of our product candidates in relation to other potentially competitive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cost of our product candidates in relation to alternative treatments;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amount of upfront costs or training required for physicians to administer our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availability of coverage and adequate reimbursement from third-party payors and government authorities;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willingness of patients to pay out-of-pocket in the absence of comprehensive coverage and reimbursement by third-party payors and government authorities;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relative convenience and ease of administration, including as compared to alternative treatments and competitive therapies;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effectiveness of our sales and marketing efforts and distribution support;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presence or perceived risk of potential product liability claims.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Enacted and future healthcare legislation may increase the difficulty and cost for us to progress our clinical programs and obtain marketing approval of and commercialize our product candidates and may affect the prices we may set.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United States and other jurisdictions, there have been, and we expect there will continue to be, a number of legislative and regulatory changes and proposed changes to the healthcare system that could affect our future results of operations.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0520"/>
                <wp:effectExtent l="0" t="0" r="0" b="0"/>
                <wp:wrapNone/>
                <wp:docPr id="52" name="Frame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particular, there have been and continue to be a number of initiatives at the U.S. federal and state levels that seek to reduce healthcare costs and improve the quality of healthcare. For example, in March 2010, the ACA was enacted, which substantially changed the way healthcare is financed by both governmental and private insurers.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 its enactment, there have been judicial, Congressional and executive branch challenges and amendments to certain aspects of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Other legislative changes have also been proposed and adopted in the United States since the ACA was enacted. For example, in August 2011, the Budget Control Act of 2011, among other things, led to aggregate reductions of Medicare payments to providers of 2% per fiscal year. These reductions went into effect in April 2013 and, due to subsequent legislative amendments to the statute, including the Infrastructure Investment and Jobs Act and the Consolidated Appropriations Act of 2023, will remain in effect until 2032, unless additional action is taken by Congress. These new laws or any other similar laws introduced in the future may result in additional reductions in Medicare and other health care funding, which could negatively affect our customers and accordingly, our financial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current administration is pursuing policies to reduce regulations and expenditures across government agencies including at the U.S. Department of Health and Human Services, or HHS, the FDA, the U.S. Centers for Medicare &amp; Medicaid Services, or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or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June 15, 2026, the FDA approved Colorado’s Section 804 Importation Program proposal to import certain drugs from Canada for specific state healthcare programs. It is unclear how this and Florida’s similar program, approved by the FDA in 2024, will be implemented and whether they will overcome potential legal, regulatory, or industry challenges in the United States and/or Canada.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markets outside of the United States, reimbursement and healthcare payment systems vary significantly by country, and many countries have instituted price ceilings on specific products and therapies. For example, the EU provides options for EU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0520"/>
                <wp:effectExtent l="0" t="0" r="0" b="0"/>
                <wp:wrapNone/>
                <wp:docPr id="53" name="Frame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Moreover, in order to obtain reimbursement for our products in some European countries, including some EU Member States, we may be required to compile additional data comparing the cost-effectiveness of our products to other available therapies. The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On January 12, 2025, Regulation (EU) 2021/2282 on HTA entered into application through a phased implementation. The HTA Regulation initially applies to new active substances for oncology products and advanced therapy medicinal products, and will expand to orphan medicinal products in January 2028 and to all centrally authorized medicinal products by 2030. The Regulation is intended to boost cooperation among EU Member States in assessing health technologies, including new medicinal products, and establishes a framework for EU-level joint clinical assessments. The regulation permits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As the HTA Regulation applies to orphan medicinal products from 2028, joint clinical assessments conducted at the EU level may result in adverse or delayed outcomes that negatively affect our ability to obtain or maintain favorable reimbursement status across EU Member States.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cannot predict the likelihood, nature or extent of government regulation that may arise from future legislation or administrative action in the United States or any other jurisdiction. The implementation of cost containment measures or other healthcare reforms may negatively impact our operations.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Disruptions at the FDA, the SEC and other government agencies or comparable regulatory authorities caused by funding shortages or global health concerns could hinder their ability to hire and retain key leadership and other personnel, otherwise prevent new products and services from being developed, approved or commercialized in a timely manner or at all, or otherwise prevent those agencies from performing normal business functions on which the operation of our business may rely, which could negatively impact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ability of the FDA or comparable foreign regulatory authorities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or comparable foreign regulatory authorities’ ability to perform routine functions. Average review times at the FDA have fluctuated in recent years as a result. In addition, government funding of the Securities and Exchange Commission, or the SEC, and other government agencies or comparable foreign regulatory authorities on which our operations may rely, including those that fund research and development activities is subject to the political process, which is inherently fluid and unpredictable.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Disruptions at the FDA, other agencies or comparable foreign regulatory authorities may also slow the time necessary for new drugs to be reviewed and/or approved, which would adversely affect our business. For example, the U.S. government has shut down several times, including in October 2025, and certain regulatory agencies, such as the FDA and the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54" name="Frame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have had to furlough critical employees and stop critical activities during such shutdowns. If a prolonged government shutdown occurs, or if global health concerns prevent the FDA or other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Our business operations and current and future relationships with investigators, healthcare professionals, consultants, third-party payors, patient organizations and customers may be subject to applicable healthcare regulatory laws, which could expose us to penalties.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U.S. federal civil and criminal false claims laws, including the civil False Claims Act, which can be enforced by private individuals on behalf of the government through civil whistleblower or qui tam actions, and civil monetary penalties laws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civil False Claims Act;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U.S. federal Health Insurance Portability and Accountability Act of 1996, or HIPAA, which created additional federal civil and criminal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HIPAA, as amended by the Health Information Technology for Economic and Clinical Health Act of 2009, or HITECH, and their implementing regulations, which impose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and their business associates, independent contractors of a covered entity that perform certain services involving the use or disclosure of individually identifiable health information, as well as their covered subcontractors;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Federal Food, Drug, and Cosmetic Act, which prohibits, among other things, the adulteration or misbranding of drugs, biologics and medical devices;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U.S. Public Health Service Act, which prohibits, among other things, the introduction into interstate commerce of a biological product unless a biologics license is in effect for that product;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CMS information related to certain payments and other transfers of value made in the prior year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55" name="Frame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analogous U.S. state and foreign laws and regulations, including: anti-kickback and false claims laws, which may apply to our business practices, including but not limited to, research, distribution, sales and marketing arrangements and claims involving healthcare items or services reimbursed by any third-party payor, including private insurers; laws that require pharmaceutical companies to comply with the pharmaceutical industry’s voluntary compliance guidelines and the relevant compliance guidance promulgated by the U.S. federal government or foreign regulatory authorities, or otherwise restrict payments that may be made to healthcare providers and other potential referral sources; laws and regulations that require drug manufacturers to file reports relating to drug pricing and marketing information, which requires tracking gifts and other remuneration and items of value provided to healthcare professionals and entities; laws that require certain regulatory licenses to manufacture or distribute our products commercially and/or the registration of pharmaceutical sales representatives; and laws governing the privacy and security of health information in certain circumstances, many of which differ from each other in significant ways and often are not preempted by HIPAA, thus complicating compliance efforts.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our activities are also subject to certain federal, state consumer and foreign protection and unfair competition laws, which broadly regulate marketplace activities and activities that potentially harm consumers.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significant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the market opportunities for our product candidates are smaller than we believe they are, even assuming approval of a product candidate, our business may suffer.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projections of both the number of people who are affected by disease within our potential target indications, as well as the subset of these people who have the potential to benefit from treatment with our product candidates, are based on our beliefs and estimates. These estimates have been derived from a variety of sources, including the scientific literature, healthcare utilization databases and market research, and may prove to be incorrect. Further, new studies may change the estimated incidence or prevalence of these diseases. The number of patients may turn out to be lower than expected. Likewise,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Any product candidates we develop may become subject to unfavorable third-party coverage and reimbursement practices, as well as pricing regulations.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56" name="Frame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is significant uncertainty related to third-party payor coverage and reimbursement of newly approved products. In the United States, for example, principal decisions about reimbursement for new products are typically made by the CMS. The CMS decide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if approved, to each third-party payor separately, with no assurance that coverage and adequate reimbursement will be applied consistently or obtained in the first instance.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if any. Nonetheless, our product candidates may not be considered medically necessary or cost effective. We cannot be sure that coverage and reimbursement will be available for any product that we commercialize and, if reimbursement is available, what the level of reimbursement will be.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Furthermore, obtaining coverage and adequate reimbursement for products administered under the supervision of a physician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Further, HHS imposes rebates on many Medicare Part B and Medicare Part D products to penalize price increases that outpace inflation on an annual basis. HHS has also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if approved, may be reduced compared with the United States and may be insufficient to generate commercially reasonable revenue and profits.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Our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7"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success depends in part on our ability to protect our intellectual property. It is difficult and costly to protect our proprietary rights and technology, and we may not be able to ensure their protection.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 party or instituted by the United States Patent and Trademark Office, or USPTO, to determine who was the first to invent any of the subject matter covered by the patent claims of our applications.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if any, on an independent basis which do not infringe our patents or other intellectual property rights, or will design around the claims of patents that we have had issued that cover our products, if approved.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8" name="Frame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others may be able to make or use compounds or cells that are similar to the biological compositions of our product candidates but that are not covered by the claims of our patents;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active biological ingredients in our current product candidates will eventually become commercially available in biosimilar drug products, and no patent protection may be available with regard to formulation or method of use;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or our licensors, as the case may be, may fail to meet our obligations to the U.S. government in regards to any in-licensed patents and patent applications funded by U.S. government grants, leading to the loss of patent rights;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or our licensors, as the case may be, might not have been the first to file patent applications for these inventions;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others may independently develop similar or alternative technologies or duplicate any of our technologies;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it is possible that our pending patent applications will not result in issued patents;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it is possible that there are prior public disclosures that could invalidate our or our licensors’ patents, as the case may be, or parts of our or their patents;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it is possible that others may circumvent our owned or in-licensed patents;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it is possible that there are unpublished applications or patent applications maintained in secrecy that may later issue with claims covering our products, if any, or technology similar to ours;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laws of foreign countries may not protect our or our licensors’, as the case may be, proprietary rights to the same extent as the laws of the United States;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claims of our owned or in-licensed issued patents or patent applications, if and when issued, may not cover our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owned or in-licensed issued patents may not provide us with any competitive advantages, may be narrowed in scope, or be held invalid or unenforceable as a result of legal challenges by third parties;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inventors of our owned or in-licensed patents or patent applications may become involved with competitors, develop products or processes which design around our patents, or become hostile to us or the patents or patent applications on which they are named as inventors;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have engaged in scientific collaborations in the past, and will continue to do so in the future. Such collaborators may develop adjacent or competing products to ours that are outside the scope of our patents;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not develop additional proprietary technologies for which we can obtain patent protection;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it is possible that product candidates or diagnostic tests we develop may be covered by third parties’ patents or other exclusive rights; or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patents of others may have an adverse effect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depend on intellectual property licensed from third parties and termination of any of these licenses could result in the loss of significant rights, which would harm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dependent on patents, know-how and proprietary technology, both our own and licensed from others. Any termination of these licenses could result in the loss of significant rights and could harm our ability to commercialize our product candidates. See the section titled “Management’s Discussion and Analysis of Financial Condition and Results of Operations—Licensing Agreements” set forth in Part I, Item 2 of this Quarterly Report on Form 10-Q for additional information regarding our license agreements.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9" name="Frame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Disputes may also arise between us and our licensors regarding intellectual property subject to a license agreement,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scope of rights granted under the license agreement and other interpretation-related issues;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whether and the extent to which our technology and processes infringe on intellectual property of the licensor that is not subject to the licensing agreement;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right to sublicense patents and other rights to third parties under collaborative development relationships;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diligence obligations with respect to the use of the licensed technology in relation to our development and commercialization of our product candidates, and what activities satisfy those diligence obligations;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inventorship or ownership of inventions and know-how resulting from the joint creation or use of intellectual property by our licensors and us and our partners.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fail to comply with our obligations under our patent license with a third party, we could lose license rights that are important to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a party to a license agreement pursuant to which we in-license key patent and patent applications for our product candidates. These existing licenses impose various diligence, milestone payment, royalty, insurance and other obligations on us. If we fail to comply with these obligations, our licensor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are unable to protect the confidentiality of our trade secrets, our business and competitive position would be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patent protection, we rely heavily upon know-how and to some extent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60" name="Frame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Third-party claims of intellectual property infringement may prevent or delay our product discovery and development efforts. </w:t>
      </w:r>
    </w:p>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color w:val="000000"/>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We are aware of issued patents, in the United States and abroad, relating to methods of treating DMD. If any such patent were to be asserted against us, we believe that we have defenses against any such action, including that these patents would not be infringed by our product candidates and/or that these patents are not valid. However, if these patents were asserted against us and our defenses to such an action were unsuccessful, unless we obtain a license to these patents, which may not be available on commercially reasonable terms, or at all, we could be liable for damages and precluded from commercializing rinvatercept in certain indications, which could have a material adverse effect on our business, financial condition, cash flows or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 third-party claims that we infringe its intellectual property rights, we may face a number of issues,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infringement and other intellectual property claims which, regardless of merit, may be expensive and time-consuming to litigate and may divert our management’s attention from our core business;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 court prohibiting us from developing, manufacturing, marketing or selling our product candidates, or from using our proprietary technologies, unless the third party licenses its product rights to us, which it is not required to do;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a license is available from a third party, we may have to pay substantial royalties, upfront fees and other amounts, and/or grant cross-licenses to intellectual property rights for our products, if any;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redesigning our product candidates or processes so they do not infringe, which may not be possible or may require substantial monetary expenditures and time.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61"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Third parties may assert that we are employing their proprietary technology without authorization. Generally, conducting clinical trials and other development activities in the United States is protected under the Safe Harbor exemption as set forth in 35 U.S.C. § 271. If and when rinvatercept, elritercept or another one of our product candidates is approved by the FDA, that certain third party may then seek to enforce its patent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Lastly, we may need to indemnify our customers and distributors against claims relating to the infringement of intellectual property rights of third parties related to our product candidates, including rinvatercept and elritercept.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if approved, or services.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Third parties may assert that our employees or consultants have wrongfully used or disclosed confidential information or misappropriated trade secrets.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is common in the biotechnology and pharmaceutical industries, we employ individuals who were previously employed at universities or other biopharmaceutical or pharmaceutical companies, including our competitors or potential competitors.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not be successful in obtaining or maintaining necessary rights to develop any future product candidates on acceptable terms.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Because our programs may involve additional product candidates that may require the use of proprietary rights held by third parties, the growth of our business may depend in part on our ability to acquire, in-license or use these proprietary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product candidates may also require specific formulations to work effectively and efficiently and these rights may be held by others. We may develop products containing our compounds and pre-existing pharmaceutical compounds.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be involved in lawsuits to protect or enforce our patents or the patents of our licensors, which could be expensive, time-consuming and unsuccessful.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Competitors may infringe our patents or the patents of our licensors. To counter infringement or unauthorized use, we may be required to file infringement claims, which can be expensive and time-consuming. In addition, in an infringement proceeding,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3"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may choose to challenge the patentability of claims in a third party’s U.S. patent by requesting that the USPTO review the patent claims in an </w:t>
      </w:r>
      <w:r>
        <w:rPr>
          <w:rFonts w:ascii="Arial;sans-serif" w:hAnsi="Arial;sans-serif"/>
          <w:b w:val="false"/>
          <w:i/>
          <w:color w:val="000000"/>
          <w:sz w:val="20"/>
        </w:rPr>
        <w:t>ex-parte</w:t>
      </w:r>
      <w:r>
        <w:rPr>
          <w:color w:val="000000"/>
        </w:rPr>
        <w:t xml:space="preserve"> </w:t>
      </w:r>
      <w:r>
        <w:rPr>
          <w:rFonts w:ascii="Arial;sans-serif" w:hAnsi="Arial;sans-serif"/>
          <w:b w:val="false"/>
          <w:color w:val="000000"/>
          <w:sz w:val="20"/>
        </w:rPr>
        <w:t xml:space="preserve">re-exam,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 xml:space="preserve">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if approved,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0520"/>
                <wp:effectExtent l="0" t="0" r="0" b="0"/>
                <wp:wrapNone/>
                <wp:docPr id="64" name="Frame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Issued patents covering our product candidates could be found invalid or unenforceable if challenged in court or the USPTO.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Moreover, the patents included in our patent portfolio may expire before, or soon after, our first product achieves marketing approval in the United States or foreign jurisdictions. For example, the patents related to novel ALK2 inhibitors in the patent family that we license from The General Hospital Corporation are expected to expire in April 2038, without taking into account any possible patent term adjustments or extensions.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2047, without taking into account any possible patent term adjustments or extensions. However, we cannot be assured that the USPTO or relevant foreign patent offices will grant any of these patent applications.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Changes in patent law in the U.S. and in ex-U.S. jurisdictions could diminish the value of patents in general, thereby impairing our ability to protect our products, if approved.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Arial;sans-serif" w:hAnsi="Arial;sans-serif"/>
          <w:b w:val="false"/>
          <w:i/>
          <w:color w:val="000000"/>
          <w:sz w:val="20"/>
        </w:rPr>
        <w:t>Amgen Inc. v. Sanofi,</w:t>
      </w:r>
      <w:r>
        <w:rPr>
          <w:color w:val="000000"/>
        </w:rPr>
        <w:t xml:space="preserve"> </w:t>
      </w:r>
      <w:r>
        <w:rPr>
          <w:rFonts w:ascii="Arial;sans-serif" w:hAnsi="Arial;sans-serif"/>
          <w:b w:val="false"/>
          <w:color w:val="000000"/>
          <w:sz w:val="20"/>
        </w:rPr>
        <w:t xml:space="preserve">the Federal Circuit held that a well-characterized antigen is insufficient to satisfy the written description requirement of certain claims directed to a genus of antibodies that are solely defined by function; and in the case of </w:t>
      </w:r>
      <w:r>
        <w:rPr>
          <w:rFonts w:ascii="Arial;sans-serif" w:hAnsi="Arial;sans-serif"/>
          <w:b w:val="false"/>
          <w:i/>
          <w:color w:val="000000"/>
          <w:sz w:val="20"/>
        </w:rPr>
        <w:t>Assoc. for Molecular Pathology v. Myriad Genetics, Inc.,</w:t>
      </w:r>
      <w:r>
        <w:rPr>
          <w:color w:val="000000"/>
        </w:rPr>
        <w:t xml:space="preserve"> </w:t>
      </w:r>
      <w:r>
        <w:rPr>
          <w:rFonts w:ascii="Arial;sans-serif" w:hAnsi="Arial;sans-serif"/>
          <w:b w:val="false"/>
          <w:color w:val="000000"/>
          <w:sz w:val="20"/>
        </w:rPr>
        <w:t xml:space="preserve">the U.S.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Some of our in-licensed intellectual property that is discovered through government-funded programs may be subject to federal regulation such as “march-in” rights, certain reporting requirements and a preference for U.S. industry. Compliance with such regulations may limit our exclusive rights, subject us to expenditure of resources with respect to reporting requirements and limit our ability to contract with foreign manufacturers.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It is possible that patent filings we may choose to in-license in the future may be subject to the Bayh-Dole Act. In particular, under the Bayh-Dole Act, the federal government retains a “nonexclusive, nontransferable, irrevocable, paid-up license” for its own benefit to inventions produced with its financial assistance. The Bayh-Dole Act also provides federal agencies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65" name="Frame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 xml:space="preserve">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Intellectual property discovered under government-funded programs are also subject to certain reporting requirements, compliance with which may require us or our licensors to expend substantial resources. Such intellectual property is also subject to a preference for U.S. industry, which may limit our ability to contract with foreign product manufacturers for products covered by such intellectual property. Moreover, we sometimes collaborate with academic institutions to accelerate our preclinical research or development. While it is our policy to avoid engaging our university partners in projects in which there is a risk that federal funds may be commingled, we cannot be sure that any co-developed intellectual property will be free from government rights pursuant to the Bayh-Dole Act. Further, we may choose to license intellectual property in the future that may be subject to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have limited foreign intellectual property rights and may not be able to protect our intellectual property rights throughout the world.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licensing partners are forced to grant a license to third parties with respect to any patents relevant to our business, our competitive position may be impaired, and our business, financial condition, results of operations and prospects may be adversely affected. Also,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if approved, in jurisdictions where we do not have any issued patents and our patent claims or other intellectual property rights may not be effective or sufficient to prevent them from competing.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may incur substantial costs as a result of litigation or other proceedings relating to patents, and we may be unable to protect our rights to our products, if approved, and technology.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or our licensing partners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66" name="Frame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is also the risk that, even if the validity of these patents is upheld, the court will refuse to stop the third party on the ground that such third party’s activities do not infringe our owned or in-licensed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or our licensing partners, may not be able to detect infringement against our owned or in-licensed patents, as the case may be, which may be especially difficult for manufacturing processes or formulation patents. Even if we or our licensing partners detect infringement by a third party of our owned or in-licensed patents, we or our licensing partners, as the case may be, may choose not to pursue litigation against or settlement with the third party. If we, or our licensing partners,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licensing partners to enforce our owned or in-licensed patents, as the case may be, against such third party.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another party questions the patentability of any of our claims in our owned or in-licensed U.S. patents, the third-party can request that the USPTO review the patent claims such as in an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 xml:space="preserve">review, </w:t>
      </w:r>
      <w:r>
        <w:rPr>
          <w:rFonts w:ascii="Arial;sans-serif" w:hAnsi="Arial;sans-serif"/>
          <w:b w:val="false"/>
          <w:i/>
          <w:color w:val="000000"/>
          <w:sz w:val="20"/>
        </w:rPr>
        <w:t>ex parte</w:t>
      </w:r>
      <w:r>
        <w:rPr>
          <w:color w:val="000000"/>
        </w:rPr>
        <w:t xml:space="preserve"> </w:t>
      </w:r>
      <w:r>
        <w:rPr>
          <w:rFonts w:ascii="Arial;sans-serif" w:hAnsi="Arial;sans-serif"/>
          <w:b w:val="false"/>
          <w:color w:val="000000"/>
          <w:sz w:val="20"/>
        </w:rPr>
        <w:t xml:space="preserve">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future, we may be involved in similar proceedings challenging the patent rights of others, and the outcome of such proceedings is highly uncertain.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Patent terms may be inadequate to protect our competitive position on our product candidates for an adequate amount of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do not obtain patent term extension and data exclusivity for any product candidates we may develop, our business may be materially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0520"/>
                <wp:effectExtent l="0" t="0" r="0" b="0"/>
                <wp:wrapNone/>
                <wp:docPr id="67" name="Frame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Reliance on Third Parties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relied upon and plan to continue to rely upon third parties, including independent clinical investigators, contracted laboratories and third-party CROs, to conduct our preclinical studies and clinical trials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or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CROs have the right to terminate their agreements with us in the event of an uncured material breach. In addition, some of our CROs have an ability to terminate their respective agreements with us if it can be reasonably demonstrated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0520"/>
                <wp:effectExtent l="0" t="0" r="0" b="0"/>
                <wp:wrapNone/>
                <wp:docPr id="68" name="Frame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safety of the subjects participating in our clinical trials warrants such termination, if we make a general assignment for the benefit of our creditors or if we are liquidated.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Public health crises and government measures taken in response also impact our CROs, and may affect our ability to initiate and complete our preclinical studies and clinical trials.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or comparable foreign regulatory authorities conclude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or comparable foreign regulatory authorities. Any such delay or rejection could prevent us from commercializing our clinical-stage product candidate or any future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do not currently have the infrastructure or capability internally to manufacture our product candidates for use in the conduct of our preclinical studies and clinical trials or for commercial supply, if our products are approved. We rely on, and expect to continue to rely on, contract manufacturing organizations, or CMOs. Any replacement of our CMOs could require significant effort and expertise because there may be a limited number of qualified CMOs. This could be particularly problematic where we rely on a single-source supplier, as is currently the case for the manufacture of rinvatercept.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Reliance on third-party providers may expose 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were to experience an unexpected loss of supply of or if any supplier were unable to meet our demand for any of our product candidates, we could experience delays in our research or planned clinical trials or commercialization. We could be unable to find alternative suppliers of acceptable quality, in the appropriate volumes and at an acceptable cost. Moreover, our suppliers are often subject to strict manufacturing requirements and rigorous testing requirements, which could limit or delay production. Any changes in regulatory requirements, policy and guidelines, including the imposition of additional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0520"/>
                <wp:effectExtent l="0" t="0" r="0" b="0"/>
                <wp:wrapNone/>
                <wp:docPr id="69" name="Frame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oversight around manufacturing and testing requirements generally or with respect to our technology in particular, could also limit or delay production. The long transition periods necessary to switch manufacturers and suppliers, if necessary, could significantly delay our clinical trials and the commercialization of our products, if approved, which could materially adversely affect our business, financial condition and results of operation.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complying with the applicable manufacturing regulations of the FDA and comparable foreign regulatory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facilities used by our contract manufacturers to manufacture our product candidates are subject to review by the FDA or comparable foreign regulatory authorities pursuant to inspections that will be conducted after we submit our NDA or BLA to the FDA, or similar applications to comparable foreign regulatory authorities. We do not control the manufacturing process of, and are completely dependent on, our contract manufacturing partners for compliance with cGMP requirements for manufacture of drug and biologic products. If our contract manufacturers cannot successfully manufacture material that conforms to our specifications and the strict regulatory requirements of the FDA or comparable foreign regulatory authorities, we will not be able to secure or maintain regulatory approval for our product candidates manufactured at these manufacturing facilities. In addition, we have limited control over the ability of our contract manufacturers to maintain adequate quality control, quality assurance and qualified personnel. Despite our efforts to audit and verify regulatory compliance, one or more of our third-party manufacturing partners may be found on regulatory inspection by the FDA or other comparable foreign regulatory authorities to be noncompliant with cGMP regulations. If the FDA or a comparable foreign regulatory authority does not approve these facilities for the manufacture of our product candidates or if any regulatory authority withdraws its approval in the future, we and they may need to find alternative manufacturing facilities, which would negatively impact the ability to develop, obtain regulatory approval for or market our product candidates, if approved. The failure of our manufacturers to comply with regulatory requirements could also result in an enforcement action against us, including the seizure of products and shutting down of production. If any of our third-party suppliers fails to comply with cGMP or other applicable manufacturing regulations, our ability to develop and commercialize the products could suffer significant interruptions. We face risks inherent in relying on a single CMO, as any disruption, such as a fire, natural hazards or vandalism at the CMO could significantly interrupt our manufacturing capability. All of our CMOs currently do not have alternative production plans in place or disaster-recovery facilities available.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We are dependent on our existing third-party collaborations with Takeda and Hansoh to commercialize elritercept, and if Takeda and Hansoh are not successful in commercializing elritercept in their respective licensed territories, we will lose a significant source of potential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terms of the Takeda Agreement, Takeda will pay us milestone payments upon the achievement of specified development, commercial and sales milestones. In addition, if a licensed product is approved for marketing within the Takeda Territory, which includes all countries globally other than the territories of mainland China, Hong Kong and Macau, we will be entitled to receive royalty payments based on tiered increments of annual net sales in the Takeda Territory, with such percentage ranging from the low double-digits to high teens, subject to specified potential royalty reductions. However, under the terms of the Takeda Agreement, Takeda may terminate the agreement in its entirety or on a country-by-country basis for convenience and without cause on written notice of a certain period. In addition, Takeda generally has control over the further clinical development of elritercept and any other licensed compounds in the Takeda Territory. Takeda’s decisions with respect to such development will affect the timing and availability of potential future payments under the Takeda Agreement, if any. If the Takeda Agreement is terminated early, or if Takeda’s development activities are terminated early or suspended for an extended period of time, or are otherwise unsuccessful, our business and business prospects would be materially and adversely affected.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Additionally, under the terms of the license agreement with Hansoh, Hansoh will pay us milestone payments upon the achievement of specified development and commercial milestones. In addition, if elritercept, or a licensed product containing elritercept, is approved for marketing within the territories of mainland China, Hong Kong and Macau, which we refer to collectively as the Hansoh Territory, we will be entitled to receive royalty payments based on a tiered percentage of annual net sales in each region within the Hansoh Territory, with such percentage ranging from the low double digit to high teens, subject to specified potential royalty reductions. We are relying on Hansoh to commercialize elritercept in the Hansoh Territory, and if Hansoh is not able to commercialize elritercept in those countries, or determines not to pursue development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0520"/>
                <wp:effectExtent l="0" t="0" r="0" b="0"/>
                <wp:wrapNone/>
                <wp:docPr id="70" name="Frame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commercialization of elritercept in those countries, we will not receive any milestone or royalty payments under the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current and future collaborations are and will be important to our business. If we are unable to enter into new collaborations, or if these or our current collaborations are not successful, our business could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Other than our respective collaborations with Takeda and Hansoh for elritercept, we have no active collaborations for any of our product candidates. Our collaborations with Takeda and Hansoh and any future collaboration arrangements may not ultimately be successful, which could have a negative impact on our business, results of operations, financial condition and growth prospects. We do not maintain significant rights or control of future development and commercialization activities under our collaboration with Takeda. This could lead to potential disputes in the future over the terms of the collaboration and the respective rights of the parties, and these risks and uncertainties could be present with respect to our potential future collaborations as well.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Any future collaborations we enter into may pose a number of risks, including, but not limited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have significant discretion in determining the efforts and resources that they will apply;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may not perform their obligations as expected;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could independently develop, or develop with third parties, products that compete directly or indirectly with our products, if approved, and product candidates if the collaborators believe that the competitive products are more likely to be successfully developed or can be commercialized under terms that are more economically attractive than ours;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product candidates discovered in collaboration with us may be viewed by our collaborators as competitive with their own product candidates or products, which may cause collaborators to cease to devote resources to the commercialization of our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may fail to comply with applicable regulatory requirements regarding the development, manufacture, distribution or marketing of a product candidate or product;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with marketing and distribution rights to one or more of our product candidates that achieve regulatory approval may not commit sufficient resources to the marketing and distribution of such product or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collaborators may infringe the intellectual property rights of third parties, which may expose us to litigation and potential liability;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a collaborator of ours is involved in a business combination, the collaborator might de-emphasize or terminate the development or commercialization of any product candidate licensed to it by us;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0520"/>
                <wp:effectExtent l="0" t="0" r="0" b="0"/>
                <wp:wrapNone/>
                <wp:docPr id="71" name="Frame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collaborations may be terminated by the collaborator, and, if terminated, we could be required to raise additional capital to pursue further development or commercialization of the applicable product candidates.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on Form 10-Q also apply to the activities of our therapeutic collaborators.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engage in future acquisitions or strategic collaborations, this may increase our capital requirements, dilute our stockholders, cause us to incur debt or assume contingent liabilities and subject us to other risks.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From time to time, we may evaluate various acquisition opportunities and strategic collaborations, including licensing or acquiring complementary products, intellectual property rights, technologies or businesses. Any potential acquisition or strategic collaboration may entail numerous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increased operating expenses and cash requirements;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assumption of additional indebtedness or contingent liabilities;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issuance of our equity securities;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assimilation of operations, intellectual property and products of an acquired company, including difficulties associated with integrating new personnel;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diversion of our management’s attention from our existing programs and initiatives in pursuing such a strategic merger or acquisition;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retention of key employees, the loss of key personnel and uncertainties in our ability to maintain key business relationships;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risks and uncertainties associated with the other party to such a transaction, including the prospects of that party and their existing products or product candidates and marketing approvals;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inability to generate revenue from acquired technology and/or products sufficient to meet our objectives in undertaking the acquisition or even to offset the associated acquisition and maintenance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if we undertake acquisitions or pursue collaborations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Employee Matters, Managing Our Growth and Other Risks Relating to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0520"/>
                <wp:effectExtent l="0" t="0" r="0" b="0"/>
                <wp:wrapNone/>
                <wp:docPr id="72" name="Frame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highly dependent on our key personnel, including our Chief Executive Officer and Chief Scientific Officer. If we are not successful in attracting, motivating and retaining highly qualified personnel, we may not be able to successfully implement our business strategy.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ability to compete in the highly competitive biotechnology and pharmaceutical industries depends upon our ability to attract, motivate and retain highly qualified managerial, scientific and medical personnel. We are highly dependent on our management and particularly on the services of our scientific personnel including Jasbir Seehra, Ph.D., our Chief Executive Officer, and Lorena Lerner, Ph.D., our Chief Scientific Officer. We believe that their drug discovery and development experience and overall biopharmaceutical company management experience would be difficult to replace. Any of our executive officers could leave our employment at any time, as all of our employees are “at-will” employees. The loss of the services of our key personnel and any of our other executive officers, key employees, and scientific and medical advisors, and our inability to find suitable replacements, could result in delays in our research and development objectives and harm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will need to grow the size of our organization, and we may experience difficulties in managing this growth.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June 30, 2026, we had 92 full-time employees, including 70 employees engaged in research and development and 22 employees engaged in management or general and administrative activities. As our clinical development and commercialization plans and strategies develop, we expect we will need additional managerial, operational, sales, marketing, financial, legal and other personnel. Future growth would impose significant added responsibilities on members of management,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identifying, recruiting, integrating, maintaining and motivating additional employees;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managing our development efforts effectively, including the clinical and FDA review process for rinvatercept and any future product candidates, while complying with our contractual obligations to collaborators, contractors and other third parties;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improving our operational, financial and management controls, reporting systems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future financial performance and our ability to commercialize rinvatercept, elritercept and any other product candidates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rinvatercept and our other product candidates or otherwise advance our business. We cannot assure you that we will be able to manage our existing consultants or find other competent outside contractors and consultants on economically reasonable terms, or at all.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we are not able to effectively expand our organization by hiring qualified new employees and expanding our groups of consultants and contractors, we may not be able to successfully implement the tasks necessary to further develop and commercialize rinvatercept and our other product candidates and, accordingly, may not achieve our research, development and commercialization goals.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0520"/>
                <wp:effectExtent l="0" t="0" r="0" b="0"/>
                <wp:wrapNone/>
                <wp:docPr id="73" name="Frame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 xml:space="preserve">If our internal computer systems, or those used by our contract research organizations, or other contractors or consultants with whom we work, fail, suffer security incidents, or are or were otherwise compromised,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and trade secrets (collectively, sensitive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retaliatory cyber-attacks, that could materially disrupt our systems and operations, supply chain, and ability to produce, sell and distribute our goods and services. 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In particular, severe ransomware attacks are becoming increasingly prevalent and can lead to significant interruptions in our operations, ability to provide products and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increasingly dependent upon information technology systems, infrastructure and data to operate our business, particularly due to our hybrid-work policies. Hybrid work has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use third parties to operate critical business systems to process sensitive information in a variety of contexts, including, without limitation, cloud-based infrastructure, encryption and authentication technology, employee email and other functions. We also work with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0520"/>
                <wp:effectExtent l="0" t="0" r="0" b="0"/>
                <wp:wrapNone/>
                <wp:docPr id="74" name="Frame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cannot guarantee that third parties’ infrastructure in our supply chain or our third-party partners’ supply chains have not been compromised.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we have implemented security measures designed to protect against security incidents, there can be no assurance that these measures will be effective. We take steps to detect and remediate vulnerabilities in our information systems, but we have not always been and may not in the future be able to detect and remediate all vulnerabilities on a timely basis because the threats and techniques used to exploit the vulnerability change frequently and are often sophisticated in nature. Therefore, such vulnerabilities could be exploited and result in a security incident, but may not be detected until after the security incident has occurred. Unremediated high risk or critical vulnerabilities pose material risks to our business. Further, we have at times experienced and may in the future experience delays in developing and deploying remedial measures designed to address any such identified vulnerabilities.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operate our business. 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costs to respond to a security incident and/or to mitigate any security vulnerabilities that we identify could be significant, our efforts to address these problems may not be successful, and these problems could result in unexpected interruptions, delays, cessation of service, negative publicity, and other harm to our business and our competitive position.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we (or a third party with whom we work) experience a security incident or are perceived to have experienced a security incident, we may experience adverse consequences. Additionally, our sensitive information could be leaked, disclosed, or revealed as a result of or in connection with our employee’s, personnel’s, or vendor’s use of generative artificial intelligence, or AI, technologies, resulting in adverse consequences. In each case, these consequences may include: government enforcement actions (for example, investigations, fines, penalties, audits, and inspections); additional reporting requirements and/or oversight; restrictions on processing sensitive information (including personal data); litigation (including class action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individuals to stop conducting business with us or negatively impact our ability to grow and operate our business. For example, the loss of preclinical or clinical data could result in delays in our regulatory approval efforts and significantly increase our costs to recover or reproduce the data. Any security incident affecting us, our current and future CROs, collaborators, contractors, consultants or other partners or our industry, whether real or perceived, could harm our reputation, erode confidence in the effectiveness of our security measures and lead to regulatory scrutiny. Likewise, we use third parties for the manufacture of our product candidates and to conduct clinical trials, and similar events relating to their computer systems could also have a material adverse effect on our business. To the extent that any disruption or security incident were to result in a loss of, or damage to, our data or applications, or inappropriate disclosure of confidential or proprietary information, we could face governmental reporting obligations, fines, incur liability and the further development and commercialization of our product candidates could be delayed.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Furthermore,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Most jurisdictions have enacted laws requiring companies to notify individuals, regulatory authorities, and others of security incidents involving certain types of data. In addition, our agreements with collaborators may require us to notify them in the event of a security incident. Such mandatory disclosures and related actions can be costly, and the disclosure or the failure to comply with such applicable requirements could lead to adverse consequences such as negative publicity, may cause our collaborators to lose confidence in the effectiveness of our security measures and require us to expend significant capital and other resources to respond to and/or alleviate problems caused by the actual or perceived security incident.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any actual or perceived security incident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in the EU, UK and United States notably. In addition, security incidents and other incidents of unauthorized access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0520"/>
                <wp:effectExtent l="0" t="0" r="0" b="0"/>
                <wp:wrapNone/>
                <wp:docPr id="75" name="Frame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information technology systems and data can be difficult to detect and any delay in identifying such breaches or incidents may lead to increased harm and legal exposure of the type described above.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 xml:space="preserve">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government enforcement actions, including administrative, civil or criminal fines or penalties, private litigation (including class claims) and mass arbitration demands; fines and penalties; disruptions of our business operations; reputational harm; loss of revenue or profits; other liabilities and adverse publicity and could negatively affect our operating results and business. Compliance or the failure to comply with such laws and regulations could increase the costs of our products, could limit their use or adoption, and could otherwise negatively affect our operating results and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ordinary course of business, we process personal data and other sensitive information.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United States, numerous federal and state laws and regulations, including federal and state health information privacy laws, state data breach notification laws, and federal and state consumer protection laws (including Section 5 of the Federal Trade Commission Act) and other similar laws (e.g., wiretapping laws), that govern the collection, use, disclosure and protection of health information and other personal information could apply to our operations or the operations of our collaborators. In addition, we obtain health information from third parties, including research institutions from which we obtain clinical trial data, that are subject to privacy and security requirements under HIPAA, as amended by HITECH, which imposes specific requirements relating to the privacy, security, and transmission of individually identifiable protected health information. Depending on the facts and circumstances, we could be subject to civil, criminal and administrative penalties and fines if we violate HIPAA.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certain state and foreign laws govern the privacy and security of health information in certain circumstances, some of which are more stringent than U.S. federal law and many of which differ from each other in significant ways and may not have the same effect, thus complicating compliance efforts.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or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CCPA and other comprehensive U.S. state privacy laws exempt some data processed in the context of clinical trials, but these developments may further complicate compliance efforts, and increase legal risk and compliance costs for us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0520"/>
                <wp:effectExtent l="0" t="0" r="0" b="0"/>
                <wp:wrapNone/>
                <wp:docPr id="76" name="Frame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third parties with whom we work. Similar laws are being considered in several other states, as well as at the federal and local levels, and we expect more states to pass similar laws in the future.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laws and regulations also apply to our business model. We are subject to new laws governing the privacy of consumer health data. For example, Washington’s My Health My Data Act, or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passed, are considering and may adopt similar laws. 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cookies,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Outside the United States, an increasing number of laws, regulations, and industry standards govern data privacy and security. For example, the EU's General Data Protection Regulation, or EU GDPR, the United Kingdom’s GDPR, or UK GDPR (collectively referred to as the GDPR), and China’s Personal Information Protection Law impose strict requirements for processing personal data. For example, under the GDPR, companies may face temporary or definitive bans on data processing and other corrective actions; fines of up to €20 million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or the EEA, and the UK have significantly restricted the transfer of personal data to countries whose privacy laws it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EU-U.S. Data Privacy Framework and the UK Extension to the EU-U.S. Data Privacy Framework, under which we have self-certified to allow for transfers from the EEA and/or UK to the United States,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Regulators in the United States, such as the Department of Justice, are also increasingly scrutinizing certain personal data transfers and have proposed and may enact certain data localization requirements, for example, the Biden Administration’s executive order Preventing Access to Americans’ Bulk Sensitive Personal Data and United States Government-Related Data by Countries of Concern.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enter into certain transactions or agreements.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0520"/>
                <wp:effectExtent l="0" t="0" r="0" b="0"/>
                <wp:wrapNone/>
                <wp:docPr id="77" name="Frame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Laws such as these give rise to an increasingly complex set of compliance obligations on us. These data protection rules continue to evolve and may result in ever-increasing regulatory and public scrutiny and escalating levels of enforcement and sanctions and increased costs of compliance. We strive to comply with these rules and obligations to the extent possible. Such compliance is a rigorous and time-consuming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also bound by contractual obligations related to data privacy and security, and our efforts to comply with such obligations may not be successful. We publish privacy policies, marketing materials, whitepapers and other statements, such as statements related to compliance with certain certifications or self-regulatory principles, concerning data privacy and security. Although we endeavor to comply with our policies and other documentation, we may at times fail to do so or may be perceived to have failed to do so. Regulators in the United States are increasingly scrutinizing these statements, and if these policies, materials, statements or documentation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Obligations related to data privacy and security (and individuals’ data privacy expectations) are quickly changing, becoming increasingly stringent and creating uncertainty. Additionally, these obligations are subject to differing applications and interpretations, which may be inconsistent or conflict among jurisdictions. Preparing for and complying with these obligations requires us to devote significant resources. These obligations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personnel or third parties with whom we work on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and inspections); litigation (including class action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employees and personnel use generative AI technologies to perform their work, and the disclosure and use of personal information in AI technologies is subject to various privacy laws and other privacy obligations. Governments have passed and are likely to pass additional laws regulating AI. Our use of this technology could result in additional compliance costs, regulatory investigations and actions and lawsuits. If we are unable to use AI, it could make our business less efficient and result in competitive disadvantages.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Compliance with U.S. and foreign data protection laws and regulations could require us to take on more onerous obligations in our contracts, increase our costs of legal compliance, restrict our ability to collect, use and disclose data, or in some cases, impact our or our partners’ or suppliers’ ability to operate in certain jurisdictions. Failure to comply with these laws and regulations could result in government investigations and/or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employees, independent contractors, vendors, principal investigators, CROs and consultants may engage in misconduct or other improper activities, including non-compliance with regulatory standards and requirements and insider trading.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exposed to the risk that our employees, independent contractors, vendors, principal investigators, CROs and consultants may engage in fraudulent conduct or other illegal activity. Misconduct by these parties could include intentional,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0520"/>
                <wp:effectExtent l="0" t="0" r="0" b="0"/>
                <wp:wrapNone/>
                <wp:docPr id="78" name="Frame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imprisonment, possible exclusion from participation in Medicare, Medicaid and other federal or comparable foreign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of our operations, any of which could adversely affect our ability to operate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Public health crises could adversely impact our business, including the timing or results of our preclinical studies and clinical trials.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a result of any public health crises, we may experience disruptions that could severely impact our business, preclinical studies and clinical trials,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receiving approval from local regulatory authorities to initiate our planned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or difficulties in enrolling patients in our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or difficulties in clinical site initiation, including difficulties in recruiting clinical site investigators and clinical site staff;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clinical sites receiving the supplies and materials needed to conduct our clinical trials, including interruption in global shipping that may affect the transport of clinical trial materials;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local regulations as part of a response to public health crises, which may require us to change the ways in which our clinical trials are conducted, which may result in unexpected costs, or to discontinue the clinical trials altogether;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risk that participants enrolled in our clinical trials will acquire any contagious diseases while the clinical trial is ongoing, which could impact the results of the clinical trial, including by increasing the number of observed adverse events;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interruptions in preclinical studies due to restricted or limited operations at our research and development laboratory facility or delays in receiving the supplies and materials needed to conduct our preclinical studies;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delays in necessary interactions with local regulators, ethics committees and other important agencies and contractors due to limitations in employee resources or forced furlough of government employees;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limitations in employee resources that would otherwise be focused on the conduct of our clinical trials, including because of sickness of employees or their families or the desire of employees to avoid contact with large groups of people;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refusal of the FDA or comparable foreign regulatory authorities to accept data from clinical trials in these affected geographies;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interruption or delays to our sourced discovery and clinical activities.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extent a public health crises adversely affects our business, financial condition and results of operations, it may also have the effect of heightening many of the other risks described in this “Risk Factors” section.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0520"/>
                <wp:effectExtent l="0" t="0" r="0" b="0"/>
                <wp:wrapNone/>
                <wp:docPr id="79" name="Frame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 xml:space="preserve">A variety of risks are associated with operating our business internationally which could materially adversely affect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conducted and conduct certain research and development and clinical operations in Australia, New Zealand, Europe, the United Kingdom and other foreign countries, and may also conduct certain future clinical trials outside of the United States. Additionally, while we have not taken any steps to enter into any non-U.S. markets, we may do so in the future. Accordingly, we are subject to risks related to operating in foreign countries, including: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different standards of care in various countries that could complicate the evaluation of our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different United States and foreign drug import and export rules;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reduced protection for intellectual property rights in certain countries;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unexpected changes in tariffs, trade barriers and regulatory requirements;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economic weakness, including inflation, or political instability in particular foreign economies and markets;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compliance with tax, employment, immigration, and labor laws for employees living or traveling abroad;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compliance with the FCPA and other anti-corruption and anti-bribery laws;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foreign taxes, including withholding of payroll taxes;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workforce uncertainty in countries where labor unrest is more common than in the United States;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production shortages resulting from any events affecting raw material supply or manufacturing capabilities abroad;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different payor reimbursement regimes, governmental payors or patient self-pay systems and price controls;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potential liability resulting from development work conducted by foreign partners;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business interruptions resulting from natural disasters, outbreaks of contagious diseases and other public health crises, or geopolitical actions, including war and terrorism, or systems failure including cybersecurity breaches;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compliance with evolving and expansive foreign regulatory requirements, including data privacy laws (such as the GDPR).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Additionally, in connection with the ongoing war between Russia and Ukraine, the U.S. government and EU countries have imposed enhanced export controls on certain products and sanctions on certain industry sectors and parties in Russia. The U.S. government has also indicated it will consider imposing additional sanctions and other similar measures in the near future. Although we do not currently conduct any clinical trials in Russia or Ukraine, further escalation of geopolitical tensions could have a broader impact that expands into other markets where we do business or conduct certain research and development operations, which could adversely affect our business, our supply chain for our product candidates, our collaborators or our ability to carry out our clinical trials.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subject to certain U.S. and foreign anti-corruption, anti-money laundering, export control, sanctions and other trade laws and regulations. We can face serious consequences for violations.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conducting clinical development in certain foreign countries, and may choose to conduct additional international clinical trials in the future. The U.S. Foreign Corrupt Practices Act, or FCPA, prohibits companies and their employees and third-party intermediaries from paying, offering, promising or authorizing others to pay or offer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The FCPA presents particular challenges in the pharmaceutical industry, because, in many countries, hospitals are owned and operated by the government, and doctors and other hospital employees are considered foreign officials. We can be held liable for the corrupt or other illegal activities of our employees, representatives, contractors, business partners and agents, even if we do not explicitly authorize or have actual knowledge of such activities. Noncompliance with the FCPA and anti-corruption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0520"/>
                <wp:effectExtent l="0" t="0" r="0" b="0"/>
                <wp:wrapNone/>
                <wp:docPr id="80" name="Frame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our products, if approved, may be subject to export controls, trade sanctions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If we fail to comply with environmental, health and safety laws and regulations, we could become subject to fines or penalties or incur costs that could have a material adverse effect on the success of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 </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 xml:space="preserve">Changes in tax laws or regulations that are applied adversely to us may have a material adverse effect on our business, cash flow, financial condition or results of operations.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Legislation enacted in 2017, informally titled the Tax Cuts and Jobs Act of 2017, or the Tax Act, enacted many significant changes to the U.S. tax laws. Future guidance from the Internal Revenue Service and other tax authorities with respect to the Tax Act may affect us, and certain aspects of the Tax Act could be repealed or modified in future legislation. In addition, in response to the COVID-19 pandemic, the Coronavirus Aid, Relief, and Economic Security, or CARES Act, was signed into law in March 2020. The CARES Act modifies certain of the changes made by the Tax Act. Changes in corporate tax rates, the realization of net deferred tax assets relating to our U.S. operations, and the deductibility of expenses under the Tax Act, as amended by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changes in tax laws, could have a material adverse effect on our business, cash flow, financial condition or results of operations. For example, the IRA, enacted in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and the OBBBA, enacted in 2025, restores the current tax deductibility of domestic research and experimental expenses, which expenses had been required under the Tax Act to be capitalized and subsequently amortized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0520"/>
                <wp:effectExtent l="0" t="0" r="0" b="0"/>
                <wp:wrapNone/>
                <wp:docPr id="81" name="Frame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over five years. In addition, it is uncertain if and to what extent various states will conform to the Tax Act, as amended by the CARES Act, or newly enacted federal tax legislation such as the OBBBA.</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ability to use our net operating loss, or NOL, carryforwards and certain tax credit carryforwards may be subject to limitation.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December 31, 2025, we had $159.1 million of U.S. federal and $27.9 million of state and no foreign NOL carryforwards. Under the Tax Act, as modified by the CARES Act, federal NOLs incurred in taxable years beginning after December 31, 2017 can be carried forward indefinitely, but the deductibility of federal NOLs in taxable years beginning after December 31, 2020, is limited.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NOL and tax credit carryforwards are subject to review and possible adjustment by the U.S. and state tax authorities.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NOL and research and development, or R&amp;D, tax credit carryforwards to offset its post-change taxable income and tax may be limited. This could limit the amount of NOLs or R&amp;D tax credit carryforwards that we can utilize annually to offset future taxable income or tax liabilities. Subsequent ownership changes and changes to the U.S. tax rules in respect of the utilization of NOLs and R&amp;D tax credits carried forward may further affect the limitation in future years. In addition, at the state level, there may be periods during which the use of NOLs is suspended or otherwise limited, which could accelerate or permanently increase state taxes owed.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Through November 21, 2025, we completed a study to assess whether an ownership change has occurred or whether there have been multiple ownership changes since our formation. The results of this study indicated that we experienced ownership changes as defined by Section 382 of the Code in 2016, 2020 and 2025. These ownership changes have subjected and will continue to subject our NOL and tax credit carryforwards to an annual limitation, which will significantly restrict our ability to use them to offset our taxable income and tax in periods following the ownership changes.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An active, liquid and orderly trading market may not develop for our common stock and as a result it may be difficult for you to sell your shares of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Prior to our IPO in April 2020, there was no public market for shares of our common stock. Although our common stock is currently listed on the Nasdaq Global Market, we cannot assure you that an active trading market for our shares will develop or be sustained. In the absence of an active trading market for our common stock, investors may not be able to sell their shares of common stock without depressing the market price for the common stock, or may not be able to sell the shares at all. An inactive trading market may also impair our ability to raise capital to continue to fund operations by selling shares and may impair our ability to enter into collaborations or acquire other companies or technologies using our shares as consideration.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quarterly operating results may fluctuate significantly or may fall below the expectations of investors or securities analysts, each of which may cause our stock price to fluctuate or decline.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expect our operating results to be subject to quarterly fluctuations. Our net loss and other operating results will be affected by numerous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variations in the level of expense related to the ongoing development of our product candidates and preclinical and clinical development programs;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results of preclinical studies and ongoing and future clinical trials, or the addition or termination of clinical trials or funding support by us, or current or future collaborators or licensing partners;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execution of any collaboration, licensing or similar arrangements, and the timing of payments we may make or receive under existing or future arrangements or the termination or modification of any such existing or future arrangements;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intellectual property infringement lawsuit or opposition, interference or cancellation proceeding in which we may become involved;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additions and departures of key personnel;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0520"/>
                <wp:effectExtent l="0" t="0" r="0" b="0"/>
                <wp:wrapNone/>
                <wp:docPr id="82" name="Frame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strategic decisions by us, such as acquisitions, divestitures, spin-offs, joint ventures, strategic investments or changes in business strategy;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if any of our product candidates receives regulatory approval, the terms of such approval and market acceptance and demand for such product candidates;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developments affecting our product candidates;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general economic conditions, including as a result of bank failures, as well as economic conditions specifically affecting the biopharmaceutical industry.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The market price of our common stock has been and is likely to continue to be volatile and fluctuate substantially.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market price of our common stock has been and is likely to continue to be highly volatile and may fluctuate substantially as a result of a variety of factors, some of which are related in complex ways. The market price for our common stock may fluctuate significantly in response to numerous factors, many of which are beyond our control, including the factors listed below and other factors described in this “Risk Factors” section: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results of preclinical studies and clinical trials of rinvatercept, elritercept and any other product candidate we may develop or those of our competitors;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actual or anticipated changes in estimates as to financial results, development timelines or recommendations by securities analysts;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commencement or termination of collaboration, licensing or similar arrangements for our development programs;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announcements by our competitors of significant acquisitions, strategic partnerships, joint ventures, collaborations or capital commitments;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failure or discontinuation of any of our development programs;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results of clinical trials of product candidates of our competitors;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or legal developments in the United States and other countries;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developments or disputes concerning patent applications, issued patents or other proprietary rights;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recruitment or departure of key personnel;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level of expenses related to the development of rinvatercept and any other product candidate we may develop;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variations in our financial results or those of companies that are perceived to be similar to us;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announcements or expectations of additional financing efforts by us;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sales of our common stock by us, our insiders or other stockholders;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recommendations and changes in estimates or recommendations by securities analysts, if any, that cover our stock;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the structure of healthcare payment systems;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market conditions in the pharmaceutical and biotechnology sectors;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general economic, political, and market conditions and overall fluctuations in the financial markets in the United States and abroad, such as potential future disruptions in access to bank deposits or lending commitments due to bank failures;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investors’ general perception of us and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stock market in general, and the markets for pharmaceutical, biopharmaceutical and biotechnology stocks in particular, have experienced extreme price and volume fluctuations that have been often unrelated or disproportionate to the operating performance of the issuer. In addition, the trading prices for common stock of other pharmaceutical, biopharmaceutical and biotechnology companies have been highly volatile as a result of public health crises, geopolitical tensions, a resulting global slowdown of economic activity, increased inflation, tariffs and other adverse effects or developments. The extent to which these factors may impact our business, preclinical studies and clinical trials will depend on future developments, which are highly uncertain and cannot be predicted with confidence.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and other market and industry factors may cause the market price and demand for our common stock to fluctuate substantially, regardless of our actual operating performance, which may negatively affect the liquidity of our common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could be subject to securities class action litigation.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0520"/>
                <wp:effectExtent l="0" t="0" r="0" b="0"/>
                <wp:wrapNone/>
                <wp:docPr id="83" name="Frame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the past, securities class action litigation has often been brought against public companies following declines in the market prices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 operating results, financial condition and cash flows.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Pursuant to our 2020 Equity Incentive Plan, or 2020 Plan, our management is authorized to grant stock options and other equity-based awards to our employees, directors and consultants. The number of shares of our common stock reserved for issuance under our 2020 Plan will automatically increase on January 1 of each year, for a period of ten years, from January 1, 2021 continuing through January 1, 2030, by 4.0% of the total number of shares of our common stock outstanding on December 31 of the preceding calendar year, or a lesser number of shares as may be determined by our board of directors. If our board of directors elects to increase the number of shares available for future grant by the maximum amount each year, our stockholders may experience additional dilution, which could cause our stock price to fall.</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do not intend to pay dividends on our common stock so any returns will be limited to the value of our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You should not rely on an investment in our common stock to provide dividend income.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which may never occur, as the only way to realize any return on their investment.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Sales of a substantial number of shares of our common stock in the public market could cause our stock price to fall.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our existing stockholders sell, or indicate an intention to sell, substantial amounts of our common stock in the public market, the market price of our common stock could decline. We are unable to predict the effect that such sales, particularly by our directors, executive officers and significant stockholders, may have on the prevailing market price of our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filed registration statements on Form S-8 registering the issuance of shares of common stock subject to options, restricted stock units or other equity awards issued or reserved for future issuance under our equity incentive plans. Shares registered under these registration statements on Form S-8 are available for sale in the public market subject to vesting arrangements and exercise of options and the restrictions of Rule 144 under the Securities Act in the case of our affiliates. In addition, certain holders of shares of our common stock have rights, subject to some conditions, to require us to file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If securities or industry analysts publish inaccurate or unfavorable research about our business, our stock price and trading volume could decline.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trading market for our common stock will rely, in part, on the research and reports that industry or financial analysts publish about us or our business. We do not have any control over these analysts. If one or more of the analysts covering our business downgrade their evaluations of our stock or publish inaccurate or unfavorable research about our business, the price of our stock would likely decline. If one or more of these analysts cease to cover our stock or fail to publish reports on us regularly, we could lose visibility in the market for our stock, which, in turn, could cause our stock price and trading volume to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0520"/>
                <wp:effectExtent l="0" t="0" r="0" b="0"/>
                <wp:wrapNone/>
                <wp:docPr id="84" name="Frame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will incur significantly increased costs as a result of operating as a public company, and our management will be required to devote substantial time to new compliance initiatives and corporate governance practices.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a public company, we will incur significant legal, accounting and other expenses that we did not incur as a private company. The Sarbanes-Oxley Act of 2002, as amended, or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For example, we expect that these rules and regulations may make it more difficult and more expensive for us to obtain director and officer liability insurance and we may be required to incur substantial costs to maintain sufficient coverage. We are evaluating these rules and regulations, and cannot predict or estimate the amount or timing of additional costs we may incur or the timing of such costs.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services.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are a “smaller reporting company” and, as a result of the reduced disclosure requirements applicable to smaller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reporting companies, our common stock may be less attractive to investors.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a “smaller reporting company,” as defined in the Securities Exchange Act of 1934, as amended, or the Exchange Act, and we intend to take advantage of certain exemptions from various reporting requirements that are applicable to other public companies that are not “smaller reporting companies,” including reduced disclosure obligations regarding executive compensation in our periodic reports and proxy statements. We are also a non-accelerated filer and are not required to comply with the auditor attestation requirements of Section 404(b) of the Sarbanes-Oxley Act of 2002. Our internal controls over financial reporting will not receive the level of review provided by the process relating to the auditor attestation included in annual reports of issuers that are subject to these requirements.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 “smaller reporting company.” We will remain a “smaller reporting company” until (a) the aggregate market value of our outstanding common stock held by non-affiliates as of the last business day of our most recently completed second fiscal quarter is $250 million or more and we reported annual net revenues as of our most recently completed fiscal year of $100 million or more, or (b) the aggregate market value of our outstanding common stock held by non-affiliates as of the last business day of our most recently completed second fiscal quarter is $700 million or more, regardless of annual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required, pursuant to Section 404 of the Sarbanes-Oxley Act, to assess the effectiveness of our internal control over financial reporting annually and disclosure controls and procedures quarterly. In particular, we must perform system and process evaluation and testing of our internal control over financial reporting to allow management to report on the effectiveness of our internal control over financial reporting, as required by Section 404 of the Sarbanes-Oxley Act.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When we become an accelerated filer or large accelerated filer, our independent registered public accounting firm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85" name="Frame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disclosure controls and procedures may not prevent or detect all errors or acts of fraud.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Provisions in our corporate charter documents and under Delaware law could make an acquisition of us, which may be beneficial to our stockholders, more difficult and may prevent attempts by our stockholders to replace or remove our current management.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Provisions in our amended and restated certificate of incorporation and our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establish a classified board of directors such that not all members of the board are elected at one time;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allow the authorized number of our directors to be changed only by resolution of our board of directors;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limit the manner in which stockholders can remove directors from the board;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establish advance notice requirements for stockholder proposals that can be acted on at stockholder meetings and nominations to our board of directors;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require that stockholder actions must be effected at a duly called stockholder meeting and prohibit actions by our stockholders by written consent;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prohibit our stockholders from calling a special meeting of our stockholders;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require the approval of the holders of at least 66 2/3% of the votes that all our stockholders would be entitled to cast to amend or repeal certain provisions of our charter or bylaws.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example, in April 2025, our board of directors adopted a stockholder rights plan that would cause substantial dilution to, and substantially increase the costs paid by, a stockholder who attempted to acquire us on terms not approved by our board of directors. This stockholder rights plan expired pursuant to its terms in April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6" name="Frame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third-party tender offers for our common stock, including transactions that may be in your best interests. These provisions may also prevent changes in our management or limit the price that investors are willing to pay for our stock.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Our amended and restated certificate of incorporation designates the Court of Chancery of the State of Delaware as the exclusive forum for substantially all disputes between us and our stockholders, which could limit our stockholders’ ability to obtain a favorable judicial forum for disputes with us or our directors, officers or employees.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exclusive forum for the following types of actions or proceedings under Delaware statutory or common law: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derivative action or proceeding brought on our behalf;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action or proceeding asserting a claim of breach of a fiduciary duty owed by any of our current or former directors, officers or other employees to us or our stockholders;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action or proceeding asserting a claim against us or any of our current or former directors, officers or other employees, arising out of or pursuant to any provision of the Delaware General Corporation Law, our certificate of incorporation or our bylaws;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action or proceeding to interpret, apply, enforce or determine the validity of our certificate of incorporation or our bylaws;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any action asserting a claim against us or any of our directors, officers or other employees governed by the internal affairs doctrine.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provision would not apply to suits brought to enforce a duty or liability created by the Exchange Act or any other claim for which the U.S. federal courts have exclusive jurisdiction.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our amended and restated certificate of incorporation provides that the federal district courts of the United States will be the exclusive forum for resolving any complaint asserting a cause of action arising under the Securities Act, unless we consent in writing to the selection of an alternative forum.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These exclusive-forum provisions may limit a stockholder’s ability to bring a claim in a judicial forum that it finds favorable for disputes with us or our directors, officers or other employees, which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For example, the Court of Chancery of the State of Delaware recently determined that a provision stating that U.S. federal district courts are the exclusive forum for resolving any complaint asserting a cause of action arising under the Securities Act is not enforceable. However, on March 18, 2020, this decision was ultimately overturned by the Delaware Supreme Court.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hanging="20"/>
        <w:jc w:val="left"/>
        <w:rPr>
          <w:rFonts w:ascii="Arial;sans-serif" w:hAnsi="Arial;sans-serif"/>
          <w:b/>
          <w:color w:val="000000"/>
          <w:sz w:val="20"/>
        </w:rPr>
      </w:pPr>
      <w:r>
        <w:rPr>
          <w:rFonts w:ascii="Arial;sans-serif" w:hAnsi="Arial;sans-serif"/>
          <w:b/>
          <w:color w:val="000000"/>
          <w:sz w:val="20"/>
        </w:rPr>
        <w:t>(a) Recent Sales of Unregistered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 Use of Proceeds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87" name="Frame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(c) Issuer Purchases of Equity Securities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Rule 10b5-1 Trading Arrangements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8" name="Frame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4"/>
        <w:gridCol w:w="266"/>
        <w:gridCol w:w="267"/>
        <w:gridCol w:w="109"/>
        <w:gridCol w:w="109"/>
        <w:gridCol w:w="109"/>
        <w:gridCol w:w="1640"/>
        <w:gridCol w:w="1451"/>
        <w:gridCol w:w="1466"/>
        <w:gridCol w:w="109"/>
        <w:gridCol w:w="109"/>
        <w:gridCol w:w="109"/>
        <w:gridCol w:w="300"/>
        <w:gridCol w:w="300"/>
        <w:gridCol w:w="301"/>
        <w:gridCol w:w="110"/>
        <w:gridCol w:w="110"/>
        <w:gridCol w:w="110"/>
        <w:gridCol w:w="288"/>
        <w:gridCol w:w="288"/>
        <w:gridCol w:w="290"/>
        <w:gridCol w:w="110"/>
        <w:gridCol w:w="110"/>
        <w:gridCol w:w="110"/>
        <w:gridCol w:w="230"/>
        <w:gridCol w:w="230"/>
        <w:gridCol w:w="231"/>
        <w:gridCol w:w="110"/>
        <w:gridCol w:w="110"/>
        <w:gridCol w:w="110"/>
        <w:gridCol w:w="238"/>
        <w:gridCol w:w="191"/>
        <w:gridCol w:w="280"/>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1"/>
            <w:tcBorders/>
            <w:tcMar>
              <w:top w:w="0" w:type="dxa"/>
              <w:left w:w="0" w:type="dxa"/>
              <w:bottom w:w="0" w:type="dxa"/>
              <w:right w:w="0" w:type="dxa"/>
            </w:tcMar>
            <w:vAlign w:val="center"/>
          </w:tcPr>
          <w:p>
            <w:pPr>
              <w:pStyle w:val="TableContents"/>
              <w:bidi w:val="0"/>
              <w:spacing w:lineRule="auto" w:line="276" w:before="0" w:after="0"/>
              <w:ind w:left="0" w:right="0" w:hanging="120"/>
              <w:jc w:val="center"/>
              <w:rPr>
                <w:rFonts w:ascii="Arial;sans-serif" w:hAnsi="Arial;sans-serif"/>
                <w:b/>
                <w:color w:val="000000"/>
                <w:sz w:val="18"/>
              </w:rPr>
            </w:pPr>
            <w:r>
              <w:rPr>
                <w:rFonts w:ascii="Arial;sans-serif" w:hAnsi="Arial;sans-serif"/>
                <w:b/>
                <w:color w:val="000000"/>
                <w:sz w:val="18"/>
              </w:rPr>
              <w:t>Incorporated by Reference</w:t>
            </w:r>
          </w:p>
        </w:tc>
      </w:tr>
      <w:tr>
        <w:trPr/>
        <w:tc>
          <w:tcPr>
            <w:tcW w:w="83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Exhibit</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Schedule</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File Number</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Exhibit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ind w:left="0" w:right="0" w:hanging="120"/>
              <w:jc w:val="center"/>
              <w:rPr>
                <w:rFonts w:ascii="Arial;sans-serif" w:hAnsi="Arial;sans-serif"/>
                <w:b/>
                <w:color w:val="000000"/>
                <w:sz w:val="18"/>
              </w:rPr>
            </w:pPr>
            <w:r>
              <w:rPr>
                <w:rFonts w:ascii="Arial;sans-serif" w:hAnsi="Arial;sans-serif"/>
                <w:b/>
                <w:color w:val="000000"/>
                <w:sz w:val="18"/>
              </w:rPr>
              <w:t>Filing Date</w:t>
            </w:r>
          </w:p>
        </w:tc>
      </w:tr>
      <w:tr>
        <w:trPr/>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r:id="rId2">
              <w:r>
                <w:rPr>
                  <w:rStyle w:val="InternetLink"/>
                  <w:rFonts w:ascii="Arial;sans-serif" w:hAnsi="Arial;sans-serif"/>
                  <w:b w:val="false"/>
                  <w:color w:val="0E32E1"/>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Arial;sans-serif" w:hAnsi="Arial;sans-serif"/>
                  <w:b w:val="false"/>
                  <w:color w:val="0E32E1"/>
                  <w:sz w:val="18"/>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001-39264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76" w:before="0" w:after="0"/>
              <w:ind w:left="0" w:right="0" w:hanging="120"/>
              <w:jc w:val="center"/>
              <w:rPr>
                <w:rFonts w:ascii="Arial;sans-serif" w:hAnsi="Arial;sans-serif"/>
                <w:b w:val="false"/>
                <w:color w:val="000000"/>
                <w:sz w:val="18"/>
              </w:rPr>
            </w:pPr>
            <w:r>
              <w:rPr>
                <w:rFonts w:ascii="Arial;sans-serif" w:hAnsi="Arial;sans-serif"/>
                <w:b w:val="false"/>
                <w:color w:val="000000"/>
                <w:sz w:val="18"/>
              </w:rPr>
              <w:t>April 13, 2020</w:t>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r:id="rId4">
              <w:r>
                <w:rPr>
                  <w:rStyle w:val="InternetLink"/>
                  <w:rFonts w:ascii="Arial;sans-serif" w:hAnsi="Arial;sans-serif"/>
                  <w:b w:val="false"/>
                  <w:color w:val="0E32E1"/>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Arial;sans-serif" w:hAnsi="Arial;sans-serif"/>
                  <w:b w:val="false"/>
                  <w:color w:val="0E32E1"/>
                  <w:sz w:val="18"/>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001-39264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76" w:before="0" w:after="0"/>
              <w:ind w:left="0" w:right="0" w:hanging="120"/>
              <w:jc w:val="center"/>
              <w:rPr>
                <w:rFonts w:ascii="Arial;sans-serif" w:hAnsi="Arial;sans-serif"/>
                <w:b w:val="false"/>
                <w:color w:val="000000"/>
                <w:sz w:val="18"/>
              </w:rPr>
            </w:pPr>
            <w:r>
              <w:rPr>
                <w:rFonts w:ascii="Arial;sans-serif" w:hAnsi="Arial;sans-serif"/>
                <w:b w:val="false"/>
                <w:color w:val="000000"/>
                <w:sz w:val="18"/>
              </w:rPr>
              <w:t>March 6, 2025</w:t>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w:anchor="exhibit101q22026.htm">
              <w:r>
                <w:rPr>
                  <w:rStyle w:val="InternetLink"/>
                  <w:rFonts w:ascii="Arial;sans-serif" w:hAnsi="Arial;sans-serif"/>
                  <w:b w:val="false"/>
                  <w:color w:val="0E32E1"/>
                  <w:sz w:val="18"/>
                  <w:u w:val="single"/>
                </w:rPr>
                <w:t>10.1</w:t>
              </w:r>
            </w:hyperlink>
            <w:r>
              <w:rPr>
                <w:rFonts w:ascii="Arial;sans-serif" w:hAnsi="Arial;sans-serif"/>
                <w:b w:val="false"/>
                <w:color w:val="0E32E1"/>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q22026.htm">
              <w:r>
                <w:rPr>
                  <w:rStyle w:val="InternetLink"/>
                  <w:rFonts w:ascii="Arial;sans-serif" w:hAnsi="Arial;sans-serif"/>
                  <w:b w:val="false"/>
                  <w:color w:val="000080"/>
                  <w:sz w:val="18"/>
                  <w:u w:val="single"/>
                </w:rPr>
                <w:t>Employment Agreement by and between Registrant and Annita Tanini</w:t>
              </w:r>
            </w:hyperlink>
            <w:hyperlink w:anchor="exhibit101q22026.htm">
              <w:r>
                <w:rPr>
                  <w:rStyle w:val="InternetLink"/>
                  <w:rFonts w:ascii="Arial;sans-serif" w:hAnsi="Arial;sans-serif"/>
                  <w:b w:val="false"/>
                  <w:color w:val="000080"/>
                  <w:sz w:val="18"/>
                  <w:u w:val="single"/>
                </w:rPr>
                <w:t>, effective as of August 4, 2026</w:t>
              </w:r>
            </w:hyperlink>
            <w:r>
              <w:rPr>
                <w:rFonts w:ascii="Arial;sans-serif" w:hAnsi="Arial;sans-serif"/>
                <w:b w:val="false"/>
                <w:color w:val="0E32E1"/>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w:anchor="exhibit311q22026.htm">
              <w:r>
                <w:rPr>
                  <w:rStyle w:val="InternetLink"/>
                  <w:rFonts w:ascii="Arial;sans-serif" w:hAnsi="Arial;sans-serif"/>
                  <w:b w:val="false"/>
                  <w:color w:val="0E32E1"/>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311q22026.htm">
              <w:r>
                <w:rPr>
                  <w:rStyle w:val="InternetLink"/>
                  <w:rFonts w:ascii="Arial;sans-serif" w:hAnsi="Arial;sans-serif"/>
                  <w:b w:val="false"/>
                  <w:color w:val="0E32E1"/>
                  <w:sz w:val="18"/>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w:anchor="exhibit312q22026.htm">
              <w:r>
                <w:rPr>
                  <w:rStyle w:val="InternetLink"/>
                  <w:rFonts w:ascii="Arial;sans-serif" w:hAnsi="Arial;sans-serif"/>
                  <w:b w:val="false"/>
                  <w:color w:val="0E32E1"/>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312q22026.htm">
              <w:r>
                <w:rPr>
                  <w:rStyle w:val="InternetLink"/>
                  <w:rFonts w:ascii="Arial;sans-serif" w:hAnsi="Arial;sans-serif"/>
                  <w:b w:val="false"/>
                  <w:color w:val="0E32E1"/>
                  <w:sz w:val="18"/>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w:anchor="exhibit321q22026.htm">
              <w:r>
                <w:rPr>
                  <w:rStyle w:val="InternetLink"/>
                  <w:rFonts w:ascii="Arial;sans-serif" w:hAnsi="Arial;sans-serif"/>
                  <w:b w:val="false"/>
                  <w:color w:val="0E32E1"/>
                  <w:sz w:val="18"/>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321q22026.htm">
              <w:r>
                <w:rPr>
                  <w:rStyle w:val="InternetLink"/>
                  <w:rFonts w:ascii="Arial;sans-serif" w:hAnsi="Arial;sans-serif"/>
                  <w:b w:val="false"/>
                  <w:color w:val="0E32E1"/>
                  <w:sz w:val="18"/>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Cover Page formatted as Inline XBRL and included within the Exhibit 101 attachments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9" name="Frame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Certain exhibits omitted pursuant to Item 601(b)(2) of Regulation S-K. The Registrant will furnish supplementally a copy of any omitted exhibit to the SEC upon request. The Registrant may request confidential treatment pursuant to Rule 24b-2 of the Exchange Act for any exhibits so furnished.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r>
              <w:rPr>
                <w:rFonts w:ascii="Arial;sans-serif" w:hAnsi="Arial;sans-serif"/>
                <w:b w:val="false"/>
                <w:color w:val="000000"/>
                <w:sz w:val="2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0520"/>
                <wp:effectExtent l="0" t="0" r="0" b="0"/>
                <wp:wrapNone/>
                <wp:docPr id="90" name="Frame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pPr>
      <w:r>
        <w:rPr/>
      </w:r>
    </w:p>
    <w:tbl>
      <w:tblPr>
        <w:tblW w:w="8703" w:type="dxa"/>
        <w:jc w:val="left"/>
        <w:tblInd w:w="0" w:type="dxa"/>
        <w:tblLayout w:type="fixed"/>
        <w:tblCellMar>
          <w:top w:w="28" w:type="dxa"/>
          <w:left w:w="28" w:type="dxa"/>
          <w:bottom w:w="28" w:type="dxa"/>
          <w:right w:w="28" w:type="dxa"/>
        </w:tblCellMar>
      </w:tblPr>
      <w:tblGrid>
        <w:gridCol w:w="711"/>
        <w:gridCol w:w="624"/>
        <w:gridCol w:w="630"/>
        <w:gridCol w:w="456"/>
        <w:gridCol w:w="456"/>
        <w:gridCol w:w="456"/>
        <w:gridCol w:w="1573"/>
        <w:gridCol w:w="1573"/>
        <w:gridCol w:w="222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8" w:type="dxa"/>
            <w:gridSpan w:val="6"/>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KEROS THERAPEUTICS, INC.</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Date: August 3, 2026</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 Jasbir Seehra</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Jasbir Seehra, Ph.D.</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ableContents"/>
              <w:bidi w:val="0"/>
              <w:spacing w:lineRule="auto" w:line="276" w:before="0" w:after="0"/>
              <w:jc w:val="left"/>
              <w:rPr/>
            </w:pPr>
            <w:r>
              <w:rPr>
                <w:rFonts w:ascii="Arial;sans-serif" w:hAnsi="Arial;sans-serif"/>
                <w:b w:val="false"/>
                <w:color w:val="000000"/>
                <w:sz w:val="20"/>
              </w:rPr>
              <w:t>(</w:t>
            </w:r>
            <w:r>
              <w:rPr>
                <w:rFonts w:ascii="Arial;sans-serif" w:hAnsi="Arial;sans-serif"/>
                <w:b w:val="false"/>
                <w:i/>
                <w:color w:val="000000"/>
                <w:sz w:val="20"/>
              </w:rPr>
              <w:t>Principal Executive Officer</w:t>
            </w:r>
            <w:r>
              <w:rPr>
                <w:rFonts w:ascii="Arial;sans-serif" w:hAnsi="Arial;sans-serif"/>
                <w:b w:val="false"/>
                <w:color w:val="000000"/>
                <w:sz w:val="20"/>
              </w:rPr>
              <w:t>)</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Date: August 3, 2026</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 Keith Regnante</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Keith Regnante</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76" w:before="0" w:after="0"/>
              <w:jc w:val="left"/>
              <w:rPr/>
            </w:pPr>
            <w:r>
              <w:rPr>
                <w:rFonts w:ascii="Arial;sans-serif" w:hAnsi="Arial;sans-serif"/>
                <w:b w:val="false"/>
                <w:color w:val="000000"/>
                <w:sz w:val="20"/>
              </w:rPr>
              <w:t>(</w:t>
            </w:r>
            <w:r>
              <w:rPr>
                <w:rFonts w:ascii="Arial;sans-serif" w:hAnsi="Arial;sans-serif"/>
                <w:b w:val="false"/>
                <w:i/>
                <w:color w:val="000000"/>
                <w:sz w:val="20"/>
                <w:shd w:fill="FFFFFF" w:val="clear"/>
              </w:rPr>
              <w:t>Principal Financial Officer and Principal Accounting Officer</w:t>
            </w:r>
            <w:r>
              <w:rPr>
                <w:rFonts w:ascii="Arial;sans-serif" w:hAnsi="Arial;sans-serif"/>
                <w:b w:val="false"/>
                <w:color w:val="000000"/>
                <w:sz w:val="20"/>
                <w:shd w:fill="FFFFFF" w:val="clear"/>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91" name="Frame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EXECUTIVE EMPLOYMENT AGREEMENT</w:t>
      </w:r>
    </w:p>
    <w:p>
      <w:pPr>
        <w:pStyle w:val="TextBody"/>
        <w:bidi w:val="0"/>
        <w:spacing w:before="0" w:after="0"/>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4"/>
        </w:rPr>
        <w:t>THIS EXECUTIVE EMPLOYMENT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by and between Keros Therapeutics,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Annita Tanini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(collectively referred to as the “</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or individually referred to as a “</w:t>
      </w:r>
      <w:r>
        <w:rPr>
          <w:rFonts w:ascii="Times New Roman;serif" w:hAnsi="Times New Roman;serif"/>
          <w:b w:val="false"/>
          <w:color w:val="000000"/>
          <w:sz w:val="24"/>
          <w:u w:val="single"/>
        </w:rPr>
        <w:t>Party</w:t>
      </w:r>
      <w:r>
        <w:rPr>
          <w:color w:val="000000"/>
        </w:rPr>
        <w:t>”</w:t>
      </w:r>
      <w:r>
        <w:rPr>
          <w:rFonts w:ascii="Times New Roman;serif" w:hAnsi="Times New Roman;serif"/>
          <w:b w:val="false"/>
          <w:color w:val="000000"/>
          <w:sz w:val="24"/>
        </w:rPr>
        <w:t>), is effective as of August 4,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R E C I T A L 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WHEREAS, Executive has been employed by the Company on an at-will basis as its Corporate Controller and Vice President, Finance, pursuant to the terms of the May 3, 2019 Offer Letter Agreement, as amended in part pursuant to that 2026 Compensation Package Letter (collectively, the “</w:t>
      </w:r>
      <w:r>
        <w:rPr>
          <w:rFonts w:ascii="Times New Roman;serif" w:hAnsi="Times New Roman;serif"/>
          <w:b w:val="false"/>
          <w:color w:val="000000"/>
          <w:sz w:val="24"/>
          <w:u w:val="single"/>
        </w:rPr>
        <w:t>Offer Letter</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WHEREAS,the Company desires to continue to employ Executive as the Company’s Corporate Controller and Vice President, Finance and interim principal financial officer and principal accounting officer, pursuant to the terms of the Agreement, which shall amend, restate, and supersede the Offer Letter in its entirety; and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Executive desires to accept such continued employment and enter into such an agreement.</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 G R E E M E N 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promises and mutual covenants herein and for other good and valuable consideration, the Parties agree as follows: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Duties and Scope of Employment</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Positions and Duties</w:t>
      </w:r>
      <w:r>
        <w:rPr>
          <w:rFonts w:ascii="Times New Roman;serif" w:hAnsi="Times New Roman;serif"/>
          <w:b w:val="false"/>
          <w:color w:val="000000"/>
          <w:sz w:val="24"/>
        </w:rPr>
        <w:t>. As of the Effective Date, Executive will serve as Corporate Controller and Vice President, Finance and interim principal financial officer and principal accounting officer</w:t>
      </w:r>
      <w:r>
        <w:rPr>
          <w:color w:val="000000"/>
        </w:rPr>
        <w:t xml:space="preserve"> </w:t>
      </w:r>
      <w:r>
        <w:rPr>
          <w:rFonts w:ascii="Times New Roman;serif" w:hAnsi="Times New Roman;serif"/>
          <w:b w:val="false"/>
          <w:color w:val="000000"/>
          <w:sz w:val="24"/>
        </w:rPr>
        <w:t>of the Company. Executive will continue to render such business and professional services in the performance of Executive’s duties, consistent with Executive's position within the Company, as shall reasonably be assigned to Executive by the Company’s Chief Executive Officer. The period of Executive’s at-will employment under the terms of this Agreement is referred to herein as the “</w:t>
      </w:r>
      <w:r>
        <w:rPr>
          <w:rFonts w:ascii="Times New Roman;serif" w:hAnsi="Times New Roman;serif"/>
          <w:b w:val="false"/>
          <w:color w:val="000000"/>
          <w:sz w:val="24"/>
          <w:u w:val="single"/>
        </w:rPr>
        <w:t>Employment Term</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Obligations</w:t>
      </w:r>
      <w:r>
        <w:rPr>
          <w:rFonts w:ascii="Times New Roman;serif" w:hAnsi="Times New Roman;serif"/>
          <w:b w:val="false"/>
          <w:color w:val="000000"/>
          <w:sz w:val="24"/>
        </w:rPr>
        <w:t>. During the Employment Term, Executive will continue to perform Executive’s duties faithfully and to the best of Executive’s ability and will devote Executive’s full business efforts and time to the Company. For the duration of the Employment Term, Executive agrees not to actively engage in any other employment, occupation or consulting activity for any direct or indirect remuneration without the prior approval of the Company’s Board of Directors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At-Will Employment</w:t>
      </w:r>
      <w:r>
        <w:rPr>
          <w:rFonts w:ascii="Times New Roman;serif" w:hAnsi="Times New Roman;serif"/>
          <w:b w:val="false"/>
          <w:color w:val="000000"/>
          <w:sz w:val="24"/>
        </w:rPr>
        <w:t>. Subject to Sections 7, 8, and 9 below, the parties agree that Executive's employment with the Company will continue to be “at-will” employment and may be terminated at any time with or without cause or notice, for any reason or no reason.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w:t>
      </w:r>
    </w:p>
    <w:p>
      <w:pPr>
        <w:pStyle w:val="TextBody"/>
        <w:bidi w:val="0"/>
        <w:spacing w:lineRule="auto" w:line="240" w:before="240" w:after="283"/>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Base Salary</w:t>
      </w:r>
      <w:r>
        <w:rPr>
          <w:rFonts w:ascii="Times New Roman;serif" w:hAnsi="Times New Roman;serif"/>
          <w:b w:val="false"/>
          <w:color w:val="000000"/>
          <w:sz w:val="24"/>
        </w:rPr>
        <w:t>. During the Employment Term, the Company will pay Executive as compensation for Executive’s services a base salary of $302,300.00</w:t>
      </w:r>
      <w:r>
        <w:rPr>
          <w:color w:val="000000"/>
        </w:rPr>
        <w:t xml:space="preserve"> </w:t>
      </w:r>
      <w:r>
        <w:rPr>
          <w:rFonts w:ascii="Times New Roman;serif" w:hAnsi="Times New Roman;serif"/>
          <w:b w:val="false"/>
          <w:color w:val="000000"/>
          <w:sz w:val="24"/>
        </w:rPr>
        <w:t>per year, as modified from time to time at the discretion of the</w:t>
      </w:r>
      <w:r>
        <w:rPr>
          <w:color w:val="000000"/>
        </w:rPr>
        <w:t xml:space="preserve"> </w:t>
      </w:r>
      <w:r>
        <w:rPr>
          <w:rFonts w:ascii="Times New Roman;serif" w:hAnsi="Times New Roman;serif"/>
          <w:b w:val="false"/>
          <w:color w:val="000000"/>
          <w:sz w:val="24"/>
        </w:rPr>
        <w:t>Board or a duly constituted committee of the Board (the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The Base Salary will be paid in regular installments in accordance with the Company’s normal payroll practices (subject to required withholding). Any increase or decrease in Base Salary (together with the then existing Base Salary) shall serve as the “</w:t>
      </w:r>
      <w:r>
        <w:rPr>
          <w:rFonts w:ascii="Times New Roman;serif" w:hAnsi="Times New Roman;serif"/>
          <w:b w:val="false"/>
          <w:color w:val="000000"/>
          <w:sz w:val="24"/>
          <w:u w:val="single"/>
        </w:rPr>
        <w:t>Base Salary</w:t>
      </w:r>
      <w:r>
        <w:rPr>
          <w:color w:val="000000"/>
        </w:rPr>
        <w:t xml:space="preserve">” </w:t>
      </w:r>
      <w:r>
        <w:rPr>
          <w:rFonts w:ascii="Times New Roman;serif" w:hAnsi="Times New Roman;serif"/>
          <w:b w:val="false"/>
          <w:color w:val="000000"/>
          <w:sz w:val="24"/>
        </w:rPr>
        <w:t xml:space="preserve">for future employment under this Agreement. The first and last payment will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7660"/>
                <wp:effectExtent l="0" t="0" r="0" b="0"/>
                <wp:wrapNone/>
                <wp:docPr id="92" name="Frame9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be adjusted, if necessary, to reflect a commencement or termination date other than the first or last working day of a pay period.</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u w:val="single"/>
        </w:rPr>
        <w:t>Annual Bonus</w:t>
      </w:r>
      <w:r>
        <w:rPr>
          <w:rFonts w:ascii="Times New Roman;serif" w:hAnsi="Times New Roman;serif"/>
          <w:b w:val="false"/>
          <w:color w:val="000000"/>
          <w:sz w:val="24"/>
        </w:rPr>
        <w:t>. Executive will continue to be eligible to earn an annual discretionary bonus with a target amount equal to thirty percent (30%) of the Base Salary (“</w:t>
      </w:r>
      <w:r>
        <w:rPr>
          <w:rFonts w:ascii="Times New Roman;serif" w:hAnsi="Times New Roman;serif"/>
          <w:b w:val="false"/>
          <w:color w:val="000000"/>
          <w:sz w:val="24"/>
          <w:u w:val="single"/>
        </w:rPr>
        <w:t>Target Bonus</w:t>
      </w:r>
      <w:r>
        <w:rPr>
          <w:color w:val="000000"/>
        </w:rPr>
        <w:t>”</w:t>
      </w:r>
      <w:r>
        <w:rPr>
          <w:rFonts w:ascii="Times New Roman;serif" w:hAnsi="Times New Roman;serif"/>
          <w:b w:val="false"/>
          <w:color w:val="000000"/>
          <w:sz w:val="24"/>
        </w:rPr>
        <w:t>). The amount of this bonus, if any, will be determined in the sole discretion of the Board and based, in part, on Executive’s performance and the performance of the Company during the calendar year. The Company will pay Executive this bonus, if any, by no later than March 1st of the following calendar year. The bonus is not earned until paid and no pro-rated amount will be paid if Executive’s employment terminates for any reason prior to the payment date.</w:t>
      </w:r>
    </w:p>
    <w:p>
      <w:pPr>
        <w:pStyle w:val="TextBody"/>
        <w:bidi w:val="0"/>
        <w:spacing w:lineRule="auto" w:line="240" w:before="240" w:after="283"/>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Equity Awards</w:t>
      </w:r>
      <w:r>
        <w:rPr>
          <w:rFonts w:ascii="Times New Roman;serif" w:hAnsi="Times New Roman;serif"/>
          <w:b w:val="false"/>
          <w:color w:val="000000"/>
          <w:sz w:val="24"/>
        </w:rPr>
        <w:t>. Throughout Executive’s employment, Executive has been granted various stock options (the “Options”) to purchase shares of the Company’s Common Stock with an exercise price equal to the fair market value of the date of the grant, and a restricted stock unit (“RSU”). The Options and the RSU shall continue to be subject to the terms and conditions of the company’s equity plan, the stock option agreement, and the RSU agreement, as applicable. During the Employment Term, Executive may be eligible to receive additional awards of stock options, restricted stock units or other equity awards pursuant to any plans or arrangements the Company may have in effect from time to time. The Board or a committee of the Board shall determine in its discretion whether Executive shall be granted any such additional equity awards and the terms of any such award in accordance with the terms of any applicable plan or arrangement that may be in effect from time to time. Any equity awards received by Executive up to the date hereof shall remain subject to the terms of any applicable plan or award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Employee Benefits</w:t>
      </w:r>
      <w:r>
        <w:rPr>
          <w:rFonts w:ascii="Times New Roman;serif" w:hAnsi="Times New Roman;serif"/>
          <w:b w:val="false"/>
          <w:color w:val="000000"/>
          <w:sz w:val="24"/>
        </w:rPr>
        <w:t>. During the Employment Term, Executive will continue to be eligible to participate in the employee benefit plans currently and hereafter maintained by the Company of general applicability to other senior executives of the Company, including, without limitation, the Company’s group medical, dental, vision, disability, life insurance, and flexible-spending account plans. The Company reserves the right to cancel or change the benefit plans and programs it offers to its employees at any time.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Vacation</w:t>
      </w:r>
      <w:r>
        <w:rPr>
          <w:rFonts w:ascii="Times New Roman;serif" w:hAnsi="Times New Roman;serif"/>
          <w:b w:val="false"/>
          <w:color w:val="000000"/>
          <w:sz w:val="24"/>
        </w:rPr>
        <w:t>. Executive will be eligible to accrue a maximum of three (3) weeks paid vacation per year, in accordance with the Company’s vacation policy. On the fifth (5</w:t>
      </w:r>
      <w:r>
        <w:rPr>
          <w:rFonts w:ascii="Times New Roman;serif" w:hAnsi="Times New Roman;serif"/>
          <w:b w:val="false"/>
          <w:color w:val="000000"/>
          <w:sz w:val="16"/>
        </w:rPr>
        <w:t>th</w:t>
      </w:r>
      <w:r>
        <w:rPr>
          <w:rFonts w:ascii="Times New Roman;serif" w:hAnsi="Times New Roman;serif"/>
          <w:b w:val="false"/>
          <w:color w:val="000000"/>
          <w:sz w:val="24"/>
        </w:rPr>
        <w:t>)-year anniversary of Executive’s start date, Executive shall be eligible to accrue a maximum of four (4) weeks paid vacation per year, in accordance with the Company’s vacation policy. Vacation must be used in the calendar year it is accrued or it will be forfeited (unless otherwise prohibited by applicable law), subject to one (1) week of such accrued and unused vacation which may carried over to the subsequent year, in accordance with the Company’s vacation policy. Vacation shall be taken subject to the demands of the Company’s business and Executive’s obligations as an employee of the Company with a substantial degree of responsibility.</w:t>
      </w:r>
    </w:p>
    <w:p>
      <w:pPr>
        <w:pStyle w:val="TextBody"/>
        <w:bidi w:val="0"/>
        <w:spacing w:lineRule="auto" w:line="240" w:before="240" w:after="283"/>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Business Expenses</w:t>
      </w:r>
      <w:r>
        <w:rPr>
          <w:rFonts w:ascii="Times New Roman;serif" w:hAnsi="Times New Roman;serif"/>
          <w:b w:val="false"/>
          <w:color w:val="000000"/>
          <w:sz w:val="24"/>
        </w:rPr>
        <w:t>. During the Employment Term, the Company will continue to reimburse Executive for reasonable business travel, entertainment or other business expenses incurred by Executive in the furtherance of or in connection with the performance of Executive’s duties hereunder, in accordance with the Company’s expense reimbursement policy as in effect from time to time.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Termination on Death or Disability</w:t>
      </w:r>
      <w:r>
        <w:rPr>
          <w:rFonts w:ascii="Times New Roman;serif" w:hAnsi="Times New Roman;serif"/>
          <w:b w:val="false"/>
          <w:color w:val="000000"/>
          <w:sz w:val="24"/>
        </w:rPr>
        <w:t xml:space="preserve">.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Effectiveness</w:t>
      </w:r>
      <w:r>
        <w:rPr>
          <w:rFonts w:ascii="Times New Roman;serif" w:hAnsi="Times New Roman;serif"/>
          <w:b w:val="false"/>
          <w:color w:val="000000"/>
          <w:sz w:val="24"/>
        </w:rPr>
        <w:t>. Executive’s employment will terminate automatically upon Executive’s death or, upon fourteen (14) days prior written notice from the Company, in the event of Disability (as defined below).</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Effect of Termination</w:t>
      </w:r>
      <w:r>
        <w:rPr>
          <w:rFonts w:ascii="Times New Roman;serif" w:hAnsi="Times New Roman;serif"/>
          <w:b w:val="false"/>
          <w:color w:val="000000"/>
          <w:sz w:val="24"/>
        </w:rPr>
        <w:t>. Upon any termination for death or Disability, Executive (or Executive’s estate, as applicable) shall be entitled to: (i) Executive’s Base Salary through the effective date of termination; (ii) in the event of a Disability, the right to continue health care benefits under Title X of the Consolidated Budget Reconciliation Act of 1985, as amended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at Executive’s cost, to the extent required and available by law; (iii) reimbursement of expenses for which Executive is entitled to be reimbursed pursuant to Section 6 above, but for which Executive has not yet been reimbursed; and (iv) no other severance or benefits of any kind, unless required by law or pursuant to any other written Company plans or policies, as then in effect.</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05180"/>
                <wp:effectExtent l="0" t="0" r="0" b="0"/>
                <wp:wrapNone/>
                <wp:docPr id="93" name="Frame9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Involuntary Termination for Cause; Resignation Without Good Reason</w:t>
      </w:r>
      <w:r>
        <w:rPr>
          <w:rFonts w:ascii="Times New Roman;serif" w:hAnsi="Times New Roman;serif"/>
          <w:b w:val="false"/>
          <w:i/>
          <w:color w:val="000000"/>
          <w:sz w:val="24"/>
        </w:rPr>
        <w:t>.</w:t>
      </w:r>
    </w:p>
    <w:p>
      <w:pPr>
        <w:pStyle w:val="TextBody"/>
        <w:bidi w:val="0"/>
        <w:spacing w:before="0" w:after="0"/>
        <w:ind w:left="0" w:right="0" w:firstLine="72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Effectiveness</w:t>
      </w:r>
      <w:r>
        <w:rPr>
          <w:rFonts w:ascii="Times New Roman;serif" w:hAnsi="Times New Roman;serif"/>
          <w:b w:val="false"/>
          <w:color w:val="000000"/>
          <w:sz w:val="24"/>
        </w:rPr>
        <w:t>. Notwithstanding any other provision of this Agreement, the Company may terminate Executive’s employment at any time for Cause (as defined below) or Executive may resign from Executive’s employment with the Company at any time without Good Reason (as defined below). Termination for Cause, or Executive’s resignation without Good Reason, shall be effective on the date either Party gives notice to the other Party of such termination in accordance with this Agreement unless otherwise agreed by the Parties. In the event that the Company accelerates the effective date of a resignation, such acceleration shall not be construed as a termination of Executive’s employment by the Company or deemed Good Reason for such resignation.</w:t>
      </w:r>
    </w:p>
    <w:p>
      <w:pPr>
        <w:pStyle w:val="TextBody"/>
        <w:bidi w:val="0"/>
        <w:spacing w:before="0" w:after="0"/>
        <w:ind w:left="0" w:right="0" w:firstLine="72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Effect of Termination</w:t>
      </w:r>
      <w:r>
        <w:rPr>
          <w:rFonts w:ascii="Times New Roman;serif" w:hAnsi="Times New Roman;serif"/>
          <w:b w:val="false"/>
          <w:color w:val="000000"/>
          <w:sz w:val="24"/>
        </w:rPr>
        <w:t>. In the case of the Company’s termination of Executive’s employment for Cause, or Executive’s resignation without Good Reason, Executive shall be entitled to receive: (i) Base Salary through the effective date of the termination or resignation, as applicable; (ii) reimbursement of all business expenses for which Executive is entitled to be reimbursed pursuant to Section 6 above, but for which Executive has not yet been reimbursed; (iii) the right to continue health care benefits under COBRA, at Executive’s cost, to the extent required and available by law; and (iv) no other severance or benefits of any kind, unless required by law or pursuant to any other written Company plans or policies, as then in effect.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Involuntary Termination Without Cause and Resignation for Good Reason</w:t>
      </w:r>
      <w:r>
        <w:rPr>
          <w:rFonts w:ascii="Times New Roman;serif" w:hAnsi="Times New Roman;serif"/>
          <w:b w:val="false"/>
          <w:i/>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Effect of Termination</w:t>
      </w:r>
      <w:r>
        <w:rPr>
          <w:rFonts w:ascii="Times New Roman;serif" w:hAnsi="Times New Roman;serif"/>
          <w:b w:val="false"/>
          <w:color w:val="000000"/>
          <w:sz w:val="24"/>
        </w:rPr>
        <w:t xml:space="preserve">. The Company shall be entitled to terminate Executive with or without Cause at any time, subject to the following: </w:t>
      </w:r>
    </w:p>
    <w:p>
      <w:pPr>
        <w:pStyle w:val="TextBody"/>
        <w:bidi w:val="0"/>
        <w:spacing w:lineRule="auto" w:line="240" w:before="240" w:after="283"/>
        <w:ind w:left="0" w:right="0" w:firstLine="252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Involuntary Termination by Company Without Cause or by Executive for Good Reason not in Connection with a Change in Control.</w:t>
      </w:r>
      <w:r>
        <w:rPr>
          <w:color w:val="000000"/>
        </w:rPr>
        <w:t xml:space="preserve"> </w:t>
      </w:r>
      <w:r>
        <w:rPr>
          <w:rFonts w:ascii="Times New Roman;serif" w:hAnsi="Times New Roman;serif"/>
          <w:b w:val="false"/>
          <w:color w:val="000000"/>
          <w:sz w:val="24"/>
        </w:rPr>
        <w:t xml:space="preserve">If Executive is terminated by the Company involuntarily without Cause (excluding any termination due to death or Disability) or Executive resigns for Good Reason, then, subject to the limitations of Sections 9(b) and 25 below, and in addition to all accrued but unpaid salary through the termination date and reimbursement for reasonable outstanding business expenses, Executive shall be entitled to receive: </w:t>
      </w:r>
    </w:p>
    <w:p>
      <w:pPr>
        <w:pStyle w:val="TextBody"/>
        <w:bidi w:val="0"/>
        <w:spacing w:lineRule="auto" w:line="240" w:before="240" w:after="283"/>
        <w:ind w:left="0" w:right="0" w:firstLine="2880"/>
        <w:jc w:val="both"/>
        <w:rPr/>
      </w:pPr>
      <w:r>
        <w:rPr>
          <w:rFonts w:ascii="Times New Roman;serif" w:hAnsi="Times New Roman;serif"/>
          <w:b w:val="false"/>
          <w:color w:val="000000"/>
          <w:sz w:val="24"/>
        </w:rPr>
        <w:t>(1)</w:t>
      </w:r>
      <w:r>
        <w:rPr>
          <w:rFonts w:ascii="Times New Roman;serif" w:hAnsi="Times New Roman;serif"/>
          <w:b w:val="false"/>
          <w:color w:val="000000"/>
          <w:sz w:val="24"/>
        </w:rPr>
        <w:t>continuing payment of Executive’s Base Salary, as then in effect (less applicable withholding), for a period of six (6) months from the date of such termination, to be paid in continuing installments in accordance with the Company’s normal payroll practices and Section 9(b) below.</w:t>
      </w:r>
    </w:p>
    <w:p>
      <w:pPr>
        <w:pStyle w:val="TextBody"/>
        <w:bidi w:val="0"/>
        <w:spacing w:lineRule="auto" w:line="240" w:before="240" w:after="283"/>
        <w:ind w:left="0" w:right="0" w:firstLine="2880"/>
        <w:jc w:val="both"/>
        <w:rPr/>
      </w:pPr>
      <w:r>
        <w:rPr>
          <w:rFonts w:ascii="Times New Roman;serif" w:hAnsi="Times New Roman;serif"/>
          <w:b w:val="false"/>
          <w:color w:val="000000"/>
          <w:sz w:val="24"/>
        </w:rPr>
        <w:t>(2)</w:t>
      </w:r>
      <w:r>
        <w:rPr>
          <w:rFonts w:ascii="Times New Roman;serif" w:hAnsi="Times New Roman;serif"/>
          <w:b w:val="false"/>
          <w:color w:val="000000"/>
          <w:sz w:val="24"/>
        </w:rPr>
        <w:t>if Executive is eligible for and timely elects to continue health insurance coverage under the Consolidated Omnibus Budget Reconciliation Act of 1985 or the state equivalent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xml:space="preserve">), the Company will pay, on Executive’s behalf, on a monthly basis, the total cost of COBRA premiums for Executive and Executive’s eligible dependents, if any, until the earlier of (i) six (6) months from Separation Date, (ii) the expiration of Executive’s eligibility for the continuation coverage under COBRA, or (iii) such time as Executive becomes employed by another employer or self-employed through which you are eligible for health insurance (thereafter, Executive will be responsible for all COBRA premium payments, if any). Executive will be required to notify the Company immediately if Executive becomes eligible to enroll for health coverage under an insurance plan of a subsequent employer. For purposes of this Section, any applicable insurance premiums that are paid by the Company will not include any amounts payable by Executive under an Internal Revenue Code Section 125 health care reimbursement plan, which amounts, if any, are the sole responsibility of Executive. </w:t>
      </w:r>
    </w:p>
    <w:p>
      <w:pPr>
        <w:pStyle w:val="TextBody"/>
        <w:bidi w:val="0"/>
        <w:spacing w:lineRule="auto" w:line="240" w:before="240" w:after="283"/>
        <w:ind w:left="0" w:right="0" w:firstLine="2880"/>
        <w:jc w:val="left"/>
        <w:rPr/>
      </w:pPr>
      <w:r>
        <w:rPr>
          <w:rFonts w:ascii="Times New Roman;serif" w:hAnsi="Times New Roman;serif"/>
          <w:b w:val="false"/>
          <w:color w:val="000000"/>
          <w:sz w:val="24"/>
        </w:rPr>
        <w:t>(3)</w:t>
      </w:r>
      <w:r>
        <w:rPr>
          <w:rFonts w:ascii="Times New Roman;serif" w:hAnsi="Times New Roman;serif"/>
          <w:b w:val="false"/>
          <w:color w:val="000000"/>
          <w:sz w:val="24"/>
        </w:rPr>
        <w:t xml:space="preserve">no other severance payments or benefits of any kind, unless required by law or pursuant to any written Company plans or policies, as then in effect. </w:t>
      </w:r>
    </w:p>
    <w:p>
      <w:pPr>
        <w:pStyle w:val="TextBody"/>
        <w:bidi w:val="0"/>
        <w:spacing w:lineRule="auto" w:line="240" w:before="240" w:after="283"/>
        <w:ind w:left="0" w:right="0" w:firstLine="252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Involuntary Termination by Company without Cause or by Executive for Good Reason in Connection with a Change of Control.</w:t>
      </w:r>
      <w:r>
        <w:rPr>
          <w:color w:val="000000"/>
        </w:rPr>
        <w:t xml:space="preserve"> </w:t>
      </w:r>
      <w:r>
        <w:rPr>
          <w:rFonts w:ascii="Times New Roman;serif" w:hAnsi="Times New Roman;serif"/>
          <w:b w:val="false"/>
          <w:color w:val="000000"/>
          <w:sz w:val="24"/>
        </w:rPr>
        <w:t xml:space="preserve">If within one (1) month before or within twelve (12) months following a Change of Control (as defined below), Executive is involuntarily terminated by the Company or successor corporation for a reason without Cause (excluding any termination due to death or Disability), or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05180"/>
                <wp:effectExtent l="0" t="0" r="0" b="0"/>
                <wp:wrapNone/>
                <wp:docPr id="94" name="Frame9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Executive resigns for Good Reason, then, subject to the limitations of Sections 9(b) and 25 below, and in addition to all accrued but unpaid salary through the termination date and reimbursement for reasonable outstanding business expenses, Executive shall be entitled to receive: </w:t>
      </w:r>
    </w:p>
    <w:p>
      <w:pPr>
        <w:pStyle w:val="TextBody"/>
        <w:bidi w:val="0"/>
        <w:spacing w:lineRule="auto" w:line="240" w:before="240" w:after="283"/>
        <w:ind w:left="0" w:right="0" w:firstLine="2880"/>
        <w:jc w:val="both"/>
        <w:rPr/>
      </w:pPr>
      <w:r>
        <w:rPr>
          <w:rFonts w:ascii="Times New Roman;serif" w:hAnsi="Times New Roman;serif"/>
          <w:b w:val="false"/>
          <w:color w:val="000000"/>
          <w:sz w:val="24"/>
        </w:rPr>
        <w:t>(1)</w:t>
      </w:r>
      <w:r>
        <w:rPr>
          <w:rFonts w:ascii="Times New Roman;serif" w:hAnsi="Times New Roman;serif"/>
          <w:b w:val="false"/>
          <w:color w:val="000000"/>
          <w:sz w:val="24"/>
        </w:rPr>
        <w:t>continuing payment of Executive’s Base Salary, as then in effect (less applicable withholding), for a period of six (6) months from the date of such termination, to be paid in continuing installments in accordance with the Company’s normal payroll practices and Section 9(b) below.</w:t>
      </w:r>
    </w:p>
    <w:p>
      <w:pPr>
        <w:pStyle w:val="TextBody"/>
        <w:bidi w:val="0"/>
        <w:spacing w:lineRule="auto" w:line="240" w:before="240" w:after="283"/>
        <w:ind w:left="0" w:right="0" w:firstLine="2880"/>
        <w:jc w:val="both"/>
        <w:rPr/>
      </w:pPr>
      <w:r>
        <w:rPr>
          <w:rFonts w:ascii="Times New Roman;serif" w:hAnsi="Times New Roman;serif"/>
          <w:b w:val="false"/>
          <w:color w:val="000000"/>
          <w:sz w:val="24"/>
        </w:rPr>
        <w:t>(2)</w:t>
      </w:r>
      <w:r>
        <w:rPr>
          <w:rFonts w:ascii="Times New Roman;serif" w:hAnsi="Times New Roman;serif"/>
          <w:b w:val="false"/>
          <w:color w:val="000000"/>
          <w:sz w:val="24"/>
        </w:rPr>
        <w:t>a payment equal to one hundred percent (100%) of the Target Bonus for the year in which Executive’s employment is terminated. The Company shall pay the Target Bonus, subject to standard deductions and withholdings, in a lump sum on the first regularly scheduled payroll date following the date the Release becomes effective and can no longer be revoked provided that, if the release execution period begins in one taxable year and ends in another taxable year, payment shall not be made until the beginning of the second taxable year.</w:t>
      </w:r>
    </w:p>
    <w:p>
      <w:pPr>
        <w:pStyle w:val="TextBody"/>
        <w:bidi w:val="0"/>
        <w:spacing w:lineRule="auto" w:line="240" w:before="240" w:after="283"/>
        <w:ind w:left="0" w:right="0" w:firstLine="288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if Executive is eligible for and timely elects to continue health insurance coverage under COBRA, the Company will pay, on Executive’s behalf, on a monthly basis, the total cost of COBRA premiums for Executive and Executive’s eligible dependents, if any, until the earlier of (i) six (6) months from Separation Date, (ii) the expiration of Executive’s eligibility for the continuation coverage under COBRA, or (iii) such time as Executive becomes employed by another employer or self-employed through which you are eligible for health insurance (thereafter, Executive will be responsible for all COBRA premium payments, if any). Executive will be required to notify the Company immediately if Executive becomes eligible to enroll for health coverage under an insurance plan of a subsequent employer. For purposes of this Section, any applicable insurance premiums that are paid by the Company will not include any amounts payable by Executive under an Internal Revenue Code Section 125 health care reimbursement plan, which amounts, if any, are the sole responsibility of Executive. </w:t>
      </w:r>
    </w:p>
    <w:p>
      <w:pPr>
        <w:pStyle w:val="TextBody"/>
        <w:bidi w:val="0"/>
        <w:spacing w:lineRule="auto" w:line="240" w:before="240" w:after="283"/>
        <w:ind w:left="0" w:right="0" w:firstLine="2880"/>
        <w:jc w:val="both"/>
        <w:rPr/>
      </w:pPr>
      <w:r>
        <w:rPr>
          <w:rFonts w:ascii="Times New Roman;serif" w:hAnsi="Times New Roman;serif"/>
          <w:b w:val="false"/>
          <w:color w:val="000000"/>
          <w:sz w:val="24"/>
        </w:rPr>
        <w:t>(4)</w:t>
      </w:r>
      <w:r>
        <w:rPr>
          <w:rFonts w:ascii="Times New Roman;serif" w:hAnsi="Times New Roman;serif"/>
          <w:b w:val="false"/>
          <w:color w:val="000000"/>
          <w:sz w:val="24"/>
        </w:rPr>
        <w:t>Executive shall be entitled to acceleration of one hundred percent (100%) of Executive’s then-unvested and outstanding time-based vesting equity awards.</w:t>
      </w:r>
    </w:p>
    <w:p>
      <w:pPr>
        <w:pStyle w:val="TextBody"/>
        <w:bidi w:val="0"/>
        <w:spacing w:lineRule="auto" w:line="240" w:before="240" w:after="283"/>
        <w:ind w:left="0" w:right="0" w:firstLine="2880"/>
        <w:jc w:val="both"/>
        <w:rPr/>
      </w:pPr>
      <w:r>
        <w:rPr>
          <w:rFonts w:ascii="Times New Roman;serif" w:hAnsi="Times New Roman;serif"/>
          <w:b w:val="false"/>
          <w:color w:val="000000"/>
          <w:sz w:val="24"/>
        </w:rPr>
        <w:t>(5)</w:t>
      </w:r>
      <w:r>
        <w:rPr>
          <w:rFonts w:ascii="Times New Roman;serif" w:hAnsi="Times New Roman;serif"/>
          <w:b w:val="false"/>
          <w:color w:val="000000"/>
          <w:sz w:val="24"/>
        </w:rPr>
        <w:t xml:space="preserve">No other severance or benefits of any kind, unless required by law or pursuant to any written Company plans or policies, as then in effect.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Conditions Precedent</w:t>
      </w:r>
      <w:r>
        <w:rPr>
          <w:rFonts w:ascii="Times New Roman;serif" w:hAnsi="Times New Roman;serif"/>
          <w:b w:val="false"/>
          <w:color w:val="000000"/>
          <w:sz w:val="24"/>
        </w:rPr>
        <w:t>. Any severance payments contemplated by Section 9(a)</w:t>
      </w:r>
      <w:r>
        <w:rPr>
          <w:color w:val="000000"/>
        </w:rPr>
        <w:t xml:space="preserve"> </w:t>
      </w:r>
      <w:r>
        <w:rPr>
          <w:rFonts w:ascii="Times New Roman;serif" w:hAnsi="Times New Roman;serif"/>
          <w:b w:val="false"/>
          <w:color w:val="000000"/>
          <w:sz w:val="24"/>
        </w:rPr>
        <w:t>above are conditional on Executive: (i) continuing to comply with the terms of this Agreement and the Confidential Information Agreement (as defined below); and (ii) signing and not revoking a separation agreement and release of known and unknown claims in the form provided by the Company (including but not limited to non-competition, nondisparagement, and cooperation provisions) (the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and which will be provided by the Company no later than seven (7) days after the termination date and provided that such Release becomes effective and irrevocable no later than sixty (60) days following the termination date or such earlier date required by the release (such deadline, the “</w:t>
      </w:r>
      <w:r>
        <w:rPr>
          <w:rFonts w:ascii="Times New Roman;serif" w:hAnsi="Times New Roman;serif"/>
          <w:b w:val="false"/>
          <w:color w:val="000000"/>
          <w:sz w:val="24"/>
          <w:u w:val="single"/>
        </w:rPr>
        <w:t>Release Deadline</w:t>
      </w:r>
      <w:r>
        <w:rPr>
          <w:color w:val="000000"/>
        </w:rPr>
        <w:t>”</w:t>
      </w:r>
      <w:r>
        <w:rPr>
          <w:rFonts w:ascii="Times New Roman;serif" w:hAnsi="Times New Roman;serif"/>
          <w:b w:val="false"/>
          <w:color w:val="000000"/>
          <w:sz w:val="24"/>
        </w:rPr>
        <w:t xml:space="preserve">). If the Release does not become effective by the Release Deadline, Executive will forfeit any rights to severance or benefits under this Section 9 or elsewhere in this Agreement. Any severance payments or other benefits under this Agreement that would be considered Deferred Compensation Separation Benefits (as defined in Section 25) will be paid on, or, in the case of installments, will not commence until, the sixtieth (60th) day following Executive’s separation from service, or, if later, such time as required by Section 25(b). Except as required by Section 25(b), any installment payments that would have been made to Employee during the sixty (60)-day period immediately following Executive’s separation from service but for the preceding sentence will be paid to Executive on the sixtieth (60th) day following Executive’s separation from service and the remaining payments will be made as provided in this Agreement, unless subject to the six (6)-month payment delay described herein. Any severance payments under this Agreement that would not be considered Deferred Compensation Separation Benefits will be paid on, or, in the case of installments, will not commence until, the first payroll date that occurs at least five (5) business days after the date the Release becomes effective and any installment payments that would have been made to Executive during the period prior to the date the Release becomes effective following Executive’s separation from service but for the preceding sentence will be paid to Executive on the first payroll date that occurs after leave five (5) business days after the date the Release becomes effective. Notwithstanding the foregoing, this Section 9(b) shall not limit Executive’s ability to obtain (i) expense reimbursements under Section 6; (ii) any compensation or benefits otherwise required or available by law, including but not limited to Executive’s Base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05180"/>
                <wp:effectExtent l="0" t="0" r="0" b="0"/>
                <wp:wrapNone/>
                <wp:docPr id="95" name="Frame9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Salary through the effective date of the termination, and Executive’s right to continue health care benefits under COBRA, at Executive’s cost; or (iii) any other compensation or benefits in accordance with written Company plans or policies, as then in effect.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Regardless of the manner of Executive’s termination, Executive will be indemnified to the extent permitted by law, for claims brought against Executive during or after Executive’s employment for the Company. The Company will indemnify Executive to the extent permitted by its charter and bylaws and by applicable law against all costs, charges and expenses, including, without limitation, attorneys' fees, incurred or sustained by me in connection with any action, suit or proceeding to which Executive may be made a party by reason of being an officer, director or employee of the Company. In connection with the foregoing, Executive will be covered under any liability insurance policy that protects other officers of the Company. The Company will provide Executive its standard indemnification agreement, which is subject to approval by the Board of Directors and is consistent with the agreement for the other directors and officers of the Company.</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Cause</w:t>
      </w:r>
      <w:r>
        <w:rPr>
          <w:rFonts w:ascii="Times New Roman;serif" w:hAnsi="Times New Roman;serif"/>
          <w:b w:val="false"/>
          <w:color w:val="000000"/>
          <w:sz w:val="24"/>
        </w:rPr>
        <w:t>. For purposes of this Agreement,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 (i) Executive’s continued failure to substantially perform the material duties and obligations under this Agreement (for reasons other than death or Disability), which failure, if curable within the discretion of the Company, is not cured to the reasonable satisfaction of the Company within thirty (30) days after receipt of written notice from the Company of such failure; (ii) Executive’s failure or refusal to comply with the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Executive that benefits Executive at the expense of the Company; (iv) the Executive’s violation of a federal or state law or regulation applicable to the Company’s business; (v) the Executive’s violation of, or a plea of nolo contendre or guilty to, a felony under the laws of the United States or any state; or (vi) the Executive’s material breach of the terms of this Agreement or the Confidential Information Agreement (defined below).</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Change of Control</w:t>
      </w:r>
      <w:r>
        <w:rPr>
          <w:rFonts w:ascii="Times New Roman;serif" w:hAnsi="Times New Roman;serif"/>
          <w:b w:val="false"/>
          <w:color w:val="000000"/>
          <w:sz w:val="24"/>
        </w:rPr>
        <w:t>. For purposes of this Agreement, “</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shall have the meaning attributed to such term in the 2020 Equity Incentive Plan (the "</w:t>
      </w:r>
      <w:r>
        <w:rPr>
          <w:rFonts w:ascii="Times New Roman;serif" w:hAnsi="Times New Roman;serif"/>
          <w:b w:val="false"/>
          <w:color w:val="000000"/>
          <w:sz w:val="24"/>
          <w:u w:val="single"/>
        </w:rPr>
        <w:t>2020 Plan</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Disability</w:t>
      </w:r>
      <w:r>
        <w:rPr>
          <w:rFonts w:ascii="Times New Roman;serif" w:hAnsi="Times New Roman;serif"/>
          <w:b w:val="false"/>
          <w:color w:val="000000"/>
          <w:sz w:val="24"/>
        </w:rPr>
        <w:t>. For purposes of this Agreement, “</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that Executive, at the time notice is given, has been unable to substantially perform Executive’s duties under this Agreement for not less than one-hundred and twenty (120) work days within a twelve (12) consecutive month period as a result of Executive’s incapacity due to a physical or mental condition and, if reasonable accommodation is required by law, after any reasonable accommodation. This definition shall be interpreted and applied consistent with the Americans with Disabilities Act, the Family and Medical Leave Act, and other applicable law.</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Good Reason</w:t>
      </w:r>
      <w:r>
        <w:rPr>
          <w:rFonts w:ascii="Times New Roman;serif" w:hAnsi="Times New Roman;serif"/>
          <w:b w:val="false"/>
          <w:color w:val="000000"/>
          <w:sz w:val="24"/>
        </w:rPr>
        <w:t>. For purposes of this Agreement,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means: (i) a material reduction of Executive’s duties, position or responsibilities; (ii) a material reduction in Executive’s Base Salary (other than a reduction of not more than ten percent (10%) that is applicable to similarly situated executives of the Company); (iii) a material breach of this Agreement by the Company; or (iv) a material change in the geographic location of Executive’s primary work facility or location; provided, that a relocation of less than fifty (50) miles from Executive’s then present location will not be considered a material change in geographic location. Executive will not be deemed to have resigned for Good Reason unless (i) Executive first provides the Company with written notice of Executive’s intent to resign for Good Reason with a reasonable description of the acts or omissions allegedly constituting the grounds for “Good Reason” within thirty (30) days of the initial existence of the grounds for “Good Reason,” (ii) Executive provides the Company with reasonable cure period of not less than thirty (30) days following the date of such notice if such act or omission is capable of cure and (iii) Executive subsequently resigns within thirty (30) days following the expiration of the Company cure period.</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Company Matters</w:t>
      </w:r>
      <w:r>
        <w:rPr>
          <w:rFonts w:ascii="Times New Roman;serif" w:hAnsi="Times New Roman;serif"/>
          <w:b w:val="false"/>
          <w:color w:val="000000"/>
          <w:sz w:val="24"/>
        </w:rPr>
        <w:t>.</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05180"/>
                <wp:effectExtent l="0" t="0" r="0" b="0"/>
                <wp:wrapNone/>
                <wp:docPr id="96" name="Frame9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Proprietary Information and Inventions</w:t>
      </w:r>
      <w:r>
        <w:rPr>
          <w:rFonts w:ascii="Times New Roman;serif" w:hAnsi="Times New Roman;serif"/>
          <w:b w:val="false"/>
          <w:color w:val="000000"/>
          <w:sz w:val="24"/>
        </w:rPr>
        <w:t>. During the Employment Term, Executive will continue to receive and have access to the Company’s confidential information and trade secrets. Accordingly, Executive acknowledges and reaffirms her obligations contained in the Invention Assignment, Non-Disclosure, and Business Protection Agreement (the “</w:t>
      </w:r>
      <w:r>
        <w:rPr>
          <w:rFonts w:ascii="Times New Roman;serif" w:hAnsi="Times New Roman;serif"/>
          <w:b w:val="false"/>
          <w:color w:val="000000"/>
          <w:sz w:val="24"/>
          <w:u w:val="single"/>
        </w:rPr>
        <w:t>Confidential Information Agreement</w:t>
      </w:r>
      <w:r>
        <w:rPr>
          <w:color w:val="000000"/>
        </w:rPr>
        <w:t>”</w:t>
      </w:r>
      <w:r>
        <w:rPr>
          <w:rFonts w:ascii="Times New Roman;serif" w:hAnsi="Times New Roman;serif"/>
          <w:b w:val="false"/>
          <w:color w:val="000000"/>
          <w:sz w:val="24"/>
        </w:rPr>
        <w:t>), which Executive and Company previously executed, dated July 3, 2019, which contains restrictive covenants and prohibits unauthorized use or disclosure of the Company’s confidential information and trade secrets, among other obligations. Executive agrees to continue to comply with the Confidential Information Agreement and understands that the Confidential Information Agreement is incorporated by reference herein.</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Resignation on Termination</w:t>
      </w:r>
      <w:r>
        <w:rPr>
          <w:rFonts w:ascii="Times New Roman;serif" w:hAnsi="Times New Roman;serif"/>
          <w:b w:val="false"/>
          <w:color w:val="000000"/>
          <w:sz w:val="24"/>
        </w:rPr>
        <w:t>. On termination of Executive’s employment, regardless of the reason for such termination, Executive shall immediately (and with contemporaneous effect) resign any directorships, offices or other positions that Executive may hold in the Company or any affiliate, unless otherwise agreed in writing by the Parties.</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Notification of New Employer</w:t>
      </w:r>
      <w:r>
        <w:rPr>
          <w:rFonts w:ascii="Times New Roman;serif" w:hAnsi="Times New Roman;serif"/>
          <w:b w:val="false"/>
          <w:color w:val="000000"/>
          <w:sz w:val="24"/>
        </w:rPr>
        <w:t>. In the event that Executive leaves the employ of the Company, Executive grants consent to notification by the Company to Executive’s new employer about Executive’s rights and obligations under this Agreement and the Confidential Information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Arbitration</w:t>
      </w:r>
      <w:r>
        <w:rPr>
          <w:rFonts w:ascii="Times New Roman;serif" w:hAnsi="Times New Roman;serif"/>
          <w:b w:val="false"/>
          <w:color w:val="000000"/>
          <w:sz w:val="24"/>
        </w:rPr>
        <w:t xml:space="preserve">.  To ensure the timely and economical resolution of disputes that may arise in connection with Executive’s employment with the Company, Executive and the Company agree that any and all disputes, claims, or causes of action arising from or relating to the enforcement, breach, performance, negotiation, execution, or interpretation of this Agreement, Confidential Information Agreement, or Executive’s employment, or the termination of Executive’s employment, including but not limited to all statutory claims (including, but not limited to, the Massachusetts Antidiscrimination Act, Mass. Gen. Laws ch.151B and the Massachusetts Wage Act, Mass. Gen. Laws ch. 149), will be resolved pursuant to the Federal Arbitration Act, 9 U.S.C. §1-16, and to the fullest extent permitted by law, by final, binding and confidential arbitration by a single arbitrator conducted in </w:t>
      </w:r>
      <w:r>
        <w:rPr>
          <w:rFonts w:ascii="Times New Roman;serif" w:hAnsi="Times New Roman;serif"/>
          <w:b/>
          <w:i/>
          <w:color w:val="000000"/>
          <w:sz w:val="24"/>
        </w:rPr>
        <w:t>Boston, Massachusetts</w:t>
      </w:r>
      <w:r>
        <w:rPr>
          <w:color w:val="000000"/>
        </w:rPr>
        <w:t xml:space="preserve"> </w:t>
      </w:r>
      <w:r>
        <w:rPr>
          <w:rFonts w:ascii="Times New Roman;serif" w:hAnsi="Times New Roman;serif"/>
          <w:b w:val="false"/>
          <w:color w:val="000000"/>
          <w:sz w:val="24"/>
        </w:rPr>
        <w:t>by Judicial Arbitration and Mediation Services Inc. (“</w:t>
      </w:r>
      <w:r>
        <w:rPr>
          <w:rFonts w:ascii="Times New Roman;serif" w:hAnsi="Times New Roman;serif"/>
          <w:b w:val="false"/>
          <w:color w:val="000000"/>
          <w:sz w:val="24"/>
          <w:u w:val="single"/>
        </w:rPr>
        <w:t>JAMS</w:t>
      </w:r>
      <w:r>
        <w:rPr>
          <w:color w:val="000000"/>
        </w:rPr>
        <w:t>”</w:t>
      </w:r>
      <w:r>
        <w:rPr>
          <w:rFonts w:ascii="Times New Roman;serif" w:hAnsi="Times New Roman;serif"/>
          <w:b w:val="false"/>
          <w:color w:val="000000"/>
          <w:sz w:val="24"/>
        </w:rPr>
        <w:t xml:space="preserve">) under the then applicable JAMS rules (at the following web address: </w:t>
      </w:r>
      <w:r>
        <w:rPr>
          <w:rFonts w:ascii="Times New Roman;serif" w:hAnsi="Times New Roman;serif"/>
          <w:b w:val="false"/>
          <w:color w:val="0563C1"/>
          <w:sz w:val="24"/>
          <w:u w:val="single"/>
        </w:rPr>
        <w:t>https://www.jamsadr.com/rules-employment-arbitration/</w:t>
      </w:r>
      <w:r>
        <w:rPr>
          <w:rFonts w:ascii="Times New Roman;serif" w:hAnsi="Times New Roman;serif"/>
          <w:b w:val="false"/>
          <w:color w:val="000000"/>
          <w:sz w:val="24"/>
        </w:rPr>
        <w:t xml:space="preserve">). A hard copy of the rules will be provided to Executive upon request. </w:t>
      </w:r>
      <w:r>
        <w:rPr>
          <w:rFonts w:ascii="Times New Roman;serif" w:hAnsi="Times New Roman;serif"/>
          <w:b/>
          <w:color w:val="000000"/>
          <w:sz w:val="24"/>
        </w:rPr>
        <w:t>By agreeing to this arbitration procedure, both Executive and the Company waive the right to resolve any such dispute through a trial by jury or judge or administrative proceeding</w:t>
      </w:r>
      <w:r>
        <w:rPr>
          <w:rFonts w:ascii="Times New Roman;serif" w:hAnsi="Times New Roman;serif"/>
          <w:b w:val="false"/>
          <w:color w:val="000000"/>
          <w:sz w:val="24"/>
        </w:rPr>
        <w:t>. This arbitration provision shall not apply to any claim or cause of action to the extent applicable law prohibits subject such claim or cause of action to mandatory arbitration and such applicable law is not preempted by the Federal Arbitration Act or otherwise invalid (collectively, the “</w:t>
      </w:r>
      <w:r>
        <w:rPr>
          <w:rFonts w:ascii="Times New Roman;serif" w:hAnsi="Times New Roman;serif"/>
          <w:b w:val="false"/>
          <w:color w:val="000000"/>
          <w:sz w:val="24"/>
          <w:u w:val="single"/>
        </w:rPr>
        <w:t>Excluded Claims</w:t>
      </w:r>
      <w:r>
        <w:rPr>
          <w:color w:val="000000"/>
        </w:rPr>
        <w:t>”</w:t>
      </w:r>
      <w:r>
        <w:rPr>
          <w:rFonts w:ascii="Times New Roman;serif" w:hAnsi="Times New Roman;serif"/>
          <w:b w:val="false"/>
          <w:color w:val="000000"/>
          <w:sz w:val="24"/>
        </w:rPr>
        <w:t xml:space="preserve">), such as non-individual claims that cannot be waived under applicable law, claims or causes of action alleging sexual harassment or a nonconsensual sexual act or sexual conduct, or unemployment or workers’ compensation claims brought before the applicable state government agency. In the event Executive or the Company intend to bring multiple claims, including one of the Excluded Claims listed above, the Excluded Claims may be filed with a court, while any other claims will remain subject to mandatory arbitration. Nothing herein prevents Executive from filing and pursuing proceedings before a federal or state government agency, although if Executive chooses to pursue a claim following the exhaustion of any applicable administrative remedies, that claim would be subject to this arbitration provision. In addition, with the exception of Excluded Claims arising out of 9 U.S.C § 401 </w:t>
      </w:r>
      <w:r>
        <w:rPr>
          <w:rFonts w:ascii="Times New Roman;serif" w:hAnsi="Times New Roman;serif"/>
          <w:b w:val="false"/>
          <w:i/>
          <w:color w:val="000000"/>
          <w:sz w:val="24"/>
        </w:rPr>
        <w:t>et. seq.</w:t>
      </w:r>
      <w:r>
        <w:rPr>
          <w:rFonts w:ascii="Times New Roman;serif" w:hAnsi="Times New Roman;serif"/>
          <w:b w:val="false"/>
          <w:color w:val="000000"/>
          <w:sz w:val="24"/>
        </w:rPr>
        <w:t>, all claims, disputes, or causes of action under this section, whether by Executive or the Company, must be brought in an individual capacity, and shall not be brought as a plaintiff (or claimant) or class member in any purported class or representative proceeding, nor joined or consolidated with the claims of any other person or entity. </w:t>
      </w:r>
      <w:r>
        <w:rPr>
          <w:rFonts w:ascii="Times New Roman;serif" w:hAnsi="Times New Roman;serif"/>
          <w:b/>
          <w:color w:val="000000"/>
          <w:sz w:val="24"/>
        </w:rPr>
        <w:t>Executive acknowledges that by agreeing to this arbitration procedure, Executive and the Company waive all rights to have any dispute be brought, heard, administered, resolved, or arbitrated on a class, representative, or collective action basis.</w:t>
      </w:r>
      <w:r>
        <w:rPr>
          <w:color w:val="000000"/>
        </w:rPr>
        <w:t xml:space="preserve"> </w:t>
      </w:r>
      <w:r>
        <w:rPr>
          <w:rFonts w:ascii="Times New Roman;serif" w:hAnsi="Times New Roman;serif"/>
          <w:b w:val="false"/>
          <w:color w:val="000000"/>
          <w:sz w:val="24"/>
        </w:rPr>
        <w:t xml:space="preserve">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05180"/>
                <wp:effectExtent l="0" t="0" r="0" b="0"/>
                <wp:wrapNone/>
                <wp:docPr id="97" name="Frame9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entitled to seek in a court of law.  Executive and the Company shall equally share all JAMS’ arbitration fees.  Except as modified in the Confidential Information Agreement, each party is responsible for its own attorneys’ fees.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Assignment</w:t>
      </w:r>
      <w:r>
        <w:rPr>
          <w:rFonts w:ascii="Times New Roman;serif" w:hAnsi="Times New Roman;serif"/>
          <w:b w:val="false"/>
          <w:color w:val="000000"/>
          <w:sz w:val="24"/>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requests, demands and other communications called for under this Agreement shall be in writing and shall be delivered via e-mail, personally by hand or by courier, mailed by United States first-class mail, postage prepaid, or sent by facsimile directed to the Party to be notified at the address or facsimile number indicated for such Party on the signature page to this Agreement, or at such other address or facsimile number as such Party may designate by ten (10) days’ advance written notice to the other Parties hereto. All such notices and other communications shall be deemed given upon personal delivery, three (3) days after the date of mailing, or upon confirmation of facsimile transfer or e-mail. Notices sent via e-mail under this Section shall be sent to either the e-mail address in this Agreement, or for e-mails sent by the Company to Executive, to the last e-mail address on file with the Company.</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the event that any provision hereof becomes or is declared by a court of competent jurisdiction to be illegal, unenforceable or void, this Agreement will continue in full force and effect without said provision.</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together with the 2020 Plan, applicable award agreements and the Confidential Information Agreement represents the entire agreement and understanding between the parties as to the subject matter herein and supersedes all prior or contemporaneous agreements whether written or oral. No waiver, alteration, or modification of any of the provisions of this Agreement will be binding unless in writing and signed by duly authorized representatives of the parties hereto.</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All payments made pursuant to this Agreement will be subject to withholding of applicable taxes.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Waiver</w:t>
      </w:r>
      <w:r>
        <w:rPr>
          <w:rFonts w:ascii="Times New Roman;serif" w:hAnsi="Times New Roman;serif"/>
          <w:b w:val="false"/>
          <w:color w:val="000000"/>
          <w:sz w:val="24"/>
        </w:rPr>
        <w:t>. No Party shall be deemed to have waived any right, power or privilege under this Agreement or any provisions hereof unless such waiver shall have been duly executed in writing and acknowledged by the Party to be charged with such waiver. The failure of any Party at any time to insist on performance of any of the provisions of this Agreement shall in no way be construed to be a waiver of such provisions, nor in any way to affect the validity of this Agreement or any part hereof. No waiver of any breach of this Agreement shall be held to be a waiver of any other subsequent breach</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will be governed by the laws of the State of Massachusetts (with the exception of its conflict of laws provisions).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Acknowledgment</w:t>
      </w:r>
      <w:r>
        <w:rPr>
          <w:rFonts w:ascii="Times New Roman;serif" w:hAnsi="Times New Roman;serif"/>
          <w:b w:val="false"/>
          <w:color w:val="000000"/>
          <w:sz w:val="24"/>
        </w:rPr>
        <w:t>. Executive acknowledges that Executive has had the opportunity to discuss this matter with and obtain advice from Executive’s legal counsel, has had sufficient time to, and has carefully read and fully understands all the provisions of this Agreement, and is knowingly and voluntarily entering into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multiple counterparts, each of which shall be deemed to be an original, and all such counterparts shall constitute but one instrument.</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05180"/>
                <wp:effectExtent l="0" t="0" r="0" b="0"/>
                <wp:wrapNone/>
                <wp:docPr id="98" name="Frame9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Effect of Headings</w:t>
      </w:r>
      <w:r>
        <w:rPr>
          <w:rFonts w:ascii="Times New Roman;serif" w:hAnsi="Times New Roman;serif"/>
          <w:b w:val="false"/>
          <w:color w:val="000000"/>
          <w:sz w:val="24"/>
        </w:rPr>
        <w:t>. The section and subsection headings contained herein are for convenience only and shall not affect the construction hereof.</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Construction of Agreement</w:t>
      </w:r>
      <w:r>
        <w:rPr>
          <w:rFonts w:ascii="Times New Roman;serif" w:hAnsi="Times New Roman;serif"/>
          <w:b w:val="false"/>
          <w:color w:val="000000"/>
          <w:sz w:val="24"/>
        </w:rPr>
        <w:t>. This Agreement has been negotiated by the respective Parties, and the language shall not be construed for or against either Party.</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Section 409A</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of the Internal Revenue Code of 1986, as amended and the regulations and other guidance thereunder or any state law of similar effect (together, the “</w:t>
      </w:r>
      <w:r>
        <w:rPr>
          <w:rFonts w:ascii="Times New Roman;serif" w:hAnsi="Times New Roman;serif"/>
          <w:b w:val="false"/>
          <w:color w:val="000000"/>
          <w:sz w:val="24"/>
          <w:u w:val="single"/>
        </w:rPr>
        <w:t>Deferred Compensation Separation Benefits</w:t>
      </w:r>
      <w:r>
        <w:rPr>
          <w:color w:val="000000"/>
        </w:rPr>
        <w:t>”</w:t>
      </w:r>
      <w:r>
        <w:rPr>
          <w:rFonts w:ascii="Times New Roman;serif" w:hAnsi="Times New Roman;serif"/>
          <w:b w:val="false"/>
          <w:color w:val="000000"/>
          <w:sz w:val="24"/>
        </w:rPr>
        <w:t>) will be paid or otherwise provided until Executive has a “separation from service” within the meaning of Section 409A.</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anything to the contrary in this Agreement, if Executive is a “specified employee” within the meaning of Section 409A at the time of Executive’s termination (other than due to death), then the Deferred Compensation Separation Benefits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Any amount paid under this Agreement that satisfies the requirements of the “short-term deferral” rule set forth in Section 1.409A-1(b)(4) of the Treasury Regulations or that is otherwise exempt from the application of Section 409A, including, without limitation, any payment made as a result of an involuntary separation within the meaning of Section 409A, will not constitute Deferred Compensation Separation Benefits for purposes of clause (a) above.</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payments and benefits set forth in this Agreement are intended to be exempt from or comply with the requirements of Section 409A and this Agreement shall be interpreted and construed in accordance with such intent to the maximum extent permissible.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Notwithstanding any of the foregoing, none of the Company nor any of its officers, employees, directors, agents or representatives guarantee that this Agreement complies with or is exempt from Section 409A and none of the foregoing shall have any liability for any failure of this Agreement to so comply or be so exempt. </w:t>
      </w:r>
    </w:p>
    <w:p>
      <w:pPr>
        <w:pStyle w:val="TextBody"/>
        <w:bidi w:val="0"/>
        <w:spacing w:before="0" w:after="0"/>
        <w:jc w:val="both"/>
        <w:rPr/>
      </w:pPr>
      <w:r>
        <w:rPr/>
      </w:r>
    </w:p>
    <w:p>
      <w:pPr>
        <w:pStyle w:val="TextBody"/>
        <w:bidi w:val="0"/>
        <w:spacing w:lineRule="auto" w:line="288" w:before="240"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is intentionally blank; Signature page follows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05180"/>
                <wp:effectExtent l="0" t="0" r="0" b="0"/>
                <wp:wrapNone/>
                <wp:docPr id="99" name="Frame9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4"/>
        </w:rPr>
        <w:t>IN WITNESS WHEREOF,</w:t>
      </w:r>
      <w:r>
        <w:rPr>
          <w:color w:val="000000"/>
        </w:rPr>
        <w:t xml:space="preserve"> </w:t>
      </w:r>
      <w:r>
        <w:rPr>
          <w:rFonts w:ascii="Times New Roman;serif" w:hAnsi="Times New Roman;serif"/>
          <w:b w:val="false"/>
          <w:color w:val="000000"/>
          <w:sz w:val="24"/>
        </w:rPr>
        <w:t>each of the Parties has executed this Agreement as of the day and year first above written.</w:t>
      </w:r>
    </w:p>
    <w:p>
      <w:pPr>
        <w:pStyle w:val="TextBody"/>
        <w:bidi w:val="0"/>
        <w:spacing w:before="240" w:after="283"/>
        <w:jc w:val="left"/>
        <w:rPr/>
      </w:pPr>
      <w:r>
        <w:rPr/>
      </w:r>
    </w:p>
    <w:p>
      <w:pPr>
        <w:pStyle w:val="TextBody"/>
        <w:bidi w:val="0"/>
        <w:spacing w:lineRule="auto" w:line="288" w:before="240" w:after="283"/>
        <w:jc w:val="left"/>
        <w:rPr>
          <w:color w:val="000000"/>
        </w:rPr>
      </w:pPr>
      <w:r>
        <w:rPr>
          <w:color w:val="000000"/>
        </w:rPr>
        <w:t>“</w:t>
      </w:r>
      <w:r>
        <w:rPr>
          <w:rFonts w:ascii="Times New Roman;serif" w:hAnsi="Times New Roman;serif"/>
          <w:b/>
          <w:color w:val="000000"/>
          <w:sz w:val="24"/>
        </w:rPr>
        <w:t>COMPANY”</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KEROS THERAPEUTICS, INC.</w:t>
      </w:r>
    </w:p>
    <w:p>
      <w:pPr>
        <w:pStyle w:val="TextBody"/>
        <w:bidi w:val="0"/>
        <w:spacing w:lineRule="auto" w:line="288" w:before="240" w:after="283"/>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Jasbir Seehra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Jasbir Seehra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lineRule="auto" w:line="288" w:before="240" w:after="283"/>
        <w:jc w:val="left"/>
        <w:rPr/>
      </w:pPr>
      <w:r>
        <w:rPr>
          <w:rFonts w:ascii="Times New Roman;serif" w:hAnsi="Times New Roman;serif"/>
          <w:b w:val="false"/>
          <w:color w:val="000000"/>
          <w:sz w:val="24"/>
          <w:u w:val="single"/>
        </w:rPr>
        <w:t>Address</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1050 Waltham St, Suite 302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Lexington, MA 02421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Jasbir Seehra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jasbir@kerostx.com</w:t>
      </w:r>
    </w:p>
    <w:p>
      <w:pPr>
        <w:pStyle w:val="TextBody"/>
        <w:bidi w:val="0"/>
        <w:spacing w:lineRule="auto" w:line="288" w:before="700" w:after="283"/>
        <w:jc w:val="left"/>
        <w:rPr>
          <w:color w:val="000000"/>
        </w:rPr>
      </w:pPr>
      <w:r>
        <w:rPr>
          <w:color w:val="000000"/>
        </w:rPr>
        <w:t>“</w:t>
      </w:r>
      <w:r>
        <w:rPr>
          <w:rFonts w:ascii="Times New Roman;serif" w:hAnsi="Times New Roman;serif"/>
          <w:b/>
          <w:color w:val="000000"/>
          <w:sz w:val="24"/>
        </w:rPr>
        <w:t>EXECUTIVE”</w:t>
      </w:r>
    </w:p>
    <w:p>
      <w:pPr>
        <w:pStyle w:val="TextBody"/>
        <w:bidi w:val="0"/>
        <w:spacing w:lineRule="auto" w:line="288" w:before="24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Annita Tanini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Annita Tanini</w:t>
      </w:r>
    </w:p>
    <w:p>
      <w:pPr>
        <w:pStyle w:val="TextBody"/>
        <w:bidi w:val="0"/>
        <w:spacing w:lineRule="auto" w:line="288" w:before="240" w:after="283"/>
        <w:jc w:val="left"/>
        <w:rPr/>
      </w:pPr>
      <w:r>
        <w:rPr>
          <w:rFonts w:ascii="Times New Roman;serif" w:hAnsi="Times New Roman;serif"/>
          <w:b w:val="false"/>
          <w:color w:val="000000"/>
          <w:sz w:val="24"/>
          <w:u w:val="single"/>
        </w:rPr>
        <w:t>Address</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w: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rPr>
        <w:t>Fax Number:</w:t>
      </w: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rPr>
        <w:t xml:space="preserve">Email: </w:t>
      </w:r>
      <w:r>
        <w:rPr>
          <w:rFonts w:ascii="Times New Roman;serif" w:hAnsi="Times New Roman;serif"/>
          <w:b w:val="false"/>
          <w:color w:val="000000"/>
          <w:sz w:val="24"/>
          <w:u w:val="single"/>
        </w:rPr>
        <w:t>[***]</w:t>
      </w:r>
      <w:r>
        <w:rPr>
          <w:rFonts w:ascii="Times New Roman;serif" w:hAnsi="Times New Roman;serif"/>
          <w:b w:val="false"/>
          <w:color w:val="000000"/>
          <w:sz w:val="24"/>
        </w:rPr>
        <w:t>____________________________</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Enclosures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Duplicate Executive Employment Agreement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KEROS THERAPEUTICS,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EXECUTIVE EMPLOYMENT AGREEMENT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05180"/>
                <wp:effectExtent l="0" t="0" r="0" b="0"/>
                <wp:wrapNone/>
                <wp:docPr id="100" name="Frame10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shd w:fill="FFFFFF" w:val="clear"/>
        </w:rPr>
      </w:pPr>
      <w:r>
        <w:rPr>
          <w:rFonts w:ascii="Arial;sans-serif" w:hAnsi="Arial;sans-serif"/>
          <w:b/>
          <w:color w:val="000000"/>
          <w:sz w:val="18"/>
          <w:shd w:fill="FFFFFF" w:val="clear"/>
        </w:rPr>
        <w:t>Exhibit 31.1</w:t>
      </w:r>
    </w:p>
    <w:p>
      <w:pPr>
        <w:pStyle w:val="TextBody"/>
        <w:bidi w:val="0"/>
        <w:spacing w:lineRule="auto" w:line="288" w:before="360" w:after="283"/>
        <w:jc w:val="center"/>
        <w:rPr>
          <w:rFonts w:ascii="Arial;sans-serif" w:hAnsi="Arial;sans-serif"/>
          <w:b/>
          <w:color w:val="000000"/>
          <w:sz w:val="18"/>
          <w:shd w:fill="FFFFFF" w:val="clear"/>
        </w:rPr>
      </w:pPr>
      <w:r>
        <w:rPr>
          <w:rFonts w:ascii="Arial;sans-serif" w:hAnsi="Arial;sans-serif"/>
          <w:b/>
          <w:color w:val="000000"/>
          <w:sz w:val="18"/>
          <w:shd w:fill="FFFFFF" w:val="clear"/>
        </w:rPr>
        <w:t>CERTIFICATION OF PRINCIPAL EXECUTIVE OFFICER PURSUANT TO</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RULES 13a-14(a) AND 15d-14(a) UNDER THE SECURITIES EXCHANGE ACT OF 1934,</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AS ADOPTED PURSUANT TO SECTION 302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Jasbir Seehra, Ph.D., certify that:</w:t>
      </w:r>
    </w:p>
    <w:tbl>
      <w:tblPr>
        <w:tblW w:w="6927" w:type="dxa"/>
        <w:jc w:val="left"/>
        <w:tblInd w:w="0" w:type="dxa"/>
        <w:tblLayout w:type="fixed"/>
        <w:tblCellMar>
          <w:top w:w="28" w:type="dxa"/>
          <w:left w:w="28" w:type="dxa"/>
          <w:bottom w:w="28" w:type="dxa"/>
          <w:right w:w="28" w:type="dxa"/>
        </w:tblCellMar>
      </w:tblPr>
      <w:tblGrid>
        <w:gridCol w:w="124"/>
        <w:gridCol w:w="109"/>
        <w:gridCol w:w="109"/>
        <w:gridCol w:w="1927"/>
        <w:gridCol w:w="1927"/>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1.</w:t>
            </w:r>
          </w:p>
        </w:tc>
        <w:tc>
          <w:tcPr>
            <w:tcW w:w="65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 have reviewed this Quarterly Report on Form 10-Q of Keros Therapeutics,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hanging="665"/>
        <w:jc w:val="left"/>
        <w:rPr>
          <w:color w:val="000000"/>
        </w:rPr>
      </w:pPr>
      <w:r>
        <w:rPr>
          <w:color w:val="000000"/>
        </w:rPr>
        <w:t> </w:t>
      </w:r>
    </w:p>
    <w:tbl>
      <w:tblPr>
        <w:tblW w:w="4588" w:type="dxa"/>
        <w:jc w:val="left"/>
        <w:tblInd w:w="0" w:type="dxa"/>
        <w:tblLayout w:type="fixed"/>
        <w:tblCellMar>
          <w:top w:w="28" w:type="dxa"/>
          <w:left w:w="28" w:type="dxa"/>
          <w:bottom w:w="28" w:type="dxa"/>
          <w:right w:w="28" w:type="dxa"/>
        </w:tblCellMar>
      </w:tblPr>
      <w:tblGrid>
        <w:gridCol w:w="661"/>
        <w:gridCol w:w="582"/>
        <w:gridCol w:w="586"/>
        <w:gridCol w:w="120"/>
        <w:gridCol w:w="120"/>
        <w:gridCol w:w="120"/>
        <w:gridCol w:w="702"/>
        <w:gridCol w:w="702"/>
        <w:gridCol w:w="995"/>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Date: August 3, 2026</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/s/ Jasbir Seehra, Ph.D.</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2399" w:type="dxa"/>
            <w:gridSpan w:val="3"/>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Jasbir Seehra, Ph.D.</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Chief Executive Officer </w:t>
            </w:r>
          </w:p>
          <w:p>
            <w:pPr>
              <w:pStyle w:val="TableContents"/>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shd w:fill="FFFFFF" w:val="clear"/>
        </w:rPr>
      </w:pPr>
      <w:r>
        <w:rPr>
          <w:rFonts w:ascii="Arial;sans-serif" w:hAnsi="Arial;sans-serif"/>
          <w:b/>
          <w:color w:val="000000"/>
          <w:sz w:val="18"/>
          <w:shd w:fill="FFFFFF" w:val="clear"/>
        </w:rPr>
        <w:t>Exhibit 31.2</w:t>
      </w:r>
    </w:p>
    <w:p>
      <w:pPr>
        <w:pStyle w:val="TextBody"/>
        <w:bidi w:val="0"/>
        <w:spacing w:lineRule="auto" w:line="288" w:before="360" w:after="283"/>
        <w:jc w:val="center"/>
        <w:rPr>
          <w:rFonts w:ascii="Arial;sans-serif" w:hAnsi="Arial;sans-serif"/>
          <w:b/>
          <w:color w:val="000000"/>
          <w:sz w:val="18"/>
          <w:shd w:fill="FFFFFF" w:val="clear"/>
        </w:rPr>
      </w:pPr>
      <w:r>
        <w:rPr>
          <w:rFonts w:ascii="Arial;sans-serif" w:hAnsi="Arial;sans-serif"/>
          <w:b/>
          <w:color w:val="000000"/>
          <w:sz w:val="18"/>
          <w:shd w:fill="FFFFFF" w:val="clear"/>
        </w:rPr>
        <w:t>CERTIFICATION OF PRINCIPAL FINANCIAL OFFICER PURSUANT TO</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RULES 13a-14(a) AND 15d-14(a) UNDER THE SECURITIES EXCHANGE ACT OF 1934,</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AS ADOPTED PURSUANT TO SECTION 302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Keith Regnante, certify that:</w:t>
      </w:r>
    </w:p>
    <w:tbl>
      <w:tblPr>
        <w:tblW w:w="6927" w:type="dxa"/>
        <w:jc w:val="left"/>
        <w:tblInd w:w="0" w:type="dxa"/>
        <w:tblLayout w:type="fixed"/>
        <w:tblCellMar>
          <w:top w:w="28" w:type="dxa"/>
          <w:left w:w="28" w:type="dxa"/>
          <w:bottom w:w="28" w:type="dxa"/>
          <w:right w:w="28" w:type="dxa"/>
        </w:tblCellMar>
      </w:tblPr>
      <w:tblGrid>
        <w:gridCol w:w="124"/>
        <w:gridCol w:w="109"/>
        <w:gridCol w:w="109"/>
        <w:gridCol w:w="1927"/>
        <w:gridCol w:w="1927"/>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1.</w:t>
            </w:r>
          </w:p>
        </w:tc>
        <w:tc>
          <w:tcPr>
            <w:tcW w:w="65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 have reviewed this Quarterly Report on Form 10-Q of Keros Therapeutics,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hanging="665"/>
        <w:jc w:val="left"/>
        <w:rPr>
          <w:color w:val="000000"/>
        </w:rPr>
      </w:pPr>
      <w:r>
        <w:rPr>
          <w:color w:val="000000"/>
        </w:rPr>
        <w:t> </w:t>
      </w:r>
    </w:p>
    <w:tbl>
      <w:tblPr>
        <w:tblW w:w="7198" w:type="dxa"/>
        <w:jc w:val="left"/>
        <w:tblInd w:w="0" w:type="dxa"/>
        <w:tblLayout w:type="fixed"/>
        <w:tblCellMar>
          <w:top w:w="28" w:type="dxa"/>
          <w:left w:w="28" w:type="dxa"/>
          <w:bottom w:w="28" w:type="dxa"/>
          <w:right w:w="28" w:type="dxa"/>
        </w:tblCellMar>
      </w:tblPr>
      <w:tblGrid>
        <w:gridCol w:w="661"/>
        <w:gridCol w:w="582"/>
        <w:gridCol w:w="586"/>
        <w:gridCol w:w="120"/>
        <w:gridCol w:w="120"/>
        <w:gridCol w:w="120"/>
        <w:gridCol w:w="1464"/>
        <w:gridCol w:w="1464"/>
        <w:gridCol w:w="2081"/>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Date: August 3, 2026</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By:</w:t>
            </w:r>
          </w:p>
        </w:tc>
        <w:tc>
          <w:tcPr>
            <w:tcW w:w="50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/s/ Keith Regnante</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009" w:type="dxa"/>
            <w:gridSpan w:val="3"/>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Keith Regnante</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Chief Financial Officer </w:t>
            </w:r>
          </w:p>
          <w:p>
            <w:pPr>
              <w:pStyle w:val="TableContents"/>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319" w:before="0" w:after="0"/>
        <w:jc w:val="left"/>
        <w:rPr>
          <w:color w:val="000000"/>
        </w:rPr>
      </w:pPr>
      <w:r>
        <w:rPr>
          <w:color w:val="000000"/>
        </w:rPr>
        <w:t> </w:t>
      </w:r>
    </w:p>
    <w:p>
      <w:pPr>
        <w:pStyle w:val="TextBody"/>
        <w:bidi w:val="0"/>
        <w:spacing w:lineRule="auto" w:line="319" w:before="0" w:after="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319" w:before="0" w:after="0"/>
        <w:jc w:val="center"/>
        <w:rPr>
          <w:rFonts w:ascii="Arial;sans-serif" w:hAnsi="Arial;sans-serif"/>
          <w:b/>
          <w:color w:val="000000"/>
          <w:sz w:val="18"/>
        </w:rPr>
      </w:pPr>
      <w:r>
        <w:rPr>
          <w:rFonts w:ascii="Arial;sans-serif" w:hAnsi="Arial;sans-serif"/>
          <w:b/>
          <w:color w:val="000000"/>
          <w:sz w:val="18"/>
        </w:rPr>
        <w:t>18 U.S.C. SECTION 1350,</w:t>
      </w:r>
    </w:p>
    <w:p>
      <w:pPr>
        <w:pStyle w:val="TextBody"/>
        <w:bidi w:val="0"/>
        <w:spacing w:lineRule="auto" w:line="319" w:before="0" w:after="0"/>
        <w:jc w:val="center"/>
        <w:rPr>
          <w:rFonts w:ascii="Arial;sans-serif" w:hAnsi="Arial;sans-serif"/>
          <w:b/>
          <w:color w:val="000000"/>
          <w:sz w:val="18"/>
        </w:rPr>
      </w:pPr>
      <w:r>
        <w:rPr>
          <w:rFonts w:ascii="Arial;sans-serif" w:hAnsi="Arial;sans-serif"/>
          <w:b/>
          <w:color w:val="000000"/>
          <w:sz w:val="18"/>
        </w:rPr>
        <w:t>AS ADOPTED PURSUANT TO</w:t>
      </w:r>
    </w:p>
    <w:p>
      <w:pPr>
        <w:pStyle w:val="TextBody"/>
        <w:bidi w:val="0"/>
        <w:spacing w:lineRule="auto" w:line="319"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val="false"/>
          <w:color w:val="000000"/>
          <w:sz w:val="18"/>
        </w:rPr>
        <w:t>Pursuant to the requirement set forth in Rule 13a-14(b) of the Securities Exchange Act of 1934, as amended (the “Exchange Act”), and Section 1350 of Chapter 63 of Title 18 of the United States Code (18 U.S.C. §1350),</w:t>
      </w:r>
      <w:r>
        <w:rPr>
          <w:color w:val="000000"/>
        </w:rPr>
        <w:t> </w:t>
      </w:r>
      <w:r>
        <w:rPr>
          <w:rFonts w:ascii="Arial;sans-serif" w:hAnsi="Arial;sans-serif"/>
          <w:b w:val="false"/>
          <w:color w:val="000000"/>
          <w:sz w:val="18"/>
        </w:rPr>
        <w:t>Jasbir Seehra, Ph.D., Chief Executive Officer of Keros Therapeutics, Inc. (the “Company”) and Keith Regnante, Chief Financial Officer of the Company, each hereby certifies that, to the best of his knowledge: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The Company’s Quarterly Report on Form 10-Q for the period ended June 30, 2026, to which this Certification is attached as Exhibit 32.1 (the “Quarterly Report”), fully complies with the requirements of Section 13(a) or Section 15(d) of the Exchange Act,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720"/>
        <w:jc w:val="left"/>
        <w:rPr/>
      </w:pPr>
      <w:r>
        <w:rPr/>
      </w:r>
    </w:p>
    <w:p>
      <w:pPr>
        <w:pStyle w:val="TextBody"/>
        <w:bidi w:val="0"/>
        <w:spacing w:lineRule="auto" w:line="319" w:before="0" w:after="0"/>
        <w:jc w:val="left"/>
        <w:rPr/>
      </w:pPr>
      <w:r>
        <w:rPr>
          <w:rFonts w:ascii="Arial;sans-serif" w:hAnsi="Arial;sans-serif"/>
          <w:b/>
          <w:color w:val="000000"/>
          <w:sz w:val="18"/>
        </w:rPr>
        <w:t>In Witness Whereof</w:t>
      </w:r>
      <w:r>
        <w:rPr>
          <w:rFonts w:ascii="Arial;sans-serif" w:hAnsi="Arial;sans-serif"/>
          <w:b w:val="false"/>
          <w:color w:val="000000"/>
          <w:sz w:val="18"/>
        </w:rPr>
        <w:t>, the undersigned have set their hands hereto as of the 3rd day of August, 2026.</w:t>
      </w:r>
    </w:p>
    <w:tbl>
      <w:tblPr>
        <w:tblW w:w="5351" w:type="dxa"/>
        <w:jc w:val="left"/>
        <w:tblInd w:w="0" w:type="dxa"/>
        <w:tblLayout w:type="fixed"/>
        <w:tblCellMar>
          <w:top w:w="28" w:type="dxa"/>
          <w:left w:w="28" w:type="dxa"/>
          <w:bottom w:w="28" w:type="dxa"/>
          <w:right w:w="28" w:type="dxa"/>
        </w:tblCellMar>
      </w:tblPr>
      <w:tblGrid>
        <w:gridCol w:w="124"/>
        <w:gridCol w:w="109"/>
        <w:gridCol w:w="109"/>
        <w:gridCol w:w="1467"/>
        <w:gridCol w:w="1467"/>
        <w:gridCol w:w="2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r>
      <w:tr>
        <w:trPr/>
        <w:tc>
          <w:tcPr>
            <w:tcW w:w="53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Jasbir Seehra</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00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Jasbir Seehra, Ph.D.</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009"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 Keith Regnante</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00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Keith Regnante</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5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i/>
                <w:color w:val="000000"/>
                <w:sz w:val="18"/>
              </w:rPr>
            </w:pPr>
            <w:r>
              <w:rPr>
                <w:rFonts w:ascii="Arial;sans-serif" w:hAnsi="Arial;sans-serif"/>
                <w:b w:val="false"/>
                <w:i/>
                <w:color w:val="000000"/>
                <w:sz w:val="18"/>
              </w:rPr>
              <w:t>(Principal Financial Officer and Principal Accounting Officer)</w:t>
            </w:r>
          </w:p>
        </w:tc>
      </w:tr>
    </w:tbl>
    <w:p>
      <w:pPr>
        <w:pStyle w:val="TextBody"/>
        <w:bidi w:val="0"/>
        <w:spacing w:lineRule="auto" w:line="319" w:before="140" w:after="283"/>
        <w:jc w:val="left"/>
        <w:rPr>
          <w:rFonts w:ascii="Arial;sans-serif" w:hAnsi="Arial;sans-serif"/>
          <w:b w:val="false"/>
          <w:color w:val="000000"/>
          <w:sz w:val="18"/>
        </w:rPr>
      </w:pPr>
      <w:r>
        <w:rPr>
          <w:rFonts w:ascii="Arial;sans-serif" w:hAnsi="Arial;sans-serif"/>
          <w:b w:val="false"/>
          <w:color w:val="000000"/>
          <w:sz w:val="18"/>
        </w:rPr>
        <w:t>This certification accompanies the Form 10-Q to which it relates, is not deemed filed with the Securities and Exchange Commission and is not to be incorporated by reference into any filing of Keros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4710/000119312520105266/d891585dex31.htm" TargetMode="External"/><Relationship Id="rId3" Type="http://schemas.openxmlformats.org/officeDocument/2006/relationships/hyperlink" Target="https://www.sec.gov/Archives/edgar/data/1664710/000119312520105266/d891585dex31.htm" TargetMode="External"/><Relationship Id="rId4" Type="http://schemas.openxmlformats.org/officeDocument/2006/relationships/hyperlink" Target="https://www.sec.gov/Archives/edgar/data/1664710/000166471025000025/exhibit31.htm" TargetMode="External"/><Relationship Id="rId5" Type="http://schemas.openxmlformats.org/officeDocument/2006/relationships/hyperlink" Target="https://www.sec.gov/Archives/edgar/data/1664710/000166471025000025/exhibit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71400</Words>
  <Characters>401027</Characters>
  <CharactersWithSpaces>471263</CharactersWithSpaces>
  <Paragraphs>2575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